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7BDD" w14:textId="4BEF8C3A" w:rsidR="00502186" w:rsidRDefault="00502186" w:rsidP="00502186">
      <w:pPr>
        <w:rPr>
          <w:shd w:val="clear" w:color="auto" w:fill="FFFFFF"/>
          <w:lang w:val="en-US"/>
        </w:rPr>
      </w:pPr>
      <w:r w:rsidRPr="00F16F3F">
        <w:rPr>
          <w:u w:val="single"/>
          <w:lang w:val="en-US"/>
        </w:rPr>
        <w:t>KS. JAROSŁAW M. LIPNIAK</w:t>
      </w:r>
      <w:r w:rsidRPr="00F16F3F">
        <w:rPr>
          <w:u w:val="single"/>
          <w:lang w:val="en-US"/>
        </w:rPr>
        <w:br/>
      </w:r>
      <w:r w:rsidRPr="00F16F3F">
        <w:rPr>
          <w:lang w:val="en-US"/>
        </w:rPr>
        <w:t xml:space="preserve">Pontifical Faculty of Theology in Wroclaw, Poland </w:t>
      </w:r>
      <w:r w:rsidRPr="00F16F3F">
        <w:rPr>
          <w:lang w:val="en-US"/>
        </w:rPr>
        <w:br/>
        <w:t xml:space="preserve">e-mail: </w:t>
      </w:r>
      <w:hyperlink r:id="rId8" w:history="1">
        <w:r w:rsidRPr="00A605AE">
          <w:rPr>
            <w:rStyle w:val="Hyperlink"/>
            <w:lang w:val="en-US"/>
          </w:rPr>
          <w:t>pallotti@poczta.onet.pl</w:t>
        </w:r>
      </w:hyperlink>
      <w:r w:rsidRPr="00F16F3F">
        <w:rPr>
          <w:lang w:val="en-US"/>
        </w:rPr>
        <w:br/>
        <w:t xml:space="preserve">ORCID: </w:t>
      </w:r>
      <w:r w:rsidRPr="00F16F3F">
        <w:rPr>
          <w:shd w:val="clear" w:color="auto" w:fill="FFFFFF"/>
          <w:lang w:val="en-US"/>
        </w:rPr>
        <w:t>0000-0002-3809-1142</w:t>
      </w:r>
      <w:r>
        <w:rPr>
          <w:shd w:val="clear" w:color="auto" w:fill="FFFFFF"/>
          <w:lang w:val="en-US"/>
        </w:rPr>
        <w:br/>
        <w:t>DOI:</w:t>
      </w:r>
      <w:r w:rsidR="00A00F6F">
        <w:rPr>
          <w:shd w:val="clear" w:color="auto" w:fill="FFFFFF"/>
          <w:lang w:val="en-US"/>
        </w:rPr>
        <w:t xml:space="preserve"> </w:t>
      </w:r>
      <w:r w:rsidR="00A00F6F" w:rsidRPr="00A00F6F">
        <w:rPr>
          <w:shd w:val="clear" w:color="auto" w:fill="FFFFFF"/>
          <w:lang w:val="en-US"/>
        </w:rPr>
        <w:t>10.48224/COM-229-2025-110</w:t>
      </w:r>
    </w:p>
    <w:p w14:paraId="2E05D8DA" w14:textId="77777777" w:rsidR="00057943" w:rsidRPr="00F16F3F" w:rsidRDefault="00057943" w:rsidP="00502186">
      <w:pPr>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057943" w:rsidRPr="003D0426" w14:paraId="4ED7364E" w14:textId="77777777" w:rsidTr="00843A09">
        <w:trPr>
          <w:trHeight w:val="724"/>
          <w:jc w:val="right"/>
        </w:trPr>
        <w:tc>
          <w:tcPr>
            <w:tcW w:w="3685" w:type="dxa"/>
            <w:hideMark/>
          </w:tcPr>
          <w:p w14:paraId="2F6B9F9E" w14:textId="77777777" w:rsidR="00057943" w:rsidRPr="003D0426" w:rsidRDefault="00057943" w:rsidP="00843A09">
            <w:pPr>
              <w:jc w:val="center"/>
              <w:rPr>
                <w:sz w:val="20"/>
                <w:szCs w:val="20"/>
              </w:rPr>
            </w:pPr>
            <w:r w:rsidRPr="0096014D">
              <w:rPr>
                <w:sz w:val="20"/>
                <w:szCs w:val="20"/>
                <w:lang w:val="en-US"/>
              </w:rPr>
              <w:br/>
            </w:r>
            <w:r>
              <w:rPr>
                <w:sz w:val="20"/>
                <w:szCs w:val="20"/>
              </w:rPr>
              <w:t>Communio 45(2025</w:t>
            </w:r>
            <w:r w:rsidRPr="003D0426">
              <w:rPr>
                <w:sz w:val="20"/>
                <w:szCs w:val="20"/>
              </w:rPr>
              <w:t>)</w:t>
            </w:r>
            <w:r>
              <w:rPr>
                <w:sz w:val="20"/>
                <w:szCs w:val="20"/>
              </w:rPr>
              <w:t>2</w:t>
            </w:r>
            <w:r w:rsidRPr="003D0426">
              <w:rPr>
                <w:sz w:val="20"/>
                <w:szCs w:val="20"/>
              </w:rPr>
              <w:t>, s. 2-2</w:t>
            </w:r>
          </w:p>
        </w:tc>
      </w:tr>
    </w:tbl>
    <w:p w14:paraId="314B3A3C" w14:textId="77777777" w:rsidR="00057943" w:rsidRDefault="00057943" w:rsidP="00057943">
      <w:pPr>
        <w:jc w:val="center"/>
        <w:rPr>
          <w:b/>
        </w:rPr>
      </w:pPr>
    </w:p>
    <w:p w14:paraId="246B047B" w14:textId="13D1A261" w:rsidR="00703DA1" w:rsidRPr="00057943" w:rsidRDefault="00A53FAA" w:rsidP="00057943">
      <w:pPr>
        <w:jc w:val="center"/>
        <w:rPr>
          <w:b/>
          <w:bCs/>
          <w:sz w:val="28"/>
        </w:rPr>
      </w:pPr>
      <w:r w:rsidRPr="00057943">
        <w:rPr>
          <w:b/>
          <w:bCs/>
          <w:sz w:val="28"/>
        </w:rPr>
        <w:t xml:space="preserve">Teologiczno-dogmatyczne implikacje </w:t>
      </w:r>
      <w:r w:rsidR="003A539E" w:rsidRPr="00057943">
        <w:rPr>
          <w:b/>
          <w:bCs/>
          <w:sz w:val="28"/>
        </w:rPr>
        <w:t>dokumentu Międzynarodowej Komisji Teologicznej</w:t>
      </w:r>
      <w:r w:rsidR="00132B53" w:rsidRPr="00057943">
        <w:rPr>
          <w:i/>
          <w:iCs/>
          <w:sz w:val="28"/>
        </w:rPr>
        <w:t xml:space="preserve"> </w:t>
      </w:r>
      <w:r w:rsidR="00132B53" w:rsidRPr="00057943">
        <w:rPr>
          <w:b/>
          <w:bCs/>
          <w:i/>
          <w:iCs/>
          <w:sz w:val="28"/>
        </w:rPr>
        <w:t>Reciprocità tra Fede e Sacramenti nell'economia sacramentale</w:t>
      </w:r>
      <w:r w:rsidRPr="00057943">
        <w:rPr>
          <w:b/>
          <w:bCs/>
          <w:sz w:val="28"/>
        </w:rPr>
        <w:t xml:space="preserve"> w kontekście teologii bierzmowania</w:t>
      </w:r>
    </w:p>
    <w:p w14:paraId="7A6BD5E8" w14:textId="72D3C1FE" w:rsidR="003A539E" w:rsidRPr="00057943" w:rsidRDefault="00502186" w:rsidP="006D1707">
      <w:pPr>
        <w:jc w:val="center"/>
        <w:rPr>
          <w:b/>
          <w:bCs/>
          <w:sz w:val="28"/>
          <w:lang w:val="en-US"/>
        </w:rPr>
      </w:pPr>
      <w:r w:rsidRPr="00057943">
        <w:rPr>
          <w:b/>
          <w:bCs/>
          <w:sz w:val="28"/>
          <w:lang w:val="en-US"/>
        </w:rPr>
        <w:t xml:space="preserve">The theological-dogmatic implications of the document of the International Theological Commission </w:t>
      </w:r>
      <w:r w:rsidR="006D1707" w:rsidRPr="006D1707">
        <w:rPr>
          <w:b/>
          <w:bCs/>
          <w:sz w:val="28"/>
          <w:lang w:val="en-US"/>
        </w:rPr>
        <w:t>"The reciprocity between Faith and Sacraments</w:t>
      </w:r>
      <w:r w:rsidR="006D1707">
        <w:rPr>
          <w:b/>
          <w:bCs/>
          <w:sz w:val="28"/>
          <w:lang w:val="en-US"/>
        </w:rPr>
        <w:t> in the Sacramental E</w:t>
      </w:r>
      <w:r w:rsidR="006D1707" w:rsidRPr="006D1707">
        <w:rPr>
          <w:b/>
          <w:bCs/>
          <w:sz w:val="28"/>
          <w:lang w:val="en-US"/>
        </w:rPr>
        <w:t>conomy"</w:t>
      </w:r>
      <w:r w:rsidRPr="00057943">
        <w:rPr>
          <w:b/>
          <w:bCs/>
          <w:sz w:val="28"/>
          <w:lang w:val="en-US"/>
        </w:rPr>
        <w:t xml:space="preserve"> in the context of confirmation theology.</w:t>
      </w:r>
    </w:p>
    <w:p w14:paraId="1B7921A3" w14:textId="77777777" w:rsidR="0049691F" w:rsidRDefault="0049691F" w:rsidP="00ED52C3">
      <w:pPr>
        <w:pStyle w:val="NoSpacing"/>
        <w:rPr>
          <w:lang w:val="en-US"/>
        </w:rPr>
      </w:pPr>
    </w:p>
    <w:p w14:paraId="4E444042" w14:textId="745C11FC" w:rsidR="00DD35C8" w:rsidRPr="00DD35C8" w:rsidRDefault="00DD35C8" w:rsidP="00DD35C8">
      <w:pPr>
        <w:pStyle w:val="NoSpacing"/>
        <w:jc w:val="center"/>
        <w:rPr>
          <w:b/>
          <w:bCs/>
          <w:sz w:val="20"/>
          <w:szCs w:val="20"/>
          <w:lang w:val="en-US"/>
        </w:rPr>
      </w:pPr>
      <w:r w:rsidRPr="00DD35C8">
        <w:rPr>
          <w:b/>
          <w:bCs/>
          <w:sz w:val="20"/>
          <w:szCs w:val="20"/>
          <w:lang w:val="en-US"/>
        </w:rPr>
        <w:t>Abstract</w:t>
      </w:r>
    </w:p>
    <w:p w14:paraId="6815558A" w14:textId="77777777" w:rsidR="006D1707" w:rsidRDefault="00DD35C8" w:rsidP="00DD35C8">
      <w:pPr>
        <w:pStyle w:val="NoSpacing"/>
        <w:jc w:val="both"/>
        <w:rPr>
          <w:sz w:val="20"/>
          <w:szCs w:val="20"/>
          <w:lang w:val="en-US"/>
        </w:rPr>
      </w:pPr>
      <w:r w:rsidRPr="00DD35C8">
        <w:rPr>
          <w:sz w:val="20"/>
          <w:szCs w:val="20"/>
          <w:lang w:val="en-US"/>
        </w:rPr>
        <w:t xml:space="preserve">The aim of this article is to present the theological-dogmatic implications of the discussed document. </w:t>
      </w:r>
    </w:p>
    <w:p w14:paraId="5501BD95" w14:textId="6BD974C6" w:rsidR="006D1707" w:rsidRDefault="006D1707" w:rsidP="006D1707">
      <w:pPr>
        <w:pStyle w:val="NoSpacing"/>
        <w:jc w:val="both"/>
        <w:rPr>
          <w:sz w:val="20"/>
          <w:szCs w:val="20"/>
          <w:lang w:val="en-US"/>
        </w:rPr>
      </w:pPr>
      <w:r w:rsidRPr="006D1707">
        <w:rPr>
          <w:sz w:val="20"/>
          <w:szCs w:val="20"/>
          <w:lang w:val="en-US"/>
        </w:rPr>
        <w:t>The aim of this article is to demonstrate the theological-dogmatic implications of the document by the International Theological Commission, "</w:t>
      </w:r>
      <w:bookmarkStart w:id="0" w:name="THE_RECIPROCITY_BETWEEN_FAITH_AND_SACRAM"/>
      <w:r w:rsidRPr="006D1707">
        <w:rPr>
          <w:sz w:val="20"/>
          <w:szCs w:val="20"/>
          <w:lang w:val="en-US"/>
        </w:rPr>
        <w:t>The reciprocity between Faith and Sacraments in the sacramental economy</w:t>
      </w:r>
      <w:bookmarkEnd w:id="0"/>
      <w:r w:rsidRPr="006D1707">
        <w:rPr>
          <w:sz w:val="20"/>
          <w:szCs w:val="20"/>
          <w:lang w:val="en-US"/>
        </w:rPr>
        <w:t>" in the context of the theology of confirmation.</w:t>
      </w:r>
    </w:p>
    <w:p w14:paraId="2B620D67" w14:textId="157F703E" w:rsidR="00DD35C8" w:rsidRPr="00DD35C8" w:rsidRDefault="00DD35C8" w:rsidP="00DD35C8">
      <w:pPr>
        <w:pStyle w:val="NoSpacing"/>
        <w:jc w:val="both"/>
        <w:rPr>
          <w:sz w:val="20"/>
          <w:szCs w:val="20"/>
          <w:lang w:val="en-US"/>
        </w:rPr>
      </w:pPr>
      <w:r w:rsidRPr="00DD35C8">
        <w:rPr>
          <w:sz w:val="20"/>
          <w:szCs w:val="20"/>
          <w:lang w:val="en-US"/>
        </w:rPr>
        <w:t>It seems appropriate to revise the Latin theology of the sacrament of confirmation, where the absence of the bishop has led to a change in the order of the sacraments administered. Therefore, it is the task of theologians to develop the theology of Christian initiation more urgently than ever, especially regarding confirmation and the Eucharist as its culmination. The focus should be on developing an objective theology rather than a theology that serves a " priori" pastoral approach. The time we live in demands profound reflection from pastors and the faithful on the value of the sacrament of confirmation. It cannot be treated merely as a ritual but as a spiritual tool for renewal, strengthening faith, and bearing witness in the world. Concerned for the future of the Church, let this be our urgent and common goal.</w:t>
      </w:r>
    </w:p>
    <w:p w14:paraId="6BA8F1B2" w14:textId="77777777" w:rsidR="00DD35C8" w:rsidRPr="00DD35C8" w:rsidRDefault="00DD35C8" w:rsidP="00DD35C8">
      <w:pPr>
        <w:pStyle w:val="NoSpacing"/>
        <w:jc w:val="both"/>
        <w:rPr>
          <w:sz w:val="20"/>
          <w:szCs w:val="20"/>
          <w:lang w:val="en-US"/>
        </w:rPr>
      </w:pPr>
    </w:p>
    <w:p w14:paraId="3D8197AF" w14:textId="6BBDEC35" w:rsidR="00DD35C8" w:rsidRPr="00DD35C8" w:rsidRDefault="00DD35C8" w:rsidP="00DD35C8">
      <w:pPr>
        <w:pStyle w:val="NoSpacing"/>
        <w:jc w:val="both"/>
        <w:rPr>
          <w:sz w:val="20"/>
          <w:szCs w:val="20"/>
          <w:lang w:val="en-US"/>
        </w:rPr>
      </w:pPr>
      <w:r w:rsidRPr="00DD35C8">
        <w:rPr>
          <w:b/>
          <w:bCs/>
          <w:sz w:val="20"/>
          <w:szCs w:val="20"/>
          <w:lang w:val="en-US"/>
        </w:rPr>
        <w:t>Keywords:</w:t>
      </w:r>
      <w:r w:rsidRPr="00DD35C8">
        <w:rPr>
          <w:sz w:val="20"/>
          <w:szCs w:val="20"/>
          <w:lang w:val="en-US"/>
        </w:rPr>
        <w:t xml:space="preserve"> Confirmation – International Theological Commission – Theology – Sacrament – Eucharist – Priesthood – Renewal</w:t>
      </w:r>
    </w:p>
    <w:p w14:paraId="701B922F" w14:textId="77777777" w:rsidR="00DD35C8" w:rsidRPr="00DD35C8" w:rsidRDefault="00DD35C8" w:rsidP="00DD35C8">
      <w:pPr>
        <w:pStyle w:val="NoSpacing"/>
        <w:jc w:val="both"/>
        <w:rPr>
          <w:sz w:val="20"/>
          <w:szCs w:val="20"/>
          <w:lang w:val="en-US"/>
        </w:rPr>
      </w:pPr>
    </w:p>
    <w:p w14:paraId="574E7ED7" w14:textId="5CE62226" w:rsidR="00ED52C3" w:rsidRPr="00DD35C8" w:rsidRDefault="00ED52C3" w:rsidP="00ED52C3">
      <w:pPr>
        <w:pStyle w:val="NoSpacing"/>
        <w:jc w:val="center"/>
        <w:rPr>
          <w:b/>
          <w:bCs/>
          <w:sz w:val="20"/>
          <w:szCs w:val="20"/>
        </w:rPr>
      </w:pPr>
      <w:r w:rsidRPr="00DD35C8">
        <w:rPr>
          <w:b/>
          <w:bCs/>
          <w:sz w:val="20"/>
          <w:szCs w:val="20"/>
        </w:rPr>
        <w:t>Streszczenie</w:t>
      </w:r>
    </w:p>
    <w:p w14:paraId="110C360C" w14:textId="2A102F7F" w:rsidR="0049691F" w:rsidRPr="00DD35C8" w:rsidRDefault="0049691F" w:rsidP="006D1707">
      <w:pPr>
        <w:pStyle w:val="NoSpacing"/>
        <w:jc w:val="both"/>
        <w:rPr>
          <w:sz w:val="20"/>
          <w:szCs w:val="20"/>
        </w:rPr>
      </w:pPr>
      <w:r w:rsidRPr="00DD35C8">
        <w:rPr>
          <w:sz w:val="20"/>
          <w:szCs w:val="20"/>
        </w:rPr>
        <w:t xml:space="preserve">Celem niniejszego artykułu jest ukazanie teologiczno-dogmatycznych implikacji </w:t>
      </w:r>
      <w:r w:rsidR="006D1707">
        <w:rPr>
          <w:sz w:val="20"/>
          <w:szCs w:val="20"/>
        </w:rPr>
        <w:t xml:space="preserve">dokumentu </w:t>
      </w:r>
      <w:r w:rsidR="006D1707" w:rsidRPr="006D1707">
        <w:rPr>
          <w:sz w:val="20"/>
          <w:szCs w:val="20"/>
        </w:rPr>
        <w:t>Międzynarodowej Komisji Teologicznej</w:t>
      </w:r>
      <w:r w:rsidR="006D1707" w:rsidRPr="006D1707">
        <w:rPr>
          <w:i/>
          <w:iCs/>
          <w:sz w:val="20"/>
          <w:szCs w:val="20"/>
        </w:rPr>
        <w:t xml:space="preserve"> Reciprocità tra Fede e Sacramenti nell'economia sacramentale</w:t>
      </w:r>
      <w:r w:rsidR="006D1707" w:rsidRPr="006D1707">
        <w:rPr>
          <w:sz w:val="20"/>
          <w:szCs w:val="20"/>
        </w:rPr>
        <w:t xml:space="preserve"> w kontekście teologii bierzmowania.</w:t>
      </w:r>
      <w:r w:rsidR="006D1707" w:rsidRPr="00A30EDD">
        <w:rPr>
          <w:color w:val="FF0000"/>
          <w:sz w:val="20"/>
          <w:szCs w:val="20"/>
        </w:rPr>
        <w:t xml:space="preserve"> </w:t>
      </w:r>
      <w:r w:rsidRPr="00DD35C8">
        <w:rPr>
          <w:sz w:val="20"/>
          <w:szCs w:val="20"/>
        </w:rPr>
        <w:t xml:space="preserve">Wydaje się słuszne zrewidować łacińską teologię </w:t>
      </w:r>
      <w:r w:rsidR="00ED52C3" w:rsidRPr="00DD35C8">
        <w:rPr>
          <w:sz w:val="20"/>
          <w:szCs w:val="20"/>
        </w:rPr>
        <w:t xml:space="preserve">sakramentu </w:t>
      </w:r>
      <w:proofErr w:type="gramStart"/>
      <w:r w:rsidRPr="00DD35C8">
        <w:rPr>
          <w:sz w:val="20"/>
          <w:szCs w:val="20"/>
        </w:rPr>
        <w:t>bierzmowania</w:t>
      </w:r>
      <w:proofErr w:type="gramEnd"/>
      <w:r w:rsidRPr="00DD35C8">
        <w:rPr>
          <w:sz w:val="20"/>
          <w:szCs w:val="20"/>
        </w:rPr>
        <w:t xml:space="preserve"> gdzie nieobecność biskupa spowodowała zmianę kolejności udzielanych sakramentów. Dlatego zadaniem teologów jest pilniejsze niż kiedykolwiek rozwijanie teologii wtajemniczenia chrześcijańskiego, a zwłaszcza bierzmowania i Eucharystii jako jego zwieńczenia. Chodzi o rozwijanie teologii obiektywnej, a nie teologii służącej „a priori” podejściu duszpasterskiemu.</w:t>
      </w:r>
      <w:r w:rsidR="00DD35C8" w:rsidRPr="00DD35C8">
        <w:rPr>
          <w:sz w:val="20"/>
          <w:szCs w:val="20"/>
        </w:rPr>
        <w:t xml:space="preserve"> Czas, w którym żyjemy, wymaga od duszpasterzy i wiernych głębokiej refleksji nad wartością sakramentu bierzmowania. Nie można go traktować jedynie jako rytuału, lecz jako duchowego narzędzia do odnowy, umacniania wiary i świadectwa w świecie. W trosce o przyszłość Kościoła, niech będzie to nasz pilny i wspólny cel.</w:t>
      </w:r>
    </w:p>
    <w:p w14:paraId="03B9027F" w14:textId="77777777" w:rsidR="00ED52C3" w:rsidRPr="00DD35C8" w:rsidRDefault="00ED52C3" w:rsidP="00ED52C3">
      <w:pPr>
        <w:pStyle w:val="NoSpacing"/>
        <w:jc w:val="both"/>
        <w:rPr>
          <w:sz w:val="20"/>
          <w:szCs w:val="20"/>
        </w:rPr>
      </w:pPr>
    </w:p>
    <w:p w14:paraId="6BA16AD2" w14:textId="5EE9A116" w:rsidR="00ED52C3" w:rsidRDefault="00ED52C3" w:rsidP="00ED52C3">
      <w:pPr>
        <w:pStyle w:val="NoSpacing"/>
        <w:jc w:val="both"/>
      </w:pPr>
      <w:r w:rsidRPr="00DD35C8">
        <w:rPr>
          <w:b/>
          <w:bCs/>
          <w:sz w:val="20"/>
          <w:szCs w:val="20"/>
        </w:rPr>
        <w:t>Słowa kluczowe</w:t>
      </w:r>
      <w:r w:rsidRPr="00DD35C8">
        <w:rPr>
          <w:sz w:val="20"/>
          <w:szCs w:val="20"/>
        </w:rPr>
        <w:t xml:space="preserve">: bierzmowanie – Międzynarodowa Komisja Teologiczna – teologia – sakrament – Eucharystia – kapłaństwo </w:t>
      </w:r>
      <w:r w:rsidR="00DD35C8" w:rsidRPr="00DD35C8">
        <w:rPr>
          <w:sz w:val="20"/>
          <w:szCs w:val="20"/>
        </w:rPr>
        <w:t>- odnowa</w:t>
      </w:r>
    </w:p>
    <w:p w14:paraId="72730827" w14:textId="77777777" w:rsidR="0049691F" w:rsidRPr="0049691F" w:rsidRDefault="0049691F" w:rsidP="0049691F">
      <w:pPr>
        <w:jc w:val="both"/>
      </w:pPr>
    </w:p>
    <w:p w14:paraId="15FA0E09" w14:textId="6816D03E" w:rsidR="003A539E" w:rsidRPr="003A539E" w:rsidRDefault="003A539E" w:rsidP="003A539E">
      <w:pPr>
        <w:pStyle w:val="NoSpacing"/>
        <w:ind w:firstLine="709"/>
        <w:jc w:val="both"/>
      </w:pPr>
      <w:r w:rsidRPr="003A539E">
        <w:lastRenderedPageBreak/>
        <w:t>Jeśli kiedykolwiek istniał czas, który wymagał od duszpasterzy pilnej pracy w objaśnianiu sakramentu bierzmowania, to bez wątpienia jest to czas obecny. Współczesny Kościół, mimo swojego duchowego bogactwa i głębokiej tradycji, stoi wobec poważnych wyzwań związanych z</w:t>
      </w:r>
      <w:r w:rsidR="00A30EDD">
        <w:t>e</w:t>
      </w:r>
      <w:r w:rsidRPr="003A539E">
        <w:t xml:space="preserve"> rozumieniem i praktykowaniem tego sakramentu. W wielu </w:t>
      </w:r>
      <w:r w:rsidR="00A53FAA">
        <w:t xml:space="preserve">chrześcijańskich </w:t>
      </w:r>
      <w:r w:rsidRPr="003A539E">
        <w:t>wspólnotach można zaobserwować, że bierzmowanie jest zaniedbywane lub traktowane jedynie jako formalność, a nie jako okazja do głębokiego doświadczenia łaski Bożej.</w:t>
      </w:r>
    </w:p>
    <w:p w14:paraId="545ACF32" w14:textId="77777777" w:rsidR="003A539E" w:rsidRPr="003A539E" w:rsidRDefault="003A539E" w:rsidP="003A539E">
      <w:pPr>
        <w:pStyle w:val="NoSpacing"/>
        <w:ind w:firstLine="709"/>
        <w:jc w:val="both"/>
      </w:pPr>
      <w:r w:rsidRPr="003A539E">
        <w:t>Niestety, coraz częściej można spotkać się z sytuacją, w której wierni całkowicie pomijają znaczenie sakramentu bierzmowania. Dla wielu jest on jedynie symbolicznym rytuałem, a nie duchowym przeżyciem, które wprowadza w pełnię darów Ducha Świętego i umacnia w wierze. W efekcie, niewielu z nich stara się korzystać z łaski, którą ten sakrament zawiera, a nawet niewielu rozumie, dlaczego jest on tak ważny w duchowym rozwoju chrześcijanina.</w:t>
      </w:r>
    </w:p>
    <w:p w14:paraId="30131AD8" w14:textId="7126F572" w:rsidR="003A539E" w:rsidRPr="003A539E" w:rsidRDefault="003A539E" w:rsidP="003A539E">
      <w:pPr>
        <w:pStyle w:val="NoSpacing"/>
        <w:ind w:firstLine="709"/>
        <w:jc w:val="both"/>
      </w:pPr>
      <w:r w:rsidRPr="003A539E">
        <w:t>Przyczyny tego stanu rzeczy można upatrywać w wielu czynnikach. Brak odpowiedniej katechizacji, słaba rola młodzieżowych wspólnot religijnych, a także zbyt powierzchowne tłumaczenie teologii sakramentu sprawiają, że młodzi ludzie nie zdają sobie sprawy z głębokiej wartości bierzmowania. Często jest ono kojarzone wyłącznie z obowiązkiem przyjęcia sakramentu, aby móc brać udział w innych ważnych aktach Kościoła lub po prostu jest postrzegane jako nieunikni</w:t>
      </w:r>
      <w:r>
        <w:t>o</w:t>
      </w:r>
      <w:r w:rsidRPr="003A539E">
        <w:t>ny rytuał, który kończy etap przygotowania do pełnoprawnego uczestnictwa w życiu religijnym.</w:t>
      </w:r>
    </w:p>
    <w:p w14:paraId="6D8F06D2" w14:textId="77777777" w:rsidR="003A539E" w:rsidRPr="003A539E" w:rsidRDefault="003A539E" w:rsidP="003A539E">
      <w:pPr>
        <w:pStyle w:val="NoSpacing"/>
        <w:ind w:firstLine="709"/>
        <w:jc w:val="both"/>
      </w:pPr>
      <w:r w:rsidRPr="003A539E">
        <w:t>Tymczasem, sakrament bierzmowania to nie tylko symboliczny akt, lecz realna możliwość zbliżenia się do Boga i otrzymania darów Ducha Świętego, które mają prowadzić wiernych przez całe życie. To także czas, kiedy powinniśmy jako Kościół, zwłaszcza duszpasterze, z dużą pasją i troską objaśniać jego głęboki sens, zachęcać do osobistego przeżywania i korzystania z łaski, która w nim jest zawarta.</w:t>
      </w:r>
    </w:p>
    <w:p w14:paraId="28A35A9C" w14:textId="77777777" w:rsidR="003A539E" w:rsidRDefault="003A539E" w:rsidP="003A539E">
      <w:pPr>
        <w:pStyle w:val="NoSpacing"/>
        <w:ind w:firstLine="709"/>
        <w:jc w:val="both"/>
      </w:pPr>
      <w:r w:rsidRPr="003A539E">
        <w:t>W obliczu tych wyzwań konieczne jest odnowienie kapłańskiego i świeckiego zaangażowania w katechezę dotyczącą sakramentu bierzmowania. Podjęcie działań edukacyjnych, rekolekcji, świadectwa i osobiste zaangażowanie duchownych mogą pomóc wiernym lepiej zrozumieć znaczenie tego sakramentu oraz korzystać z jego łaski. Tylko w ten sposób będzie możliwe przywrócenie głębi duchowego przeżycia bierzmowania, które jest fundamentem doświadczania pełni Bożej łaski i mocą do świadomego, wiernego życia w Chrystusie.</w:t>
      </w:r>
    </w:p>
    <w:p w14:paraId="507F812A" w14:textId="4C2CDA23" w:rsidR="004E11D9" w:rsidRDefault="004E11D9" w:rsidP="003A539E">
      <w:pPr>
        <w:pStyle w:val="NoSpacing"/>
        <w:ind w:firstLine="709"/>
        <w:jc w:val="both"/>
      </w:pPr>
      <w:r>
        <w:t xml:space="preserve">Zwróciła na to uwagę </w:t>
      </w:r>
      <w:r w:rsidRPr="004E11D9">
        <w:t>Międzynarodowa Komisja Teologiczna</w:t>
      </w:r>
      <w:r>
        <w:t>, która</w:t>
      </w:r>
      <w:r w:rsidRPr="004E11D9">
        <w:t xml:space="preserve"> wydała dokument o relacji między wiarą i sakramentami</w:t>
      </w:r>
      <w:r>
        <w:rPr>
          <w:rStyle w:val="FootnoteReference"/>
        </w:rPr>
        <w:footnoteReference w:id="1"/>
      </w:r>
      <w:r w:rsidRPr="004E11D9">
        <w:t xml:space="preserve">. </w:t>
      </w:r>
      <w:r>
        <w:t>C</w:t>
      </w:r>
      <w:r w:rsidRPr="004E11D9">
        <w:t xml:space="preserve">złonkowie komisji pracowali </w:t>
      </w:r>
      <w:r>
        <w:t xml:space="preserve">nad tym dokumentem </w:t>
      </w:r>
      <w:r w:rsidRPr="004E11D9">
        <w:t xml:space="preserve">pięć lat. </w:t>
      </w:r>
      <w:r>
        <w:t xml:space="preserve">Komisja </w:t>
      </w:r>
      <w:r w:rsidRPr="004E11D9">
        <w:t>obszernie wypowiada się na temat sakramentalnego charakteru samego objawienia i</w:t>
      </w:r>
      <w:r w:rsidR="00A30EDD">
        <w:t xml:space="preserve"> historii zbawienia. Podkreśla</w:t>
      </w:r>
      <w:r w:rsidRPr="004E11D9">
        <w:t>, że celem jest tu przekaz łaski i nawiązanie dialogu z człowiekiem. W konsekwencji również wiara chrześcijańska jako odpowiedź na inicjatywę Boga ma charakter sakramentalny.</w:t>
      </w:r>
      <w:r>
        <w:t xml:space="preserve"> </w:t>
      </w:r>
      <w:r w:rsidRPr="004E11D9">
        <w:t xml:space="preserve">W kolejnych rozdziałach </w:t>
      </w:r>
      <w:r>
        <w:t>Międzynarodowa K</w:t>
      </w:r>
      <w:r w:rsidRPr="004E11D9">
        <w:t xml:space="preserve">omisja </w:t>
      </w:r>
      <w:r>
        <w:t>T</w:t>
      </w:r>
      <w:r w:rsidRPr="004E11D9">
        <w:t xml:space="preserve">eologiczna omawia najpierw sakramenty wtajemniczenia chrześcijańskiego, a następnie sakrament małżeństwa. </w:t>
      </w:r>
      <w:r w:rsidR="00A53FAA">
        <w:t>D</w:t>
      </w:r>
      <w:r w:rsidR="00A53FAA" w:rsidRPr="00A53FAA">
        <w:t xml:space="preserve">okument nie sugeruje żadnych automatycznych rozwiązań, chce jedynie być pomocą w duszpasterskim rozeznawaniu. </w:t>
      </w:r>
      <w:r>
        <w:t xml:space="preserve">W niniejszym artykule </w:t>
      </w:r>
      <w:r w:rsidR="00A53FAA">
        <w:t xml:space="preserve">poszukamy teologiczno-dogmatycznych implikacji omawianego dokumentu w kontekście </w:t>
      </w:r>
      <w:r>
        <w:t xml:space="preserve">sakramentu bierzmowania. </w:t>
      </w:r>
    </w:p>
    <w:p w14:paraId="62A2BEBD" w14:textId="77777777" w:rsidR="00A53FAA" w:rsidRDefault="00A53FAA" w:rsidP="003A539E">
      <w:pPr>
        <w:pStyle w:val="NoSpacing"/>
        <w:ind w:firstLine="709"/>
        <w:jc w:val="both"/>
      </w:pPr>
    </w:p>
    <w:p w14:paraId="713C9810" w14:textId="48845411" w:rsidR="00A53FAA" w:rsidRPr="004414A5" w:rsidRDefault="004414A5" w:rsidP="004414A5">
      <w:pPr>
        <w:pStyle w:val="NoSpacing"/>
        <w:numPr>
          <w:ilvl w:val="0"/>
          <w:numId w:val="1"/>
        </w:numPr>
        <w:jc w:val="both"/>
        <w:rPr>
          <w:b/>
          <w:bCs/>
        </w:rPr>
      </w:pPr>
      <w:r w:rsidRPr="004414A5">
        <w:rPr>
          <w:b/>
          <w:bCs/>
        </w:rPr>
        <w:t>Związek sakrament</w:t>
      </w:r>
      <w:r w:rsidR="00F53A89">
        <w:rPr>
          <w:b/>
          <w:bCs/>
        </w:rPr>
        <w:t>ów</w:t>
      </w:r>
      <w:r w:rsidRPr="004414A5">
        <w:rPr>
          <w:b/>
          <w:bCs/>
        </w:rPr>
        <w:t xml:space="preserve"> z wiarą</w:t>
      </w:r>
    </w:p>
    <w:p w14:paraId="20D927B5" w14:textId="77777777" w:rsidR="004414A5" w:rsidRDefault="004414A5" w:rsidP="004414A5">
      <w:pPr>
        <w:pStyle w:val="NoSpacing"/>
        <w:jc w:val="both"/>
      </w:pPr>
    </w:p>
    <w:p w14:paraId="170F064F" w14:textId="00D427E6" w:rsidR="004414A5" w:rsidRPr="004414A5" w:rsidRDefault="004414A5" w:rsidP="004414A5">
      <w:pPr>
        <w:pStyle w:val="NoSpacing"/>
        <w:ind w:firstLine="709"/>
        <w:jc w:val="both"/>
      </w:pPr>
      <w:r w:rsidRPr="004414A5">
        <w:t xml:space="preserve">Boża oferta zbawienia opiera się na wierze – osobistym zawierzeniu się Bogu, który objawił się nam w Jezusie Chrystusie. To On założył Kościół i </w:t>
      </w:r>
      <w:r>
        <w:t>ustanowił w nim</w:t>
      </w:r>
      <w:r w:rsidRPr="004414A5">
        <w:t xml:space="preserve"> sakramenty, które przedłużają dzieło zbawienia dokonane przez Niego, uzdrawiając skutki grzechu i dając nowe życie</w:t>
      </w:r>
      <w:r>
        <w:t xml:space="preserve"> (RFS 10)</w:t>
      </w:r>
      <w:r w:rsidRPr="004414A5">
        <w:t>. Sakramenty są więc narzędziami Bożej łaski, mocno związanymi z osobistą wiarą i zaufaniem, które pozwala doświadczyć uzdrawiającej i odradzającej mocy Ciała Chrystusa i Kościoła.</w:t>
      </w:r>
      <w:r>
        <w:t xml:space="preserve"> </w:t>
      </w:r>
    </w:p>
    <w:p w14:paraId="2F5080C1" w14:textId="083AD652" w:rsidR="00D64C74" w:rsidRDefault="004414A5" w:rsidP="00D64C74">
      <w:pPr>
        <w:pStyle w:val="NoSpacing"/>
        <w:ind w:firstLine="709"/>
        <w:jc w:val="both"/>
      </w:pPr>
      <w:r>
        <w:t>Mi</w:t>
      </w:r>
      <w:r w:rsidR="003507A7">
        <w:t>ę</w:t>
      </w:r>
      <w:r>
        <w:t>dzynarodowa Komisja Teologiczna zauważa, że w</w:t>
      </w:r>
      <w:r w:rsidRPr="004414A5">
        <w:t xml:space="preserve"> codziennym życiu pojawiają się różne czynniki, które mogą wprowadzać rozbieżność między wiarą a sakramentami. Jednym z głównych powodów, zdaniem </w:t>
      </w:r>
      <w:r w:rsidRPr="00D64C74">
        <w:t xml:space="preserve">teologów, nie jest tylko brak </w:t>
      </w:r>
      <w:r w:rsidR="003507A7" w:rsidRPr="00D64C74">
        <w:t xml:space="preserve">wystarczającej </w:t>
      </w:r>
      <w:r w:rsidRPr="00D64C74">
        <w:t xml:space="preserve">wiedzy czy wpływ kulturowych uprzedzeń wobec sakramentów, lecz głęboki </w:t>
      </w:r>
      <w:r w:rsidR="003507A7" w:rsidRPr="00D64C74">
        <w:t>kryzys</w:t>
      </w:r>
      <w:r w:rsidRPr="00D64C74">
        <w:t xml:space="preserve"> filozoficzny. Od średniowiecza, szczególnie pod wpływem nominalizmu, a także w czasach nowożytnych, </w:t>
      </w:r>
      <w:r w:rsidR="00D64C74" w:rsidRPr="00D64C74">
        <w:t>niszczona jest logika sakramentalna. W jej konsekwencji następuje rozdźwięk między osobistym aktem wiary (</w:t>
      </w:r>
      <w:r w:rsidR="00D64C74" w:rsidRPr="003E3B7D">
        <w:rPr>
          <w:i/>
          <w:iCs/>
        </w:rPr>
        <w:t>fides qua</w:t>
      </w:r>
      <w:r w:rsidR="00D64C74" w:rsidRPr="00D64C74">
        <w:t>) a jakąkolwiek reprezentacją jego treści (</w:t>
      </w:r>
      <w:r w:rsidR="00D64C74" w:rsidRPr="003E3B7D">
        <w:rPr>
          <w:i/>
          <w:iCs/>
        </w:rPr>
        <w:t>fides quae</w:t>
      </w:r>
      <w:r w:rsidR="00D64C74" w:rsidRPr="00D64C74">
        <w:t xml:space="preserve">). </w:t>
      </w:r>
      <w:r w:rsidRPr="00D64C74">
        <w:t>Jeśli zaprzeczamy zdolności rozumu do poznania prawdy o Bogu, znikają fundamenty, które umożliwiają pełne i głębokie doświadczenie sakramentów. W efekcie, tracimy dostęp do głębi Boskiej prawdy, a tym samym do pełni łaski, którą z nich czerpiemy. To wyzwanie przypomina nam, jak ważne jest, aby wierzyć rozumem i sercem, rozpoznając sakramenty jako nie tylko symboliczne rytuały, lecz prawdziwe narzędzia Bożej obecności i zbawienia</w:t>
      </w:r>
      <w:r w:rsidR="00D64C74" w:rsidRPr="00D64C74">
        <w:t xml:space="preserve"> (por. RFS 4).</w:t>
      </w:r>
    </w:p>
    <w:p w14:paraId="7E2ABD95" w14:textId="270C1259" w:rsidR="00D64C74" w:rsidRPr="00D64C74" w:rsidRDefault="00D64C74" w:rsidP="00D64C74">
      <w:pPr>
        <w:pStyle w:val="NoSpacing"/>
        <w:ind w:firstLine="709"/>
        <w:jc w:val="both"/>
      </w:pPr>
      <w:r w:rsidRPr="00D64C74">
        <w:t>Zazwyczaj myślimy o wierze jako o dwóch rzeczach: po pierwsze, jako o osobistym zawierzeniu Bogu — czyli o tym, że wierzymy, bo decydujemy się zaufać Bogu i otworzyć się na Jego obecność w naszym życiu. To zawierzenie, nazywane</w:t>
      </w:r>
      <w:r w:rsidRPr="00D64C74">
        <w:rPr>
          <w:i/>
          <w:iCs/>
        </w:rPr>
        <w:t xml:space="preserve"> fides qua creditur</w:t>
      </w:r>
      <w:r w:rsidRPr="00D64C74">
        <w:t>, to aktywna obecność Boga w nas samych, która nas przemienia i pomaga nam z Nim być w bliskiej więzi</w:t>
      </w:r>
      <w:r>
        <w:rPr>
          <w:rStyle w:val="FootnoteReference"/>
        </w:rPr>
        <w:footnoteReference w:id="2"/>
      </w:r>
      <w:r w:rsidRPr="00D64C74">
        <w:t xml:space="preserve">. Ta obecność pochodzi od Boga — to On jest źródłem naszej wiary — ale w tym wszystkim jest też nasza odpowiedź, nasza wiara, czyli to, jak my odpowiadamy na Bożą łaskę. </w:t>
      </w:r>
    </w:p>
    <w:p w14:paraId="56B7C974" w14:textId="77777777" w:rsidR="00D64C74" w:rsidRPr="00D64C74" w:rsidRDefault="00D64C74" w:rsidP="00D64C74">
      <w:pPr>
        <w:pStyle w:val="NoSpacing"/>
        <w:ind w:firstLine="709"/>
        <w:jc w:val="both"/>
      </w:pPr>
      <w:r w:rsidRPr="00D64C74">
        <w:t xml:space="preserve">Ta wiara tworzy głęboką relację z Bogiem — opartą na zaufaniu, nadziei i adoracji. Wierzący może mówić: „Wierzę w Ciebie” albo „Wierzę Tobie”, co pokazuje różne aspekty tej relacji. </w:t>
      </w:r>
    </w:p>
    <w:p w14:paraId="303CBC5D" w14:textId="294801DE" w:rsidR="00D64C74" w:rsidRPr="00D64C74" w:rsidRDefault="00D64C74" w:rsidP="006D1707">
      <w:pPr>
        <w:pStyle w:val="NoSpacing"/>
        <w:ind w:firstLine="709"/>
        <w:jc w:val="both"/>
      </w:pPr>
      <w:r w:rsidRPr="00D64C74">
        <w:t>Drugim aspektem jest to, w co wierzymy, czyli treść naszej wiar</w:t>
      </w:r>
      <w:r w:rsidRPr="006D1707">
        <w:t>y</w:t>
      </w:r>
      <w:r w:rsidR="006D1707" w:rsidRPr="006D1707">
        <w:t>, którą otrzymaliśmy przez Objawienie i</w:t>
      </w:r>
      <w:r w:rsidRPr="006D1707">
        <w:t xml:space="preserve"> którą próbujemy zrozumieć, starając się odnaleźć sw</w:t>
      </w:r>
      <w:r w:rsidRPr="00D64C74">
        <w:t xml:space="preserve">oje miejsce w relacji z Bogiem. To określamy jako </w:t>
      </w:r>
      <w:r w:rsidRPr="00D64C74">
        <w:rPr>
          <w:i/>
          <w:iCs/>
        </w:rPr>
        <w:t>fides quae</w:t>
      </w:r>
      <w:r w:rsidRPr="00D64C74">
        <w:t xml:space="preserve"> — zawartość naszej wiary. Z kolei „fides qua” to ta osobista wiara, której doświadczamy i która wyraża się w </w:t>
      </w:r>
      <w:r w:rsidRPr="00D64C74">
        <w:rPr>
          <w:i/>
          <w:iCs/>
        </w:rPr>
        <w:t>fides quae</w:t>
      </w:r>
      <w:r w:rsidR="003E3B7D">
        <w:rPr>
          <w:rStyle w:val="FootnoteReference"/>
          <w:i/>
          <w:iCs/>
        </w:rPr>
        <w:footnoteReference w:id="3"/>
      </w:r>
      <w:r w:rsidRPr="00D64C74">
        <w:t>.</w:t>
      </w:r>
    </w:p>
    <w:p w14:paraId="7A33427C" w14:textId="49D4D299" w:rsidR="003E3B7D" w:rsidRDefault="00D64C74" w:rsidP="003E3B7D">
      <w:pPr>
        <w:pStyle w:val="NoSpacing"/>
        <w:ind w:firstLine="709"/>
        <w:jc w:val="both"/>
      </w:pPr>
      <w:r w:rsidRPr="00D64C74">
        <w:t xml:space="preserve">Zarówno stare, jak i nowe teksty biblijne pokazują jasno, że wiara w Boga — </w:t>
      </w:r>
      <w:r w:rsidRPr="00D64C74">
        <w:rPr>
          <w:i/>
          <w:iCs/>
        </w:rPr>
        <w:t>fides qua</w:t>
      </w:r>
      <w:r w:rsidRPr="00D64C74">
        <w:t xml:space="preserve"> — prowadzi nas do konkretnych działań wobec Niego: akceptacji, wyboru, zaufania, nadziei, posłuszeństwa. Ale ta osobista wiara nigdy nie istnieje bez tego, w co wierzymy — bez jej treści, czyli </w:t>
      </w:r>
      <w:r w:rsidRPr="00D64C74">
        <w:rPr>
          <w:i/>
          <w:iCs/>
        </w:rPr>
        <w:t>fides quae</w:t>
      </w:r>
      <w:r w:rsidRPr="00D64C74">
        <w:t>. Bez tego nasza wiara byłaby pusta i sztuczna, bo prawdziwa wiara musi opierać się na tym, do K</w:t>
      </w:r>
      <w:r w:rsidR="007A5F0C">
        <w:t>ogo kierujemy swoje zaufanie: do</w:t>
      </w:r>
      <w:r w:rsidRPr="00D64C74">
        <w:t xml:space="preserve"> Boga, którego kochamy, którego słuchamy i za którym podążamy</w:t>
      </w:r>
      <w:r w:rsidR="005B6005">
        <w:rPr>
          <w:rStyle w:val="FootnoteReference"/>
        </w:rPr>
        <w:footnoteReference w:id="4"/>
      </w:r>
      <w:r w:rsidRPr="00D64C74">
        <w:t>.</w:t>
      </w:r>
    </w:p>
    <w:p w14:paraId="3EA30BBD" w14:textId="05CFDCEE" w:rsidR="003E3B7D" w:rsidRDefault="003E3B7D" w:rsidP="003E3B7D">
      <w:pPr>
        <w:pStyle w:val="NoSpacing"/>
        <w:ind w:firstLine="709"/>
        <w:jc w:val="both"/>
      </w:pPr>
      <w:r>
        <w:t xml:space="preserve">Międzynarodowa Komisja Teologiczna podkreśla, że jednym z czynników, które pogłębiają kryzys wiary, jest nadmierne skupienie na wiedzy naukowej i technicznej jako na najbardziej pewnej i ostatecznej. Taki sposób myślenia może utrudniać zrozumienie sakramentów, ponieważ skupianie się wyłącznie na pewności opartej na dowodach </w:t>
      </w:r>
      <w:r>
        <w:lastRenderedPageBreak/>
        <w:t>empirycznych stoi w sprzeczności zarówno z głębokim poznaniem metafizycznym, które kiedyś charakteryzowało np. nominalizm, jak i z poznaniem symbolicznym, czyli rozumieniem symboli i ich głębokiego znaczenia (RFS 5).</w:t>
      </w:r>
    </w:p>
    <w:p w14:paraId="2C798983" w14:textId="77777777" w:rsidR="00F53A89" w:rsidRPr="0023139A" w:rsidRDefault="003E3B7D" w:rsidP="00F53A89">
      <w:pPr>
        <w:pStyle w:val="NoSpacing"/>
        <w:ind w:firstLine="709"/>
        <w:jc w:val="both"/>
      </w:pPr>
      <w:r>
        <w:t>Z drugiej strony, istnieje też zbyt krytyczna postawa, która skupia się na tym, jak symbol może mieć emocjonalną siłę i efekt, ale często bez odniesienia do rzeczywistości. W takich przypadkach symbole są traktowane jako same w sobie, jako obrazy mające moc, bez świadomości, że ich wartość wynika z odniesienia do głębszego duchowego czy realnego znaczenia. To wywyższanie obrazów i symboli bez w</w:t>
      </w:r>
      <w:r w:rsidRPr="0023139A">
        <w:t>łaściwego kontekstu może prowadzić do utraty ich autentycznego sensu (RFS 6).</w:t>
      </w:r>
    </w:p>
    <w:p w14:paraId="03AC3664" w14:textId="790E204C" w:rsidR="00F53A89" w:rsidRPr="0023139A" w:rsidRDefault="000C7D3D" w:rsidP="00F53A89">
      <w:pPr>
        <w:pStyle w:val="NoSpacing"/>
        <w:ind w:firstLine="709"/>
        <w:jc w:val="both"/>
      </w:pPr>
      <w:r w:rsidRPr="0023139A">
        <w:t xml:space="preserve">Komisja naukowa podległa Kongregacji Nauki Wiary wskazuje na </w:t>
      </w:r>
      <w:r w:rsidR="00F53A89" w:rsidRPr="0023139A">
        <w:t>pewne „duszpasterskie zaniedbania”</w:t>
      </w:r>
      <w:r w:rsidR="0023139A" w:rsidRPr="0023139A">
        <w:t xml:space="preserve"> oraz jednowymiarowe </w:t>
      </w:r>
      <w:r w:rsidR="005D2DF3">
        <w:t>redukcj</w:t>
      </w:r>
      <w:r w:rsidR="00F53A89" w:rsidRPr="0023139A">
        <w:t>e</w:t>
      </w:r>
      <w:r w:rsidR="0023139A" w:rsidRPr="0023139A">
        <w:t xml:space="preserve">, które </w:t>
      </w:r>
      <w:r w:rsidR="00F53A89" w:rsidRPr="0023139A">
        <w:t>przyczyniły się do pogłębienia rozdźwięku między wiarą a sakramentami</w:t>
      </w:r>
      <w:r w:rsidR="0023139A" w:rsidRPr="0023139A">
        <w:t xml:space="preserve">. Pracujący w Komisji teolodzy wskazali, że czasami, w wielu miejscach, </w:t>
      </w:r>
      <w:r w:rsidR="00F53A89" w:rsidRPr="0023139A">
        <w:t>duszpasterstwo ewangelizacyjne rozumiano tak, jakby nie obejmowało duszpasterstwa sakramentów</w:t>
      </w:r>
      <w:r w:rsidR="0023139A" w:rsidRPr="0023139A">
        <w:t>.</w:t>
      </w:r>
      <w:r w:rsidR="00F53A89" w:rsidRPr="0023139A">
        <w:t xml:space="preserve"> </w:t>
      </w:r>
      <w:r w:rsidR="0023139A" w:rsidRPr="0023139A">
        <w:t>W</w:t>
      </w:r>
      <w:r w:rsidR="00F53A89" w:rsidRPr="0023139A">
        <w:t xml:space="preserve"> innych przypadkach „prymat miłości bliźniego” pociągał za sobą swego rodzaju relatywizację sakramentów</w:t>
      </w:r>
      <w:r w:rsidR="0023139A" w:rsidRPr="0023139A">
        <w:t>. Jeszcze gdzie indziej</w:t>
      </w:r>
      <w:r w:rsidR="00F53A89" w:rsidRPr="0023139A">
        <w:t xml:space="preserve"> koncentrowano się na „budowaniu wspólnoty”, zaniedbując decydującą rolę sakramentów w osiąganiu tego celu</w:t>
      </w:r>
      <w:r w:rsidR="005D2DF3">
        <w:t>. Nie</w:t>
      </w:r>
      <w:r w:rsidR="0023139A" w:rsidRPr="0023139A">
        <w:t xml:space="preserve">obce są w Kościele katolickim </w:t>
      </w:r>
      <w:r w:rsidR="00F53A89" w:rsidRPr="0023139A">
        <w:t xml:space="preserve">skrajności, </w:t>
      </w:r>
      <w:r w:rsidR="0023139A" w:rsidRPr="0023139A">
        <w:t xml:space="preserve">kiedy to duszpasterze i wierni </w:t>
      </w:r>
      <w:r w:rsidR="00F53A89" w:rsidRPr="0023139A">
        <w:t xml:space="preserve">dochodzą do wniosku, że istota wiary zakorzeniona jest w życiu Ewangelią, </w:t>
      </w:r>
      <w:r w:rsidR="0023139A" w:rsidRPr="0023139A">
        <w:t xml:space="preserve">i lekceważą </w:t>
      </w:r>
      <w:r w:rsidR="00F53A89" w:rsidRPr="0023139A">
        <w:t>„rytuał” jako c</w:t>
      </w:r>
      <w:r w:rsidR="0023139A" w:rsidRPr="0023139A">
        <w:t>oś</w:t>
      </w:r>
      <w:r w:rsidR="00F53A89" w:rsidRPr="0023139A">
        <w:t xml:space="preserve"> obc</w:t>
      </w:r>
      <w:r w:rsidR="0023139A" w:rsidRPr="0023139A">
        <w:t>ego</w:t>
      </w:r>
      <w:r w:rsidR="00F53A89" w:rsidRPr="0023139A">
        <w:t xml:space="preserve"> sercu Ewangelii, a w konsekwencji ignorują fakt, że same sakramenty sprzyjają i wzmacniają intensywne „doświadczenie” Ewangelii (RFS 8).</w:t>
      </w:r>
    </w:p>
    <w:p w14:paraId="4E6058BB" w14:textId="3E68D911" w:rsidR="00F53A89" w:rsidRPr="006C5653" w:rsidRDefault="00F53A89" w:rsidP="006C5653">
      <w:pPr>
        <w:pStyle w:val="NoSpacing"/>
        <w:ind w:firstLine="709"/>
        <w:jc w:val="both"/>
      </w:pPr>
      <w:r w:rsidRPr="0023139A">
        <w:t xml:space="preserve">W konsekwencji tego wszystkiego wielu </w:t>
      </w:r>
      <w:r w:rsidR="0023139A" w:rsidRPr="0023139A">
        <w:t xml:space="preserve">ochrzczonych </w:t>
      </w:r>
      <w:r w:rsidR="00E40B72">
        <w:t>sądzi, że może</w:t>
      </w:r>
      <w:r w:rsidRPr="0023139A">
        <w:t xml:space="preserve"> żyć swoją wiarą, ignorując prakt</w:t>
      </w:r>
      <w:r w:rsidR="00E40B72">
        <w:t>yki sakramentalne, które uważa</w:t>
      </w:r>
      <w:r w:rsidRPr="0023139A">
        <w:t xml:space="preserve"> za opcjonalne i swobodnie dostępne. </w:t>
      </w:r>
      <w:r w:rsidR="00E40B72">
        <w:t>Istnieją</w:t>
      </w:r>
      <w:r w:rsidR="0023139A" w:rsidRPr="0023139A">
        <w:t xml:space="preserve"> więc dwa rodzaje niebezpieczeństw. Pierwsze to swoisty </w:t>
      </w:r>
      <w:r w:rsidRPr="0023139A">
        <w:t xml:space="preserve">rytualizm pozbawiony wiary, z powodu braku </w:t>
      </w:r>
      <w:r w:rsidR="0023139A" w:rsidRPr="0023139A">
        <w:t xml:space="preserve">życia </w:t>
      </w:r>
      <w:r w:rsidR="0023139A" w:rsidRPr="006C5653">
        <w:t>duchowego</w:t>
      </w:r>
      <w:r w:rsidRPr="006C5653">
        <w:t>, obyczajów i tradycji społecznej</w:t>
      </w:r>
      <w:r w:rsidR="0023139A" w:rsidRPr="006C5653">
        <w:t>. Drugie niebezpieczeństwo to</w:t>
      </w:r>
      <w:r w:rsidRPr="006C5653">
        <w:t xml:space="preserve"> prywatyzacja wiary, sprowadzona do wewnętrznej przestrzeni własnego sumienia i uczuć. W obu przypadkach istnieje rana we wzajemności między wiarą a sakramentami (RFS 9).</w:t>
      </w:r>
      <w:r w:rsidR="006C5653" w:rsidRPr="006C5653">
        <w:t xml:space="preserve"> </w:t>
      </w:r>
      <w:r w:rsidRPr="006C5653">
        <w:t xml:space="preserve">Ten kryzys </w:t>
      </w:r>
      <w:r w:rsidR="006C5653" w:rsidRPr="006C5653">
        <w:t xml:space="preserve">dotyka również </w:t>
      </w:r>
      <w:r w:rsidRPr="006C5653">
        <w:t xml:space="preserve">sakramentów </w:t>
      </w:r>
      <w:r w:rsidR="006C5653" w:rsidRPr="006C5653">
        <w:t xml:space="preserve">inicjacji </w:t>
      </w:r>
      <w:r w:rsidRPr="006C5653">
        <w:t>chrześcijańskie</w:t>
      </w:r>
      <w:r w:rsidR="006C5653" w:rsidRPr="006C5653">
        <w:t>j</w:t>
      </w:r>
      <w:r w:rsidRPr="006C5653">
        <w:t>, w których sama natura wzajemności między wiarą a sakramentami powinna otrzymać swoje przypieczętowanie (por. RFS 3)</w:t>
      </w:r>
      <w:r w:rsidR="006C5653" w:rsidRPr="006C5653">
        <w:rPr>
          <w:rStyle w:val="FootnoteReference"/>
        </w:rPr>
        <w:footnoteReference w:id="5"/>
      </w:r>
      <w:r w:rsidRPr="006C5653">
        <w:t xml:space="preserve">. </w:t>
      </w:r>
    </w:p>
    <w:p w14:paraId="111C4056" w14:textId="77777777" w:rsidR="00F53A89" w:rsidRDefault="00F53A89" w:rsidP="003E3B7D">
      <w:pPr>
        <w:pStyle w:val="NoSpacing"/>
        <w:ind w:firstLine="709"/>
        <w:jc w:val="both"/>
      </w:pPr>
    </w:p>
    <w:p w14:paraId="76948E5A" w14:textId="738B4FD5" w:rsidR="00FA6082" w:rsidRPr="00FA6082" w:rsidRDefault="00FA6082" w:rsidP="00FA6082">
      <w:pPr>
        <w:pStyle w:val="NoSpacing"/>
        <w:numPr>
          <w:ilvl w:val="0"/>
          <w:numId w:val="1"/>
        </w:numPr>
        <w:jc w:val="both"/>
        <w:rPr>
          <w:b/>
          <w:bCs/>
        </w:rPr>
      </w:pPr>
      <w:r w:rsidRPr="00FA6082">
        <w:rPr>
          <w:b/>
          <w:bCs/>
        </w:rPr>
        <w:t>Stanowisko Dokumentu w sprawie sakramentu bierzmowania</w:t>
      </w:r>
    </w:p>
    <w:p w14:paraId="02623294" w14:textId="77777777" w:rsidR="003A539E" w:rsidRPr="00D64C74" w:rsidRDefault="003A539E" w:rsidP="003A539E">
      <w:pPr>
        <w:pStyle w:val="NoSpacing"/>
        <w:ind w:firstLine="709"/>
        <w:jc w:val="both"/>
      </w:pPr>
    </w:p>
    <w:p w14:paraId="5D2F64FA" w14:textId="678ADC3A" w:rsidR="00FA6082" w:rsidRPr="006D5BC2" w:rsidRDefault="00FA6082" w:rsidP="00115F61">
      <w:pPr>
        <w:pStyle w:val="NoSpacing"/>
        <w:ind w:firstLine="709"/>
        <w:jc w:val="both"/>
      </w:pPr>
      <w:r w:rsidRPr="00FA6082">
        <w:t>Sakramenty inicjacji chrześcijańskiej integrują wierzącego z Chrystusem i wspólnotą kościelną. Chrzest stanowi bramę. Zanurzenie i wynurzenie w wodzie wyraża udział w śmierci i zmartwychwstaniu Chrystusa, wejście w Jego Ciało i upodobnienie się do Niego, dzięki czemu ochrzczony staje się żywym i aktywnym członkiem Kościoła Chrystusowego. Bierzmowanie, wraz z przyjęciem krzyżma, oznacza kolejny krok w tym samym kierunku. Namaszczenie krzyżmem umożliwia chrześcijaninowi, poprzez dary Ducha Świętego, dawanie świadectwa wierze, podejmując tę odpowiedzialność we wspólnocie chrześcijańskiej z wiarą bardziej misyjną i eklezjalną. Poprzez Eucharystię, sakrament Ciała Chrystusa, następuje włączenie chrześcijanina w komunię i pełne uczestnictwo w Ciele Chrystusa wyrażającą się w każdym sensie: chrystologicznym, sakramentalnym i eklezjalnym. Po zakończeniu wtajemniczenia chrześcijanin jest już</w:t>
      </w:r>
      <w:r w:rsidRPr="00115F61">
        <w:t xml:space="preserve"> członkiem </w:t>
      </w:r>
      <w:r w:rsidRPr="00FA6082">
        <w:t xml:space="preserve">Kościoła, otrzymawszy </w:t>
      </w:r>
      <w:r w:rsidRPr="00FA6082">
        <w:lastRenderedPageBreak/>
        <w:t>wszystkie zwyczajne środki chrystyfikacji, które pozwalają mu prowadzić życie chrześcijańskie i dawać prawdziwe świadectwo (por. R</w:t>
      </w:r>
      <w:r w:rsidRPr="006D5BC2">
        <w:t>FS 73).</w:t>
      </w:r>
    </w:p>
    <w:p w14:paraId="42FDA168" w14:textId="362CACE0" w:rsidR="00AC736E" w:rsidRDefault="00FA6082" w:rsidP="00AC736E">
      <w:pPr>
        <w:pStyle w:val="NoSpacing"/>
        <w:ind w:firstLine="709"/>
        <w:jc w:val="both"/>
      </w:pPr>
      <w:r w:rsidRPr="006D5BC2">
        <w:t xml:space="preserve">Szczegółowo dokument Międzynarodowej Komisji Teologicznej omawia sakrament bierzmowania w numerach 95-101. Pierwsze dwie sekcje (RFS 95-96) przybliżają biblijne i historyczne podstawy sakramentu. </w:t>
      </w:r>
      <w:r w:rsidR="006D5BC2" w:rsidRPr="006D5BC2">
        <w:t>Komisja akcentuje, że t</w:t>
      </w:r>
      <w:r w:rsidRPr="006D5BC2">
        <w:t>ak jak możemy odróżnić moment Wielkanocy od Pięćdziesiątnicy, tak samo w życiu chrześcijanina, który wkracza w ekonomię sakramentalną, można wyróżnić dwa różne</w:t>
      </w:r>
      <w:r w:rsidR="006D5BC2" w:rsidRPr="006D5BC2">
        <w:t>,</w:t>
      </w:r>
      <w:r w:rsidRPr="006D5BC2">
        <w:t xml:space="preserve"> </w:t>
      </w:r>
      <w:r w:rsidR="006D5BC2" w:rsidRPr="006D5BC2">
        <w:t>ale</w:t>
      </w:r>
      <w:r w:rsidRPr="006D5BC2">
        <w:t xml:space="preserve"> powiązane ze sobą momenty: chrzest, który akcentuje paschalną konfigurację, oraz bierzmowanie, które odnosi się bardziej bezpośrednio do Pięćdziesiątnicy, </w:t>
      </w:r>
      <w:r w:rsidR="006D5BC2" w:rsidRPr="006D5BC2">
        <w:t xml:space="preserve">związanej </w:t>
      </w:r>
      <w:r w:rsidRPr="006D5BC2">
        <w:t>z przyjęciem Ducha Świętego. W chrześcijańskiej inicjacji dorosłych oba aspekty są prezentowane w jednej wspólnej celebracji (RFS 95).</w:t>
      </w:r>
      <w:r w:rsidR="006D5BC2" w:rsidRPr="006D5BC2">
        <w:t xml:space="preserve"> </w:t>
      </w:r>
      <w:r w:rsidRPr="006D5BC2">
        <w:t>Przedstawiając historyczne podstawy</w:t>
      </w:r>
      <w:r w:rsidR="006D5BC2" w:rsidRPr="006D5BC2">
        <w:t xml:space="preserve"> sakramentu bierzmowania Komisja</w:t>
      </w:r>
      <w:r w:rsidR="00A678F9">
        <w:t>,</w:t>
      </w:r>
      <w:r w:rsidR="006D5BC2" w:rsidRPr="006D5BC2">
        <w:t xml:space="preserve"> </w:t>
      </w:r>
      <w:r w:rsidRPr="006D5BC2">
        <w:t>po zidentyfikowaniu znaku sakramentalnego w pochrzcielnym obrzędzie włożenia rąk, namaszczenia krzyżmem i znaku krzyża, podkreśla różnicę między praktyką zachodnią a wschodnią</w:t>
      </w:r>
      <w:r w:rsidR="006D5BC2" w:rsidRPr="006D5BC2">
        <w:t xml:space="preserve">. </w:t>
      </w:r>
      <w:r w:rsidRPr="006D5BC2">
        <w:t xml:space="preserve">Kościół zawsze utrzymywał, że te pochrzcielne obrzędy były częścią całości wtajemniczenia chrześcijańskiego. Wraz z upływem czasu i wzrostem liczby chrześcijan, Wschód zachował jedność chrztu, bierzmowania i pierwszej Eucharystii, udzielanych przez kapłana, chociaż poświęcenie oleju jest prerogatywą biskupa. Na Zachodzie jednak namaszczenie olejem (krzyżmem) </w:t>
      </w:r>
      <w:r w:rsidR="006D5BC2" w:rsidRPr="006D5BC2">
        <w:t>zosta</w:t>
      </w:r>
      <w:r w:rsidRPr="006D5BC2">
        <w:t>ło zarezerwowane dla biskupa</w:t>
      </w:r>
      <w:r w:rsidR="006D5BC2" w:rsidRPr="006D5BC2">
        <w:t>.</w:t>
      </w:r>
      <w:r w:rsidRPr="006D5BC2">
        <w:t xml:space="preserve"> </w:t>
      </w:r>
      <w:r w:rsidR="006D5BC2" w:rsidRPr="006D5BC2">
        <w:t>P</w:t>
      </w:r>
      <w:r w:rsidRPr="006D5BC2">
        <w:t xml:space="preserve">rzez wieki, aż do interwencji Piusa X w 1910 roku, odbywało się ono podczas wizyty biskupa, przed Pierwszą Komunią. Już na początku IV wieku, na Soborze </w:t>
      </w:r>
      <w:r w:rsidR="006D5BC2" w:rsidRPr="006D5BC2">
        <w:t xml:space="preserve">w Elwirze </w:t>
      </w:r>
      <w:r w:rsidRPr="006D5BC2">
        <w:t>(ok. 302 r.), uznano różnicę i dystans czasowy między chrztem a bierzmowaniem (RFS 96).</w:t>
      </w:r>
    </w:p>
    <w:p w14:paraId="769FE13D" w14:textId="552F9508" w:rsidR="001F7BE6" w:rsidRDefault="00AC736E" w:rsidP="00115F61">
      <w:pPr>
        <w:pStyle w:val="NoSpacing"/>
        <w:ind w:firstLine="709"/>
        <w:jc w:val="both"/>
      </w:pPr>
      <w:r>
        <w:t xml:space="preserve">Dokument </w:t>
      </w:r>
      <w:r w:rsidRPr="006D5BC2">
        <w:t xml:space="preserve">Międzynarodowej Komisji Teologicznej </w:t>
      </w:r>
      <w:r>
        <w:t xml:space="preserve">w punktach </w:t>
      </w:r>
      <w:r w:rsidR="00FA6082" w:rsidRPr="00AC736E">
        <w:t xml:space="preserve">97-98 </w:t>
      </w:r>
      <w:r w:rsidRPr="00AC736E">
        <w:t>dotyka</w:t>
      </w:r>
      <w:r w:rsidR="00FA6082" w:rsidRPr="00AC736E">
        <w:t xml:space="preserve"> sedna problemu relacji między wiarą a sakramentem bierzmowania. Według </w:t>
      </w:r>
      <w:r w:rsidRPr="00AC736E">
        <w:t xml:space="preserve">omawianego </w:t>
      </w:r>
      <w:r w:rsidR="00FA6082" w:rsidRPr="00AC736E">
        <w:t xml:space="preserve">dokumentu, specyfika wzajemności tkwi w dwojakim elemencie: pełniejszym przylgnięciu </w:t>
      </w:r>
      <w:r w:rsidR="001F7BE6">
        <w:t xml:space="preserve">do Ducha Świętego </w:t>
      </w:r>
      <w:r w:rsidR="00FA6082" w:rsidRPr="00AC736E">
        <w:t>i „szczególnej mocy” oraz „</w:t>
      </w:r>
      <w:r w:rsidR="001F7BE6">
        <w:t xml:space="preserve">ściślejszą </w:t>
      </w:r>
      <w:r w:rsidR="00FA6082" w:rsidRPr="00AC736E">
        <w:t>wię</w:t>
      </w:r>
      <w:r w:rsidR="001F7BE6">
        <w:t>ź</w:t>
      </w:r>
      <w:r w:rsidR="00FA6082" w:rsidRPr="00AC736E">
        <w:t xml:space="preserve"> z Kościołem”</w:t>
      </w:r>
      <w:r w:rsidR="001F7BE6" w:rsidRPr="001F7BE6">
        <w:t xml:space="preserve"> </w:t>
      </w:r>
      <w:r w:rsidR="001F7BE6">
        <w:t>(RFS 97)</w:t>
      </w:r>
      <w:r w:rsidR="00FA6082" w:rsidRPr="00AC736E">
        <w:t>.</w:t>
      </w:r>
      <w:r w:rsidR="001F7BE6">
        <w:t xml:space="preserve"> „W ten sposób potwierdza się eklezjalna natura wiary. W konsekwencji wiara chrzcielna zostaje wzmocniona w kilku wymiarach: jest ona skłonna do publicznego świadczenia wiary kościelnej; jest to wiara o większej mocy i kościelnej identyfikacji; jest wiarą bardziej aktywną. Powyższe aspekty wskazują na dojrzewanie wiary w stosunku do pierwotnej wiary wymaganej do chrztu. Bez tych dyspozycji wiary, czytamy w omawianym dokumencie, sakrament jest narażony na niebezpieczeństwo pozostania pustym obrzędem (RFS 97).</w:t>
      </w:r>
    </w:p>
    <w:p w14:paraId="02B4CB30" w14:textId="1B8A6FF6" w:rsidR="00025AE9" w:rsidRDefault="00FE7961" w:rsidP="00025AE9">
      <w:pPr>
        <w:pStyle w:val="NoSpacing"/>
        <w:ind w:firstLine="709"/>
        <w:jc w:val="both"/>
      </w:pPr>
      <w:r>
        <w:t>Komisja przypomina, że obecność biskupa, „pierwotnego” szafarza bierzmowania wyraża eklezjalny charakter bierzmowania. Wskazuje również, że do zjednoczenia z Duchem Świętym dochodzi jedność z Kościołem. Podkreśla też, że udział w bierzmowaniu jest znakiem i środkiem komunii kościelnej. Bierzmowanie celebrowane przez biskupa sprzyja duchowej jedności między biskupem a Kościołem lokalnym. Bierzmowany zostaje włączony do Kościoła, przyczyniając się do budowania Ciała Chrystusa (por. Ef 4, 12; 1 Kor 12). Sak</w:t>
      </w:r>
      <w:r w:rsidR="00A678F9">
        <w:t>rame</w:t>
      </w:r>
      <w:r>
        <w:t>nt ten umacnia życie chrześcijańskie, rozpoczęte wraz z chrztem. Dzięki nowemu darowi Ducha Świętego bierzmowany jest lepiej przygotowany do bycia żywym świadkiem otrzymanej wiary, podobnie jak to miało miejsce w przypadku pierwszych chrześcijan w dniu Pięćdziesiątnicy (RFS 98).</w:t>
      </w:r>
    </w:p>
    <w:p w14:paraId="3BEE5EDC" w14:textId="1D752654" w:rsidR="00A33883" w:rsidRDefault="00FE7961" w:rsidP="00115F61">
      <w:pPr>
        <w:pStyle w:val="NoSpacing"/>
        <w:ind w:firstLine="709"/>
        <w:jc w:val="both"/>
      </w:pPr>
      <w:r w:rsidRPr="00025AE9">
        <w:t>Na uwagę zasługują uwagi Komisji na temat aktualnych zagadnień</w:t>
      </w:r>
      <w:r w:rsidR="00A678F9">
        <w:t>,</w:t>
      </w:r>
      <w:r w:rsidRPr="00025AE9">
        <w:t xml:space="preserve"> zawarte w punkcie 99. Papieska Komisja podkreśla w nim, że „aktualna” pozycja bierzmowania na Zachodzie jest związana z okolicznościami historycznymi i duszpasterskimi, a nie z racjami ściśle teologicznymi lub wynikającymi ze specyfiki sakramentu (por. RFS 99). W związku z tym stwierdzenie, że „pierwotną” i teologicznie „najbardziej spójną” kadencją jest ta, którą stosuje się w chrześcijańskiej inicjacji dorosłych: chrzest, bierzmowanie i Eucharystia, jest lapidarne</w:t>
      </w:r>
      <w:r w:rsidRPr="00025AE9">
        <w:rPr>
          <w:rStyle w:val="FootnoteReference"/>
        </w:rPr>
        <w:footnoteReference w:id="6"/>
      </w:r>
      <w:r w:rsidRPr="00025AE9">
        <w:t>.</w:t>
      </w:r>
      <w:r w:rsidR="00025AE9" w:rsidRPr="00025AE9">
        <w:t xml:space="preserve"> </w:t>
      </w:r>
      <w:r w:rsidRPr="00025AE9">
        <w:t xml:space="preserve">RFS 99 koncentruje się następnie na fakcie, że odroczenie bierzmowania na </w:t>
      </w:r>
      <w:r w:rsidRPr="00025AE9">
        <w:lastRenderedPageBreak/>
        <w:t>Zachodzie, w porównaniu z chrztem i Eucharystią, daje możliwość kontynuacji nauczania wiary, dalszej integracji z Kościołem i personalizacji decyzji, którą rodzice i chrzestni podjęli w imieniu osoby przyjmującej chrzest.</w:t>
      </w:r>
      <w:r w:rsidR="00025AE9" w:rsidRPr="00025AE9">
        <w:t xml:space="preserve"> Dokument w omawianym punkcie </w:t>
      </w:r>
      <w:r w:rsidRPr="00025AE9">
        <w:t>wyraźnie stwierdza, że nie można oczekiwać, iż odroczenie bierzmowania rozwiąże trudności duszpasterstwa młodzieży ani niechęć młodych ludzi ochrzczonych w ich czasach do instytucji kościelnej i wiary</w:t>
      </w:r>
      <w:r w:rsidR="00025AE9" w:rsidRPr="00025AE9">
        <w:t xml:space="preserve"> (RFS 99)</w:t>
      </w:r>
      <w:r w:rsidRPr="00025AE9">
        <w:t>.</w:t>
      </w:r>
    </w:p>
    <w:p w14:paraId="66349543" w14:textId="77777777" w:rsidR="00A33883" w:rsidRDefault="00025AE9" w:rsidP="00A33883">
      <w:pPr>
        <w:pStyle w:val="NoSpacing"/>
        <w:ind w:firstLine="709"/>
        <w:jc w:val="both"/>
      </w:pPr>
      <w:r w:rsidRPr="006D5BC2">
        <w:t>Międzynarodow</w:t>
      </w:r>
      <w:r>
        <w:t>a</w:t>
      </w:r>
      <w:r w:rsidRPr="006D5BC2">
        <w:t xml:space="preserve"> Komisj</w:t>
      </w:r>
      <w:r>
        <w:t>a</w:t>
      </w:r>
      <w:r w:rsidRPr="006D5BC2">
        <w:t xml:space="preserve"> </w:t>
      </w:r>
      <w:r w:rsidRPr="00025AE9">
        <w:t>Teologiczna uznaje, że pomimo godnych pochwały wysiłków i faktu, iż „czasami” prowadzi to do dojrzalszego ponownego odkrycia wiary, wraz z przejściem do bardziej świadomego i dojrzałego, aktywnego członkostwa, „niejednokrotnie” młodzi ludzie przeżywają celebrację bierzmowania jako swego rodzaju „dyplom uniwersytecki” i że w związku z tym po uzyskaniu dyplomu nie ma potrzeby „powrotu na zajęcia”. W innych przypadkach bierzmowanie jest rozumiane jako warunek konieczny do dalszych kroków, takich jak zawarcie małżeństwa (RFS 99).</w:t>
      </w:r>
    </w:p>
    <w:p w14:paraId="339BF9EA" w14:textId="67B64D8A" w:rsidR="00C50B24" w:rsidRDefault="00025AE9" w:rsidP="00C50B24">
      <w:pPr>
        <w:pStyle w:val="NoSpacing"/>
        <w:ind w:firstLine="709"/>
        <w:jc w:val="both"/>
      </w:pPr>
      <w:r>
        <w:t xml:space="preserve">W </w:t>
      </w:r>
      <w:r w:rsidRPr="00025AE9">
        <w:t>punktach 100 i 101 członkowie Komisji umieścili „Zalecenie duszpasterskie: Wiara dla bierzmowania”. W tej części znajdujemy kilka użytecznych wskazówek duszpasterskich. Pierwsza wskazówka zdaje się potwierdzać swego rodzaju „konieczność” bierzmowania, aby chrześcijanin był w pełnym tego słowa znaczeniu „sakrament</w:t>
      </w:r>
      <w:r w:rsidR="00A678F9">
        <w:t>em Chrystusa”. Autorzy dokumentu</w:t>
      </w:r>
      <w:r w:rsidRPr="00025AE9">
        <w:t xml:space="preserve"> akcentują, że odroczenie bierzmowania, gdy jest ono odkładane na dłuższy czas lub w ogóle nie jest udzielane, utrudnia docenienie jego miejsca we wtajemniczeniu chrześcijańskim, jako sakramentu Ducha Świętego i Kościoła. Podkreślają, że Kościół misyjny składa się z bierzmowanych chrześcijan, którzy mocą Ducha Świętego w pełni przyjmują odpowiedzialność za </w:t>
      </w:r>
      <w:r w:rsidRPr="00A678F9">
        <w:t>swoją</w:t>
      </w:r>
      <w:r w:rsidRPr="00025AE9">
        <w:t xml:space="preserve"> wiarę. Chrześcijanin, logicznie rzecz biorąc, pragnie być sakramentem Chrystusa. Dlatego w pełni włącza się w Kościół i prosi o dar Ducha Świętego przez namaszczenie krzyżmem i poprzez włożenie rąk (RFS 100).</w:t>
      </w:r>
    </w:p>
    <w:p w14:paraId="31C92CD2" w14:textId="77777777" w:rsidR="00C50B24" w:rsidRDefault="00C50B24" w:rsidP="00C50B24">
      <w:pPr>
        <w:pStyle w:val="NoSpacing"/>
        <w:ind w:firstLine="709"/>
        <w:jc w:val="both"/>
      </w:pPr>
      <w:r>
        <w:t>W dorosłym życiu chrześcijanina, wiara potrzebna do sakramentu bierzmowania jest taka sama jak ta, której wymaga chrzest. Gdy ktoś decyduje się później na przyjęcie tych sakramentów, jego wiara chrzcielna rozwija się na kilku poziomach. Zaczyna bardziej osobiście rozumieć wiarę kościelną i czuje silniejszą przynależność do wspólnoty. To oznacza lepsze zrozumienie wiary, większą umiejętność wyjaśniania jej i życie zgodne z jej zasadami. Wzmacnia się również osobista relacja z Bogiem, szczególnie poprzez modlitwę.</w:t>
      </w:r>
    </w:p>
    <w:p w14:paraId="3BB8B88E" w14:textId="77777777" w:rsidR="00C50B24" w:rsidRDefault="00C50B24" w:rsidP="00C50B24">
      <w:pPr>
        <w:pStyle w:val="NoSpacing"/>
        <w:ind w:firstLine="709"/>
        <w:jc w:val="both"/>
      </w:pPr>
      <w:r>
        <w:t>Wiara staje się integralną częścią życia chrześcijanina, ponieważ aktywnie naśladuje Chrystusa w Kościele. Bierzmowanie wyraża chęć dalszego podążania tą drogą i odkrycia, prowadzonego przez Ducha Świętego, jak najlepiej naśladować Jezusa i świadczyć o Nim. Kluczowa jest tutaj głęboka, osobista relacja z Bogiem, wzmacniana modlitwą, która prowadzi do świadomego uczestnictwa w Kościele i gorliwej praktyki sakramentalnej.</w:t>
      </w:r>
    </w:p>
    <w:p w14:paraId="224F6432" w14:textId="2D3CC658" w:rsidR="00C50B24" w:rsidRDefault="00C50B24" w:rsidP="00C50B24">
      <w:pPr>
        <w:pStyle w:val="NoSpacing"/>
        <w:ind w:firstLine="709"/>
        <w:jc w:val="both"/>
      </w:pPr>
      <w:r>
        <w:t>Tak jak cykl liturgiczny Kościoła nie kończy się na Wielkanocy, ale trwa do Pięćdziesiątnicy, tak i wtajemniczenie chrześcijańskie nie kończy się na chrzcie. Czas oczekiwania i przygotowania do otrzymania daru Ducha Świętego, wspierany modlitwą, jak opisano w Dziejach Apostolskich (Dz 1, 14), oraz odpowiednia katecheza dla bierzmowanych umożliwiają głębsze i bardziej osobiste połączenie z Panem przez modlitwę. To wszystko przygotowuje chrześcijanina do pełniejszego życia wiarą (RFS 101</w:t>
      </w:r>
      <w:r w:rsidRPr="00025AE9">
        <w:t>)</w:t>
      </w:r>
      <w:r>
        <w:t>.</w:t>
      </w:r>
    </w:p>
    <w:p w14:paraId="51A89511" w14:textId="77777777" w:rsidR="001C25B2" w:rsidRDefault="001C25B2" w:rsidP="00C50B24">
      <w:pPr>
        <w:pStyle w:val="NoSpacing"/>
        <w:ind w:firstLine="709"/>
        <w:jc w:val="both"/>
      </w:pPr>
    </w:p>
    <w:p w14:paraId="4B6BA01E" w14:textId="2D98715E" w:rsidR="001C25B2" w:rsidRPr="001C25B2" w:rsidRDefault="001C25B2" w:rsidP="001C25B2">
      <w:pPr>
        <w:pStyle w:val="NoSpacing"/>
        <w:numPr>
          <w:ilvl w:val="0"/>
          <w:numId w:val="1"/>
        </w:numPr>
        <w:jc w:val="both"/>
        <w:rPr>
          <w:b/>
          <w:bCs/>
        </w:rPr>
      </w:pPr>
      <w:r w:rsidRPr="001C25B2">
        <w:rPr>
          <w:b/>
          <w:bCs/>
        </w:rPr>
        <w:t>Natura eklezjalna i szafarz bierzmowania</w:t>
      </w:r>
    </w:p>
    <w:p w14:paraId="769ADC95" w14:textId="77777777" w:rsidR="00025AE9" w:rsidRPr="00025AE9" w:rsidRDefault="00025AE9" w:rsidP="00025AE9">
      <w:pPr>
        <w:pStyle w:val="NoSpacing"/>
        <w:ind w:firstLine="709"/>
        <w:jc w:val="both"/>
      </w:pPr>
    </w:p>
    <w:p w14:paraId="2BE7FAF0" w14:textId="75CF722D" w:rsidR="001C25B2" w:rsidRDefault="001C25B2" w:rsidP="001C25B2">
      <w:pPr>
        <w:pStyle w:val="NoSpacing"/>
        <w:ind w:firstLine="709"/>
        <w:jc w:val="both"/>
      </w:pPr>
      <w:r w:rsidRPr="001C25B2">
        <w:t xml:space="preserve">Zgodnie z RFS 98 obecność </w:t>
      </w:r>
      <w:proofErr w:type="gramStart"/>
      <w:r w:rsidRPr="001C25B2">
        <w:t>biskupa,</w:t>
      </w:r>
      <w:proofErr w:type="gramEnd"/>
      <w:r w:rsidRPr="001C25B2">
        <w:t xml:space="preserve"> jako </w:t>
      </w:r>
      <w:r>
        <w:t xml:space="preserve">szafarza zwyczajnego </w:t>
      </w:r>
      <w:r w:rsidRPr="001C25B2">
        <w:t>wyraża eklezjalną naturę bierzmowania</w:t>
      </w:r>
      <w:r>
        <w:t xml:space="preserve">, ponieważ </w:t>
      </w:r>
      <w:r w:rsidRPr="001C25B2">
        <w:t xml:space="preserve">bierzmowanie celebrowane przez biskupa </w:t>
      </w:r>
      <w:r>
        <w:t xml:space="preserve">diecezjalnego </w:t>
      </w:r>
      <w:r w:rsidRPr="001C25B2">
        <w:t>promuje duchową jedność między biskupem a lokalnym Kościołem. Osoba bierzmowana zostaje włączona do Kości</w:t>
      </w:r>
      <w:r>
        <w:t>oła, przyczyniając się do budowania</w:t>
      </w:r>
      <w:r w:rsidRPr="001C25B2">
        <w:t xml:space="preserve"> Ciała Chr</w:t>
      </w:r>
      <w:r>
        <w:t>ystusa (por. Ef 4,12; 1 Kor 12)</w:t>
      </w:r>
      <w:r w:rsidRPr="001C25B2">
        <w:t xml:space="preserve">. </w:t>
      </w:r>
      <w:r>
        <w:t>Dokument formułuje opinię, że n</w:t>
      </w:r>
      <w:r w:rsidRPr="001C25B2">
        <w:t xml:space="preserve">ależy uważać, aby nie przesadzać z tą kwestią, ponieważ sakrament jest taki sam zarówno w tradycji łacińskiej, jak i wschodniej, a zatem </w:t>
      </w:r>
      <w:r w:rsidRPr="001C25B2">
        <w:lastRenderedPageBreak/>
        <w:t>takie same są skutki sakramentu, udzielanego przez biskupa lub prezbitera. Z drugiej strony, chociaż biskup jest, według obo</w:t>
      </w:r>
      <w:r>
        <w:t>wiązującego prawa łacińskiego, zwyczajnym szafarzem</w:t>
      </w:r>
      <w:r w:rsidRPr="001C25B2">
        <w:t xml:space="preserve"> bierzmowania, który zawsze ważnie je udziela, prawdą jest również, że prezbiter, w przypadkach wskazanych w kan. 883, może udzielić go ważnie i legalnie</w:t>
      </w:r>
      <w:r w:rsidR="008D1B38">
        <w:rPr>
          <w:rStyle w:val="FootnoteReference"/>
        </w:rPr>
        <w:footnoteReference w:id="7"/>
      </w:r>
      <w:r w:rsidRPr="001C25B2">
        <w:t xml:space="preserve">. </w:t>
      </w:r>
    </w:p>
    <w:p w14:paraId="368920CB" w14:textId="77777777" w:rsidR="000D1564" w:rsidRDefault="000D1564" w:rsidP="001C25B2">
      <w:pPr>
        <w:pStyle w:val="NoSpacing"/>
        <w:ind w:firstLine="709"/>
        <w:jc w:val="both"/>
      </w:pPr>
    </w:p>
    <w:p w14:paraId="29610638" w14:textId="2A5BC259" w:rsidR="000D1564" w:rsidRPr="000D1564" w:rsidRDefault="000D1564" w:rsidP="000D1564">
      <w:pPr>
        <w:pStyle w:val="NoSpacing"/>
        <w:numPr>
          <w:ilvl w:val="0"/>
          <w:numId w:val="1"/>
        </w:numPr>
        <w:jc w:val="both"/>
        <w:rPr>
          <w:b/>
          <w:bCs/>
        </w:rPr>
      </w:pPr>
      <w:r w:rsidRPr="000D1564">
        <w:rPr>
          <w:b/>
          <w:bCs/>
        </w:rPr>
        <w:t>Bierzmowanie a powszechne kapłaństwo</w:t>
      </w:r>
    </w:p>
    <w:p w14:paraId="1D3B9DE3" w14:textId="77777777" w:rsidR="000D1564" w:rsidRPr="00012F74" w:rsidRDefault="000D1564" w:rsidP="00012F74">
      <w:pPr>
        <w:pStyle w:val="NoSpacing"/>
        <w:ind w:left="709"/>
        <w:jc w:val="both"/>
      </w:pPr>
    </w:p>
    <w:p w14:paraId="67259F3E" w14:textId="5CE80C8D" w:rsidR="008B5278" w:rsidRPr="008B5278" w:rsidRDefault="000D1564" w:rsidP="008B5278">
      <w:pPr>
        <w:pStyle w:val="NoSpacing"/>
        <w:ind w:firstLine="708"/>
        <w:jc w:val="both"/>
      </w:pPr>
      <w:r w:rsidRPr="00012F74">
        <w:t>Podkreślając róż</w:t>
      </w:r>
      <w:r w:rsidR="003D65FD">
        <w:t xml:space="preserve">nicę </w:t>
      </w:r>
      <w:proofErr w:type="gramStart"/>
      <w:r w:rsidR="003D65FD">
        <w:t>miedzy</w:t>
      </w:r>
      <w:proofErr w:type="gramEnd"/>
      <w:r w:rsidR="003D65FD">
        <w:t xml:space="preserve"> katolicką teologią wschodnią i z</w:t>
      </w:r>
      <w:r w:rsidRPr="00012F74">
        <w:t xml:space="preserve">achodnią w kwestii bierzmowania, dokument podkreśla różnice między poszczególnymi rytami. </w:t>
      </w:r>
      <w:r w:rsidRPr="00012F74">
        <w:rPr>
          <w:shd w:val="clear" w:color="auto" w:fill="FFFFFF"/>
        </w:rPr>
        <w:t>Na początku IV wieku, na Synodzie w Elwirze (około 302 roku), uznano różnicę i odstęp czasowy między chrztem a bierzmowaniem</w:t>
      </w:r>
      <w:r w:rsidRPr="00012F74">
        <w:rPr>
          <w:rStyle w:val="FootnoteReference"/>
          <w:shd w:val="clear" w:color="auto" w:fill="FFFFFF"/>
        </w:rPr>
        <w:footnoteReference w:id="8"/>
      </w:r>
      <w:r w:rsidRPr="00012F74">
        <w:rPr>
          <w:shd w:val="clear" w:color="auto" w:fill="FFFFFF"/>
        </w:rPr>
        <w:t xml:space="preserve">. </w:t>
      </w:r>
      <w:r w:rsidRPr="00012F74">
        <w:t>Do czasu interwencji św. Piusa X na Zachodzie bierzmowanie odbywało się podczas wizyty biskupa, przed Pierwszą Komunią</w:t>
      </w:r>
      <w:r w:rsidRPr="00012F74">
        <w:rPr>
          <w:rStyle w:val="FootnoteReference"/>
        </w:rPr>
        <w:footnoteReference w:id="9"/>
      </w:r>
      <w:r w:rsidRPr="00012F74">
        <w:t>.</w:t>
      </w:r>
      <w:r w:rsidR="00012F74" w:rsidRPr="00012F74">
        <w:t xml:space="preserve"> Ta uwaga wraz z n</w:t>
      </w:r>
      <w:r w:rsidR="00012F74" w:rsidRPr="008B5278">
        <w:t xml:space="preserve">umerami </w:t>
      </w:r>
      <w:r w:rsidRPr="008B5278">
        <w:t>RFS</w:t>
      </w:r>
      <w:r w:rsidR="00226A0E" w:rsidRPr="008B5278">
        <w:t xml:space="preserve"> 113-114, jest szczególnie ważna</w:t>
      </w:r>
      <w:r w:rsidRPr="008B5278">
        <w:t xml:space="preserve"> z teologicznego punktu widzenia i wiąże się z aspek</w:t>
      </w:r>
      <w:r w:rsidR="00012F74" w:rsidRPr="008B5278">
        <w:t>tem teologii bierzmowania, która</w:t>
      </w:r>
      <w:r w:rsidRPr="008B5278">
        <w:t xml:space="preserve"> </w:t>
      </w:r>
      <w:r w:rsidR="00012F74" w:rsidRPr="008B5278">
        <w:t xml:space="preserve">jest obecnie bardzo </w:t>
      </w:r>
      <w:proofErr w:type="gramStart"/>
      <w:r w:rsidR="00012F74" w:rsidRPr="008B5278">
        <w:t>zaciemniona</w:t>
      </w:r>
      <w:proofErr w:type="gramEnd"/>
      <w:r w:rsidR="00226A0E" w:rsidRPr="008B5278">
        <w:t xml:space="preserve"> jeśli c</w:t>
      </w:r>
      <w:r w:rsidR="00012F74" w:rsidRPr="008B5278">
        <w:t xml:space="preserve">hodzi </w:t>
      </w:r>
      <w:r w:rsidR="00226A0E" w:rsidRPr="008B5278">
        <w:t xml:space="preserve">o kapłaństwo wspólne. </w:t>
      </w:r>
      <w:r w:rsidR="00AB729E" w:rsidRPr="008B5278">
        <w:t>I</w:t>
      </w:r>
      <w:r w:rsidRPr="008B5278">
        <w:t xml:space="preserve">gnorując ten element na rzecz </w:t>
      </w:r>
      <w:r w:rsidR="00226A0E" w:rsidRPr="008B5278">
        <w:t xml:space="preserve">samej </w:t>
      </w:r>
      <w:r w:rsidRPr="008B5278">
        <w:t xml:space="preserve">teologii bierzmowania, która uzasadnia i popiera obecną pozycję sakramentu w praktyce Kościoła łacińskiego i </w:t>
      </w:r>
      <w:r w:rsidR="00226A0E" w:rsidRPr="008B5278">
        <w:t>w duszpasterstwie, trudno jest</w:t>
      </w:r>
      <w:r w:rsidRPr="008B5278">
        <w:t xml:space="preserve"> osiągnąć autentyczną wzajemność między wiarą a sakramentem bierzmowania. </w:t>
      </w:r>
    </w:p>
    <w:p w14:paraId="4991FC72" w14:textId="6F0A983B" w:rsidR="008B5278" w:rsidRDefault="000D1564" w:rsidP="008B5278">
      <w:pPr>
        <w:pStyle w:val="NoSpacing"/>
        <w:ind w:firstLine="708"/>
        <w:jc w:val="both"/>
      </w:pPr>
      <w:r w:rsidRPr="008B5278">
        <w:rPr>
          <w:i/>
          <w:iCs/>
        </w:rPr>
        <w:t>Katechizm Kościoła Katolickiego</w:t>
      </w:r>
      <w:r w:rsidRPr="008B5278">
        <w:t xml:space="preserve"> wspomina o</w:t>
      </w:r>
      <w:r w:rsidR="003D65FD">
        <w:t xml:space="preserve"> kapłaństwie powszechnym tylko</w:t>
      </w:r>
      <w:r w:rsidRPr="008B5278">
        <w:t xml:space="preserve"> w</w:t>
      </w:r>
      <w:r w:rsidR="00226A0E" w:rsidRPr="008B5278">
        <w:t xml:space="preserve"> jednym miejscu</w:t>
      </w:r>
      <w:r w:rsidR="003D65FD">
        <w:t>,</w:t>
      </w:r>
      <w:r w:rsidR="00226A0E" w:rsidRPr="008B5278">
        <w:t xml:space="preserve"> stwierdzając: „bierzmowany otrzymuje moc publicznego wyznawania wiary w Chrystusa, jakby na zasadzie obowiązku”</w:t>
      </w:r>
      <w:r w:rsidR="00226A0E" w:rsidRPr="008B5278">
        <w:rPr>
          <w:rStyle w:val="FootnoteReference"/>
        </w:rPr>
        <w:footnoteReference w:id="10"/>
      </w:r>
      <w:r w:rsidR="00226A0E" w:rsidRPr="008B5278">
        <w:t xml:space="preserve">. </w:t>
      </w:r>
      <w:r w:rsidRPr="008B5278">
        <w:t xml:space="preserve">Oczywiste jest, że te dwa aspekty nie są ze sobą sprzeczne. Jednakże „obrona i świadectwo” są często rozumiane, nawet dzisiaj, niemal „militarystycznie”. Z drugiej strony, funkcja prorocka, związana z „obroną i świadectwem wiary”, jest już dana ochrzczonym przez sakrament chrztu, a RFS 114 podejmuje ją właśnie w odniesieniu do Eucharystii. Poprawna teologia sakramentu bierzmowania nie powinna zatem ignorować właściwego docenienia królewskiego kapłaństwa. Lud Nowego Przymierza jest ludem kapłańskim. Sprawowanie tego kapłaństwa wymaga przede wszystkim – mówi nam św. Piotr – ofiar w duchu: </w:t>
      </w:r>
      <w:r w:rsidRPr="008B5278">
        <w:rPr>
          <w:i/>
          <w:iCs/>
        </w:rPr>
        <w:t>spirituales hostias</w:t>
      </w:r>
      <w:r w:rsidRPr="008B5278">
        <w:t xml:space="preserve">. Wiąże się to z ofiarowaniem siebie poprzez skromne rzeczy codziennego życia. </w:t>
      </w:r>
    </w:p>
    <w:p w14:paraId="3FAD1F1A" w14:textId="77777777" w:rsidR="00F13A78" w:rsidRDefault="00F13A78" w:rsidP="008B5278">
      <w:pPr>
        <w:pStyle w:val="NoSpacing"/>
        <w:ind w:firstLine="708"/>
        <w:jc w:val="both"/>
      </w:pPr>
    </w:p>
    <w:p w14:paraId="6F8EEF53" w14:textId="14432E8B" w:rsidR="00F13A78" w:rsidRPr="00F13A78" w:rsidRDefault="00F13A78" w:rsidP="00F13A78">
      <w:pPr>
        <w:pStyle w:val="NoSpacing"/>
        <w:numPr>
          <w:ilvl w:val="0"/>
          <w:numId w:val="1"/>
        </w:numPr>
        <w:jc w:val="both"/>
        <w:rPr>
          <w:b/>
          <w:bCs/>
        </w:rPr>
      </w:pPr>
      <w:r w:rsidRPr="00F13A78">
        <w:rPr>
          <w:b/>
          <w:bCs/>
        </w:rPr>
        <w:t>Zadania dla teologii łacińskiej</w:t>
      </w:r>
    </w:p>
    <w:p w14:paraId="705D5679" w14:textId="77777777" w:rsidR="00F13A78" w:rsidRDefault="00F13A78" w:rsidP="008B5278">
      <w:pPr>
        <w:pStyle w:val="NoSpacing"/>
        <w:ind w:firstLine="708"/>
        <w:jc w:val="both"/>
      </w:pPr>
    </w:p>
    <w:p w14:paraId="75005E63" w14:textId="1A11ABC2" w:rsidR="008B5278" w:rsidRPr="00F13A78" w:rsidRDefault="00F13A78" w:rsidP="00F13A78">
      <w:pPr>
        <w:pStyle w:val="NoSpacing"/>
        <w:ind w:firstLine="708"/>
        <w:jc w:val="both"/>
      </w:pPr>
      <w:r>
        <w:t xml:space="preserve">Dokument </w:t>
      </w:r>
      <w:r w:rsidRPr="00F13A78">
        <w:t>Międzynarodowej Komisji Teologicznej</w:t>
      </w:r>
      <w:r>
        <w:t xml:space="preserve"> stawia teologię</w:t>
      </w:r>
      <w:r w:rsidR="008B5278">
        <w:t xml:space="preserve"> </w:t>
      </w:r>
      <w:r>
        <w:t>łacińską</w:t>
      </w:r>
      <w:r w:rsidR="008B5278">
        <w:t xml:space="preserve"> przed </w:t>
      </w:r>
      <w:r w:rsidR="008B5278" w:rsidRPr="00F13A78">
        <w:t xml:space="preserve">zadaniem odpowiedzi na pytanie o moment udzielenia wspólnego kapłaństwa swoim wiernym. Dopóki Kościół łaciński będzie oddzielał czas trzech sakramentów inicjacji chrześcijańskiej, nie będzie odpowiedzi na pytanie, kiedy kapłaństwo </w:t>
      </w:r>
      <w:r w:rsidR="00502186">
        <w:t xml:space="preserve">wspólne </w:t>
      </w:r>
      <w:r w:rsidR="008B5278" w:rsidRPr="00F13A78">
        <w:t>zostaje udzielone wiernym. Kolejny problem</w:t>
      </w:r>
      <w:r w:rsidR="003D65FD">
        <w:t>,</w:t>
      </w:r>
      <w:r w:rsidR="008B5278" w:rsidRPr="00F13A78">
        <w:t xml:space="preserve"> przed którym stoi teologia łacińska</w:t>
      </w:r>
      <w:r w:rsidR="003D65FD">
        <w:t>,</w:t>
      </w:r>
      <w:r w:rsidR="008B5278" w:rsidRPr="00F13A78">
        <w:t xml:space="preserve"> dotyczy odwrócenia tradycyjnego porządku sakramentów wtajemniczenia chrześcijańskiego. </w:t>
      </w:r>
    </w:p>
    <w:p w14:paraId="4520B770" w14:textId="77777777" w:rsidR="00C502B2" w:rsidRPr="00F13A78" w:rsidRDefault="00142A38" w:rsidP="00C502B2">
      <w:pPr>
        <w:pStyle w:val="NoSpacing"/>
        <w:ind w:firstLine="708"/>
        <w:jc w:val="both"/>
      </w:pPr>
      <w:r w:rsidRPr="00F13A78">
        <w:t>Możemy to porównać, przez analogię, Tajemnicy</w:t>
      </w:r>
      <w:r w:rsidR="008B5278" w:rsidRPr="00F13A78">
        <w:t xml:space="preserve"> Pasc</w:t>
      </w:r>
      <w:r w:rsidRPr="00F13A78">
        <w:t>halnej</w:t>
      </w:r>
      <w:r w:rsidR="008B5278" w:rsidRPr="00F13A78">
        <w:t xml:space="preserve"> Chrystusa, która okazuje się szczególnie istotna. Prawdą jest bowiem, że w Tajemnicy Paschalnej – jak precyzuje RFS 95 – rozróżnia się różne momenty, ale nie da się ich rozdzielić. Podobnie prawdą jest, że można rozróżnić trzy sakramenty wtajemniczenia chrześcijańskiego, ale nie da się ich rozpatrywać oddzielnie. I taki jest sens s</w:t>
      </w:r>
      <w:r w:rsidRPr="00F13A78">
        <w:t xml:space="preserve">formułowania, zgodnie z którym </w:t>
      </w:r>
      <w:r w:rsidR="008B5278" w:rsidRPr="00F13A78">
        <w:t>trzy sakramenty wtajemniczenia są tak ściśle ze sobą powiązane, że są wymagane do pełnego w</w:t>
      </w:r>
      <w:r w:rsidRPr="00F13A78">
        <w:t xml:space="preserve">tajemniczenia </w:t>
      </w:r>
      <w:r w:rsidRPr="00F13A78">
        <w:lastRenderedPageBreak/>
        <w:t>chrześcijańskiego</w:t>
      </w:r>
      <w:r w:rsidR="008B5278" w:rsidRPr="00F13A78">
        <w:t>, ponieważ tylko ochrzczony i bierzmowany, który przyjmuje Eucharystię, jest w pełni upodobniony, na płaszczyźnie sakramentalnej, do Ukrzyżowanego i Zmartwychwstałego. Można zatem mówić o bierzmowaniu jako o „przedsionku Eucharystii”, ponieważ „przygotowuje” ono do pełnego uczestnictwa w Eucharystii</w:t>
      </w:r>
      <w:r w:rsidRPr="00F13A78">
        <w:rPr>
          <w:rStyle w:val="FootnoteReference"/>
        </w:rPr>
        <w:footnoteReference w:id="11"/>
      </w:r>
      <w:r w:rsidR="008B5278" w:rsidRPr="00F13A78">
        <w:t xml:space="preserve">. </w:t>
      </w:r>
    </w:p>
    <w:p w14:paraId="03586587" w14:textId="32F6E57A" w:rsidR="00F13A78" w:rsidRDefault="008B5278" w:rsidP="00F13A78">
      <w:pPr>
        <w:pStyle w:val="NoSpacing"/>
        <w:ind w:firstLine="708"/>
        <w:jc w:val="both"/>
      </w:pPr>
      <w:r w:rsidRPr="00F13A78">
        <w:t>Musimy zatem zacząć od studiów teologicznych. W tym względzie bardzo nam brakuje</w:t>
      </w:r>
      <w:r w:rsidR="00C502B2" w:rsidRPr="00F13A78">
        <w:t xml:space="preserve"> odniesienia do </w:t>
      </w:r>
      <w:r w:rsidRPr="00F13A78">
        <w:t>Ojców</w:t>
      </w:r>
      <w:r w:rsidR="00C502B2" w:rsidRPr="00F13A78">
        <w:t xml:space="preserve"> Kościoła</w:t>
      </w:r>
      <w:r w:rsidRPr="00F13A78">
        <w:t>, jak i samego św. Tomasza. Wydaje się jednak, że dostrzegł on problem: stwierdza, że bierzmowanie jest ukierunkowane na Eucharystię</w:t>
      </w:r>
      <w:r w:rsidR="00C502B2" w:rsidRPr="00F13A78">
        <w:rPr>
          <w:rStyle w:val="FootnoteReference"/>
        </w:rPr>
        <w:footnoteReference w:id="12"/>
      </w:r>
      <w:r w:rsidRPr="00F13A78">
        <w:t xml:space="preserve">. </w:t>
      </w:r>
      <w:r w:rsidR="00C502B2" w:rsidRPr="00F13A78">
        <w:t xml:space="preserve">Przez wieki </w:t>
      </w:r>
      <w:r w:rsidRPr="00F13A78">
        <w:t>cały Kościół był pod wrażeniem tej koncepcji wtajemniczenia chrześcijańskiego, która rozpoczyna się od chrztu, przechodzi przez bierzmowanie i osiąga swój szczyt w Eucharystii. Nie tylko Wschód zawsze myślał w ten sposób, ale ślady podobnego przekonania można znaleźć również na Zachodzie. W Paryżu istnieją rękopisy z końca XV wieku, które zachowują wyraźny ślad po tym</w:t>
      </w:r>
      <w:r w:rsidR="00C502B2" w:rsidRPr="00F13A78">
        <w:rPr>
          <w:rStyle w:val="FootnoteReference"/>
        </w:rPr>
        <w:footnoteReference w:id="13"/>
      </w:r>
      <w:r w:rsidRPr="00F13A78">
        <w:t xml:space="preserve">. </w:t>
      </w:r>
      <w:r w:rsidR="00DA5DB6" w:rsidRPr="00F13A78">
        <w:t xml:space="preserve">Wydaje się słuszne zrewidować </w:t>
      </w:r>
      <w:r w:rsidR="0049691F">
        <w:t>łacińską teologię</w:t>
      </w:r>
      <w:r w:rsidR="00DA5DB6" w:rsidRPr="00F13A78">
        <w:t xml:space="preserve"> bierzmowania</w:t>
      </w:r>
      <w:r w:rsidR="003D65FD">
        <w:t>,</w:t>
      </w:r>
      <w:r w:rsidR="00DA5DB6" w:rsidRPr="00F13A78">
        <w:t xml:space="preserve"> gdzie nieobecność biskupa spowodowała zmianę kolejności udzielanych sakramentów. </w:t>
      </w:r>
      <w:r w:rsidRPr="00F13A78">
        <w:t xml:space="preserve">Dlatego </w:t>
      </w:r>
      <w:r w:rsidR="00DA5DB6" w:rsidRPr="00F13A78">
        <w:t xml:space="preserve">zadaniem teologów jest </w:t>
      </w:r>
      <w:r w:rsidR="00ED52C3">
        <w:t>pilniejsze niż kiedykolwiek</w:t>
      </w:r>
      <w:r w:rsidRPr="00F13A78">
        <w:t xml:space="preserve"> rozwijanie teologii wtajemniczenia chrześcijańskiego, a zwłaszcza bierzmowania i Eucharystii jako jego zwieńczenia. Chodzi o rozwijanie teologii obiektywnej, a nie teologii służącej „a priori” podejściu duszpasterskiemu.</w:t>
      </w:r>
    </w:p>
    <w:p w14:paraId="5B8597ED" w14:textId="71E0DE92" w:rsidR="008B5278" w:rsidRDefault="00F13A78" w:rsidP="00F13A78">
      <w:pPr>
        <w:pStyle w:val="NoSpacing"/>
        <w:ind w:firstLine="708"/>
        <w:jc w:val="both"/>
      </w:pPr>
      <w:r w:rsidRPr="00F13A78">
        <w:t>D</w:t>
      </w:r>
      <w:r w:rsidR="008B5278" w:rsidRPr="00F13A78">
        <w:t xml:space="preserve">ocenienie funkcji kapłańskiej i kapłaństwa </w:t>
      </w:r>
      <w:r w:rsidRPr="00F13A78">
        <w:t xml:space="preserve">wspólnego </w:t>
      </w:r>
      <w:r w:rsidR="008B5278" w:rsidRPr="00F13A78">
        <w:t>w odniesieniu do teologii bierzmowania mogłoby zatem przyczynić się do lepszego naświetlenia głębokiego związku między sakramentami wtajemniczenia chrześcijańskiego, do jaśniejszego uchwycenia porządku teologicznego między nimi, a w konsekwencji do dalszego wyjaśnienia kwestii wzajemności między wiarą a tymi sakramentami.</w:t>
      </w:r>
    </w:p>
    <w:p w14:paraId="14CFBD6D" w14:textId="77777777" w:rsidR="00F13A78" w:rsidRPr="001273D3" w:rsidRDefault="00F13A78" w:rsidP="00F13A78">
      <w:pPr>
        <w:pStyle w:val="NoSpacing"/>
        <w:ind w:firstLine="708"/>
        <w:jc w:val="both"/>
      </w:pPr>
      <w:r w:rsidRPr="001273D3">
        <w:t xml:space="preserve">Wyjaśnienia wymaga również stopień wiary wymagany do bierzmowania. Można przypuszczać, że wymagana wiara nie musi być doskonała, lecz początkowa i pragnąca wzrastać, ze świadomością, że rodzice, wspierani przez wspólnotę kościelną, muszą być współodpowiedzialni za wychowanie swoich dzieci w wierze. </w:t>
      </w:r>
    </w:p>
    <w:p w14:paraId="40421707" w14:textId="235284B7" w:rsidR="00DD35C8" w:rsidRDefault="00F13A78" w:rsidP="00DD35C8">
      <w:pPr>
        <w:pStyle w:val="NoSpacing"/>
        <w:ind w:firstLine="709"/>
        <w:jc w:val="both"/>
      </w:pPr>
      <w:r w:rsidRPr="001273D3">
        <w:t>Nie można też oczekiwać, że przyjęcie sakramentu bierzmowania rozwiąże trudności dusz</w:t>
      </w:r>
      <w:r w:rsidR="003D65FD">
        <w:t>pasterstwa młodzieży ani niechęci</w:t>
      </w:r>
      <w:r w:rsidRPr="001273D3">
        <w:t xml:space="preserve"> wielu młodych ludzi do instytucji Kościoła i wiary. Łatwo zauważyć, że oczekiwane rezultaty, jakie wiązały się z odroczeniem sakramentu bierzmowania do czasu po Pierwszej Komunii Świętej i odpowiednim podniesieniem wieku bierzmowania, nie zostały osiągnięte. Młodzież nie zawsze wykazuje większą dojrzałość wiary niż dzieci. </w:t>
      </w:r>
      <w:r w:rsidR="001273D3" w:rsidRPr="001273D3">
        <w:t>Pewna część m</w:t>
      </w:r>
      <w:r w:rsidRPr="001273D3">
        <w:t>łodzież</w:t>
      </w:r>
      <w:r w:rsidR="001273D3" w:rsidRPr="001273D3">
        <w:t>y</w:t>
      </w:r>
      <w:r w:rsidRPr="001273D3">
        <w:t xml:space="preserve"> po</w:t>
      </w:r>
      <w:r w:rsidR="001273D3" w:rsidRPr="001273D3">
        <w:t xml:space="preserve"> przyjęciu </w:t>
      </w:r>
      <w:proofErr w:type="gramStart"/>
      <w:r w:rsidR="001273D3" w:rsidRPr="001273D3">
        <w:t xml:space="preserve">bierzmowania </w:t>
      </w:r>
      <w:r w:rsidRPr="001273D3">
        <w:t xml:space="preserve"> nie</w:t>
      </w:r>
      <w:proofErr w:type="gramEnd"/>
      <w:r w:rsidRPr="001273D3">
        <w:t xml:space="preserve"> kontynuuje</w:t>
      </w:r>
      <w:r w:rsidR="001273D3" w:rsidRPr="001273D3">
        <w:t xml:space="preserve"> nauczania katechetycznego, często </w:t>
      </w:r>
      <w:r w:rsidR="00987A18">
        <w:t>dystansuje</w:t>
      </w:r>
      <w:r w:rsidRPr="001273D3">
        <w:t xml:space="preserve"> się od wspólnoty chrz</w:t>
      </w:r>
      <w:r w:rsidR="00987A18">
        <w:t>eścijańskiej, tak jak dystansuje</w:t>
      </w:r>
      <w:r w:rsidRPr="001273D3">
        <w:t xml:space="preserve"> się od szkoły po zakończeniu </w:t>
      </w:r>
      <w:r w:rsidR="001273D3" w:rsidRPr="001273D3">
        <w:t xml:space="preserve">w niej edukacji. </w:t>
      </w:r>
      <w:r w:rsidRPr="001273D3">
        <w:t>Nie da się zaprzeczyć, że bierzmowanie stało się w niektórych sytuacjach sakramentem odejścia od Kościoła.</w:t>
      </w:r>
      <w:r w:rsidR="00DD35C8">
        <w:t xml:space="preserve"> C</w:t>
      </w:r>
      <w:r w:rsidR="00DD35C8" w:rsidRPr="003A539E">
        <w:t>zas, w którym żyjemy, wymaga od duszpasterzy i wiernych głębokiej refleksji nad wartością sakramentu bierzmowania. Nie można go traktować jedynie jako rytuału, lecz jako duchowego narzędzia do odnowy, umacniania wiary i świadectwa w świecie. W trosce o przyszłość Kościoła, niech będzie to nasz pilny i wspólny cel.</w:t>
      </w:r>
    </w:p>
    <w:p w14:paraId="37353BCA" w14:textId="286B87B6" w:rsidR="00F13A78" w:rsidRDefault="00F13A78" w:rsidP="001273D3">
      <w:pPr>
        <w:pStyle w:val="NoSpacing"/>
        <w:ind w:firstLine="708"/>
        <w:jc w:val="both"/>
      </w:pPr>
    </w:p>
    <w:p w14:paraId="7385A9CC" w14:textId="77777777" w:rsidR="001273D3" w:rsidRDefault="001273D3" w:rsidP="001273D3">
      <w:pPr>
        <w:pStyle w:val="NoSpacing"/>
        <w:ind w:firstLine="708"/>
        <w:jc w:val="both"/>
      </w:pPr>
    </w:p>
    <w:p w14:paraId="0148B0E5" w14:textId="77777777" w:rsidR="00DD35C8" w:rsidRPr="00552BD8" w:rsidRDefault="00DD35C8" w:rsidP="00DD35C8">
      <w:pPr>
        <w:ind w:firstLine="708"/>
        <w:jc w:val="both"/>
      </w:pPr>
      <w:r>
        <w:rPr>
          <w:b/>
          <w:bCs/>
        </w:rPr>
        <w:t>Nota o A</w:t>
      </w:r>
      <w:r w:rsidRPr="00A926D1">
        <w:rPr>
          <w:b/>
          <w:bCs/>
        </w:rPr>
        <w:t>utorze:</w:t>
      </w:r>
      <w:r w:rsidRPr="00A926D1">
        <w:t xml:space="preserve"> Jarosław M. Lipniak: urodzony 2 lutego 1973 roku w Oławie, prezbiter Diecezji Świdnickiej, doktor habilitowany teologii dogmatycznej, Redaktor Naczelny Międzynarodowego Przeglądu Teologicznego „Communio”, Kierownik Katedry </w:t>
      </w:r>
      <w:r>
        <w:t xml:space="preserve">Eklezjologii i </w:t>
      </w:r>
      <w:r w:rsidRPr="00A926D1">
        <w:t xml:space="preserve">Ekumenizmu Papieskiego Wydziału Teologicznego we Wrocławiu, Prezes Dolnośląskiego Instytutu Dialogu i Tolerancji, przedstawiciel Biskupa Świdnickiego do spraw </w:t>
      </w:r>
      <w:r w:rsidRPr="00A926D1">
        <w:lastRenderedPageBreak/>
        <w:t xml:space="preserve">Ekumenizmu i Dialogu Międzyreligijnego, Proboszcz parafii pw. </w:t>
      </w:r>
      <w:r w:rsidRPr="00552BD8">
        <w:t>Nawiedzenia NMP w Witoszowie Dolnym.</w:t>
      </w:r>
    </w:p>
    <w:p w14:paraId="1488443C" w14:textId="4236112B" w:rsidR="001C25B2" w:rsidRPr="006D1707" w:rsidRDefault="00502186" w:rsidP="00502186">
      <w:pPr>
        <w:pStyle w:val="NoSpacing"/>
        <w:jc w:val="both"/>
        <w:rPr>
          <w:b/>
          <w:bCs/>
        </w:rPr>
      </w:pPr>
      <w:r w:rsidRPr="006D1707">
        <w:rPr>
          <w:b/>
          <w:bCs/>
        </w:rPr>
        <w:t>Bibliografia:</w:t>
      </w:r>
    </w:p>
    <w:p w14:paraId="0607B63F" w14:textId="77777777" w:rsidR="00502186" w:rsidRPr="00502186" w:rsidRDefault="00502186" w:rsidP="00502186">
      <w:pPr>
        <w:pStyle w:val="FootnoteText"/>
        <w:ind w:left="1134" w:hanging="1134"/>
        <w:jc w:val="both"/>
        <w:rPr>
          <w:sz w:val="24"/>
          <w:szCs w:val="24"/>
        </w:rPr>
      </w:pPr>
      <w:r w:rsidRPr="006D1707">
        <w:rPr>
          <w:sz w:val="24"/>
          <w:szCs w:val="24"/>
        </w:rPr>
        <w:t xml:space="preserve">Commissione Teologica Internationale, </w:t>
      </w:r>
      <w:r w:rsidRPr="006D1707">
        <w:rPr>
          <w:i/>
          <w:iCs/>
          <w:sz w:val="24"/>
          <w:szCs w:val="24"/>
        </w:rPr>
        <w:t>La reciprocità tra fede e sacramenti nell’economia sacramentale</w:t>
      </w:r>
      <w:r w:rsidRPr="006D1707">
        <w:rPr>
          <w:sz w:val="24"/>
          <w:szCs w:val="24"/>
        </w:rPr>
        <w:t xml:space="preserve">, Il Regno. </w:t>
      </w:r>
      <w:r w:rsidRPr="00502186">
        <w:rPr>
          <w:sz w:val="24"/>
          <w:szCs w:val="24"/>
        </w:rPr>
        <w:t>Documenti 66 (2021), s. 13-59.</w:t>
      </w:r>
    </w:p>
    <w:p w14:paraId="70E745A8" w14:textId="77777777" w:rsidR="00502186" w:rsidRPr="00502186" w:rsidRDefault="00502186" w:rsidP="00502186">
      <w:pPr>
        <w:pStyle w:val="FootnoteText"/>
        <w:ind w:left="1134" w:hanging="1134"/>
        <w:jc w:val="both"/>
        <w:rPr>
          <w:sz w:val="24"/>
          <w:szCs w:val="24"/>
        </w:rPr>
      </w:pPr>
      <w:r w:rsidRPr="00502186">
        <w:rPr>
          <w:i/>
          <w:iCs/>
          <w:sz w:val="24"/>
          <w:szCs w:val="24"/>
        </w:rPr>
        <w:t>Katechizm Kościoła Katolickiego</w:t>
      </w:r>
      <w:r w:rsidRPr="00502186">
        <w:rPr>
          <w:sz w:val="24"/>
          <w:szCs w:val="24"/>
        </w:rPr>
        <w:t>, Poznań 1994.</w:t>
      </w:r>
    </w:p>
    <w:p w14:paraId="736835C4" w14:textId="77777777" w:rsidR="00502186" w:rsidRPr="00502186" w:rsidRDefault="00502186" w:rsidP="00502186">
      <w:pPr>
        <w:pStyle w:val="FootnoteText"/>
        <w:ind w:left="1134" w:hanging="1134"/>
        <w:rPr>
          <w:sz w:val="24"/>
          <w:szCs w:val="24"/>
          <w:lang w:val="es-ES"/>
        </w:rPr>
      </w:pPr>
      <w:r w:rsidRPr="00502186">
        <w:rPr>
          <w:i/>
          <w:iCs/>
          <w:sz w:val="24"/>
          <w:szCs w:val="24"/>
          <w:lang w:val="es-ES"/>
        </w:rPr>
        <w:t>Kodeks Prawa Kanonicznego</w:t>
      </w:r>
      <w:r w:rsidRPr="00502186">
        <w:rPr>
          <w:sz w:val="24"/>
          <w:szCs w:val="24"/>
          <w:lang w:val="es-ES"/>
        </w:rPr>
        <w:t>, Poznań 1990.</w:t>
      </w:r>
    </w:p>
    <w:p w14:paraId="7FE3843B" w14:textId="77777777" w:rsidR="00502186" w:rsidRPr="00502186" w:rsidRDefault="00502186" w:rsidP="00502186">
      <w:pPr>
        <w:pStyle w:val="FootnoteText"/>
        <w:ind w:left="1134" w:hanging="1134"/>
        <w:jc w:val="both"/>
        <w:rPr>
          <w:sz w:val="24"/>
          <w:szCs w:val="24"/>
        </w:rPr>
      </w:pPr>
      <w:r w:rsidRPr="00502186">
        <w:rPr>
          <w:sz w:val="24"/>
          <w:szCs w:val="24"/>
          <w:shd w:val="clear" w:color="auto" w:fill="FFFFFF"/>
        </w:rPr>
        <w:t>Kongregacja dla Spraw Sakramentów Świętych, Dekret</w:t>
      </w:r>
      <w:r w:rsidRPr="00502186">
        <w:rPr>
          <w:i/>
          <w:iCs/>
          <w:sz w:val="24"/>
          <w:szCs w:val="24"/>
          <w:shd w:val="clear" w:color="auto" w:fill="FFFFFF"/>
        </w:rPr>
        <w:t xml:space="preserve"> Quam </w:t>
      </w:r>
      <w:proofErr w:type="gramStart"/>
      <w:r w:rsidRPr="00502186">
        <w:rPr>
          <w:i/>
          <w:iCs/>
          <w:sz w:val="24"/>
          <w:szCs w:val="24"/>
          <w:shd w:val="clear" w:color="auto" w:fill="FFFFFF"/>
        </w:rPr>
        <w:t>singulari”</w:t>
      </w:r>
      <w:r w:rsidRPr="00502186">
        <w:rPr>
          <w:sz w:val="24"/>
          <w:szCs w:val="24"/>
          <w:shd w:val="clear" w:color="auto" w:fill="FFFFFF"/>
        </w:rPr>
        <w:t>  z</w:t>
      </w:r>
      <w:proofErr w:type="gramEnd"/>
      <w:r w:rsidRPr="00502186">
        <w:rPr>
          <w:sz w:val="24"/>
          <w:szCs w:val="24"/>
          <w:shd w:val="clear" w:color="auto" w:fill="FFFFFF"/>
        </w:rPr>
        <w:t xml:space="preserve"> dn. 8 sierpnia 1910, w: AAS 2 (1910), s. 582 (DH 3530).</w:t>
      </w:r>
    </w:p>
    <w:p w14:paraId="5654B827" w14:textId="77777777" w:rsidR="00502186" w:rsidRPr="00502186" w:rsidRDefault="00502186" w:rsidP="00502186">
      <w:pPr>
        <w:pStyle w:val="FootnoteText"/>
        <w:ind w:left="1134" w:hanging="1134"/>
        <w:jc w:val="both"/>
        <w:rPr>
          <w:sz w:val="24"/>
          <w:szCs w:val="24"/>
          <w:lang w:val="es-ES"/>
        </w:rPr>
      </w:pPr>
      <w:r w:rsidRPr="00502186">
        <w:rPr>
          <w:sz w:val="24"/>
          <w:szCs w:val="24"/>
          <w:shd w:val="clear" w:color="auto" w:fill="FFFFFF"/>
          <w:lang w:val="es-ES"/>
        </w:rPr>
        <w:t>Martínez Díaz G., Rodríguez F., </w:t>
      </w:r>
      <w:r w:rsidRPr="00502186">
        <w:rPr>
          <w:i/>
          <w:iCs/>
          <w:sz w:val="24"/>
          <w:szCs w:val="24"/>
          <w:shd w:val="clear" w:color="auto" w:fill="FFFFFF"/>
          <w:lang w:val="es-ES"/>
        </w:rPr>
        <w:t>Colección canónica hispana, </w:t>
      </w:r>
      <w:r w:rsidRPr="00502186">
        <w:rPr>
          <w:sz w:val="24"/>
          <w:szCs w:val="24"/>
          <w:shd w:val="clear" w:color="auto" w:fill="FFFFFF"/>
          <w:lang w:val="es-ES"/>
        </w:rPr>
        <w:t>t. IV</w:t>
      </w:r>
      <w:r w:rsidRPr="00502186">
        <w:rPr>
          <w:i/>
          <w:iCs/>
          <w:sz w:val="24"/>
          <w:szCs w:val="24"/>
          <w:shd w:val="clear" w:color="auto" w:fill="FFFFFF"/>
          <w:lang w:val="es-ES"/>
        </w:rPr>
        <w:t>,</w:t>
      </w:r>
      <w:r w:rsidRPr="00502186">
        <w:rPr>
          <w:sz w:val="24"/>
          <w:szCs w:val="24"/>
          <w:shd w:val="clear" w:color="auto" w:fill="FFFFFF"/>
          <w:lang w:val="es-ES"/>
        </w:rPr>
        <w:t> Madrid 1984.</w:t>
      </w:r>
    </w:p>
    <w:p w14:paraId="0B299F97" w14:textId="77777777" w:rsidR="00502186" w:rsidRPr="00502186" w:rsidRDefault="00502186" w:rsidP="00502186">
      <w:pPr>
        <w:pStyle w:val="FootnoteText"/>
        <w:ind w:left="1134" w:hanging="1134"/>
        <w:jc w:val="both"/>
        <w:rPr>
          <w:sz w:val="24"/>
          <w:szCs w:val="24"/>
          <w:lang w:val="es-ES"/>
        </w:rPr>
      </w:pPr>
      <w:r w:rsidRPr="00502186">
        <w:rPr>
          <w:sz w:val="24"/>
          <w:szCs w:val="24"/>
          <w:lang w:val="es-ES"/>
        </w:rPr>
        <w:t xml:space="preserve">Munno M., </w:t>
      </w:r>
      <w:r w:rsidRPr="00502186">
        <w:rPr>
          <w:i/>
          <w:iCs/>
          <w:sz w:val="24"/>
          <w:szCs w:val="24"/>
          <w:lang w:val="es-ES"/>
        </w:rPr>
        <w:t>Reciprocità tra fede e sacramento della confermazione: considerazioni sul documento della Commissione Teologica Internazionale</w:t>
      </w:r>
      <w:r w:rsidRPr="00502186">
        <w:rPr>
          <w:sz w:val="24"/>
          <w:szCs w:val="24"/>
          <w:lang w:val="es-ES"/>
        </w:rPr>
        <w:t>, Periodica 111(2022)4, s. 587-619</w:t>
      </w:r>
    </w:p>
    <w:p w14:paraId="56DC1B27" w14:textId="77777777" w:rsidR="00502186" w:rsidRPr="00502186" w:rsidRDefault="00502186" w:rsidP="00502186">
      <w:pPr>
        <w:pStyle w:val="FootnoteText"/>
        <w:ind w:left="1134" w:hanging="1134"/>
        <w:rPr>
          <w:sz w:val="24"/>
          <w:szCs w:val="24"/>
          <w:lang w:val="es-ES"/>
        </w:rPr>
      </w:pPr>
      <w:r w:rsidRPr="00502186">
        <w:rPr>
          <w:sz w:val="24"/>
          <w:szCs w:val="24"/>
          <w:lang w:val="es-ES"/>
        </w:rPr>
        <w:t xml:space="preserve">Nocent A., </w:t>
      </w:r>
      <w:r w:rsidRPr="00502186">
        <w:rPr>
          <w:i/>
          <w:iCs/>
          <w:sz w:val="24"/>
          <w:szCs w:val="24"/>
          <w:lang w:val="es-ES"/>
        </w:rPr>
        <w:t>Teologia o pastorale?</w:t>
      </w:r>
      <w:r w:rsidRPr="00502186">
        <w:rPr>
          <w:sz w:val="24"/>
          <w:szCs w:val="24"/>
          <w:lang w:val="es-ES"/>
        </w:rPr>
        <w:t xml:space="preserve">, w. A. Nocent, S. Marsili, </w:t>
      </w:r>
      <w:r w:rsidRPr="00502186">
        <w:rPr>
          <w:i/>
          <w:iCs/>
          <w:sz w:val="24"/>
          <w:szCs w:val="24"/>
          <w:lang w:val="es-ES"/>
        </w:rPr>
        <w:t>Problemi contemporanei della iniziazione cristiana</w:t>
      </w:r>
      <w:r w:rsidRPr="00502186">
        <w:rPr>
          <w:sz w:val="24"/>
          <w:szCs w:val="24"/>
          <w:lang w:val="es-ES"/>
        </w:rPr>
        <w:t xml:space="preserve">, w: P. Borella (red.), </w:t>
      </w:r>
      <w:r w:rsidRPr="00502186">
        <w:rPr>
          <w:i/>
          <w:iCs/>
          <w:sz w:val="24"/>
          <w:szCs w:val="24"/>
          <w:lang w:val="es-ES"/>
        </w:rPr>
        <w:t>La confermazione e l’iniziazione cristiana</w:t>
      </w:r>
      <w:r w:rsidRPr="00502186">
        <w:rPr>
          <w:sz w:val="24"/>
          <w:szCs w:val="24"/>
          <w:lang w:val="es-ES"/>
        </w:rPr>
        <w:t>, Torino – Leumann 1967.</w:t>
      </w:r>
    </w:p>
    <w:p w14:paraId="550A82F4" w14:textId="77777777" w:rsidR="00502186" w:rsidRPr="00502186" w:rsidRDefault="00502186" w:rsidP="00502186">
      <w:pPr>
        <w:pStyle w:val="FootnoteText"/>
        <w:ind w:left="1134" w:hanging="1134"/>
        <w:rPr>
          <w:sz w:val="24"/>
          <w:szCs w:val="24"/>
        </w:rPr>
      </w:pPr>
      <w:r w:rsidRPr="00502186">
        <w:rPr>
          <w:sz w:val="24"/>
          <w:szCs w:val="24"/>
        </w:rPr>
        <w:t xml:space="preserve">O’Collins G., Farrugia E.G., </w:t>
      </w:r>
      <w:r w:rsidRPr="00502186">
        <w:rPr>
          <w:i/>
          <w:iCs/>
          <w:sz w:val="24"/>
          <w:szCs w:val="24"/>
        </w:rPr>
        <w:t>Wiara</w:t>
      </w:r>
      <w:r w:rsidRPr="00502186">
        <w:rPr>
          <w:sz w:val="24"/>
          <w:szCs w:val="24"/>
        </w:rPr>
        <w:t xml:space="preserve">, w: </w:t>
      </w:r>
      <w:r w:rsidRPr="00502186">
        <w:rPr>
          <w:i/>
          <w:iCs/>
          <w:sz w:val="24"/>
          <w:szCs w:val="24"/>
        </w:rPr>
        <w:t>Zwięzły słownik teologiczny</w:t>
      </w:r>
      <w:r w:rsidRPr="00502186">
        <w:rPr>
          <w:sz w:val="24"/>
          <w:szCs w:val="24"/>
        </w:rPr>
        <w:t>, Kraków 1993.</w:t>
      </w:r>
    </w:p>
    <w:p w14:paraId="0F4EB80A" w14:textId="77777777" w:rsidR="00502186" w:rsidRPr="00502186" w:rsidRDefault="00502186" w:rsidP="00502186">
      <w:pPr>
        <w:pStyle w:val="FootnoteText"/>
        <w:ind w:left="1134" w:hanging="1134"/>
        <w:rPr>
          <w:sz w:val="24"/>
          <w:szCs w:val="24"/>
        </w:rPr>
      </w:pPr>
      <w:r w:rsidRPr="00502186">
        <w:rPr>
          <w:sz w:val="24"/>
          <w:szCs w:val="24"/>
        </w:rPr>
        <w:t xml:space="preserve">Ozorowski E., </w:t>
      </w:r>
      <w:r w:rsidRPr="00502186">
        <w:rPr>
          <w:i/>
          <w:iCs/>
          <w:sz w:val="24"/>
          <w:szCs w:val="24"/>
        </w:rPr>
        <w:t>Fides qua – fides quae</w:t>
      </w:r>
      <w:r w:rsidRPr="00502186">
        <w:rPr>
          <w:sz w:val="24"/>
          <w:szCs w:val="24"/>
        </w:rPr>
        <w:t>, „Rocznik Teologii Katolickiej” 8 (2009), s. 33-41.</w:t>
      </w:r>
    </w:p>
    <w:p w14:paraId="59F7129A" w14:textId="77777777" w:rsidR="00502186" w:rsidRPr="00502186" w:rsidRDefault="00502186" w:rsidP="00502186">
      <w:pPr>
        <w:pStyle w:val="FootnoteText"/>
        <w:ind w:left="1134" w:hanging="1134"/>
        <w:jc w:val="both"/>
        <w:rPr>
          <w:sz w:val="24"/>
          <w:szCs w:val="24"/>
          <w:lang w:val="de-DE"/>
        </w:rPr>
      </w:pPr>
      <w:r w:rsidRPr="00502186">
        <w:rPr>
          <w:sz w:val="24"/>
          <w:szCs w:val="24"/>
          <w:lang w:val="de-DE"/>
        </w:rPr>
        <w:t xml:space="preserve">Seckler M., Berchold Ch., </w:t>
      </w:r>
      <w:r w:rsidRPr="00502186">
        <w:rPr>
          <w:i/>
          <w:iCs/>
          <w:sz w:val="24"/>
          <w:szCs w:val="24"/>
          <w:lang w:val="de-DE"/>
        </w:rPr>
        <w:t>Glaube</w:t>
      </w:r>
      <w:r w:rsidRPr="00502186">
        <w:rPr>
          <w:sz w:val="24"/>
          <w:szCs w:val="24"/>
          <w:lang w:val="de-DE"/>
        </w:rPr>
        <w:t xml:space="preserve">, w: P. Eicher (red.), </w:t>
      </w:r>
      <w:r w:rsidRPr="00502186">
        <w:rPr>
          <w:i/>
          <w:iCs/>
          <w:sz w:val="24"/>
          <w:szCs w:val="24"/>
          <w:lang w:val="de-DE"/>
        </w:rPr>
        <w:t>Neues Handbuch theologischer Grundbegriffe</w:t>
      </w:r>
      <w:r w:rsidRPr="00502186">
        <w:rPr>
          <w:sz w:val="24"/>
          <w:szCs w:val="24"/>
          <w:lang w:val="de-DE"/>
        </w:rPr>
        <w:t xml:space="preserve">. </w:t>
      </w:r>
      <w:r w:rsidRPr="00502186">
        <w:rPr>
          <w:i/>
          <w:iCs/>
          <w:sz w:val="24"/>
          <w:szCs w:val="24"/>
          <w:lang w:val="de-DE"/>
        </w:rPr>
        <w:t>Erweiterte Neuausgabe in 5 Bänden</w:t>
      </w:r>
      <w:r w:rsidRPr="00502186">
        <w:rPr>
          <w:sz w:val="24"/>
          <w:szCs w:val="24"/>
          <w:lang w:val="de-DE"/>
        </w:rPr>
        <w:t>, t. 2, München 1991.</w:t>
      </w:r>
    </w:p>
    <w:p w14:paraId="769175E8" w14:textId="77777777" w:rsidR="00502186" w:rsidRPr="00502186" w:rsidRDefault="00502186" w:rsidP="00502186">
      <w:pPr>
        <w:pStyle w:val="FootnoteText"/>
        <w:ind w:left="1134" w:hanging="1134"/>
        <w:jc w:val="both"/>
        <w:rPr>
          <w:sz w:val="24"/>
          <w:szCs w:val="24"/>
          <w:shd w:val="clear" w:color="auto" w:fill="FFFFFF"/>
          <w:lang w:val="es-ES"/>
        </w:rPr>
      </w:pPr>
      <w:r w:rsidRPr="00502186">
        <w:rPr>
          <w:sz w:val="24"/>
          <w:szCs w:val="24"/>
          <w:lang w:val="es-ES"/>
        </w:rPr>
        <w:t>Synod w Elwirze</w:t>
      </w:r>
      <w:r w:rsidRPr="00502186">
        <w:rPr>
          <w:sz w:val="24"/>
          <w:szCs w:val="24"/>
          <w:shd w:val="clear" w:color="auto" w:fill="FFFFFF"/>
          <w:lang w:val="es-ES"/>
        </w:rPr>
        <w:t>, can</w:t>
      </w:r>
      <w:r w:rsidRPr="00502186">
        <w:rPr>
          <w:i/>
          <w:iCs/>
          <w:sz w:val="24"/>
          <w:szCs w:val="24"/>
          <w:shd w:val="clear" w:color="auto" w:fill="FFFFFF"/>
          <w:lang w:val="es-ES"/>
        </w:rPr>
        <w:t>.</w:t>
      </w:r>
      <w:r w:rsidRPr="00502186">
        <w:rPr>
          <w:sz w:val="24"/>
          <w:szCs w:val="24"/>
          <w:shd w:val="clear" w:color="auto" w:fill="FFFFFF"/>
          <w:lang w:val="es-ES"/>
        </w:rPr>
        <w:t xml:space="preserve"> 77 (DH 121). </w:t>
      </w:r>
    </w:p>
    <w:p w14:paraId="45654EED" w14:textId="5A7D1BD0" w:rsidR="00502186" w:rsidRPr="00A12F07" w:rsidRDefault="00502186" w:rsidP="00A12F07">
      <w:pPr>
        <w:pStyle w:val="FootnoteText"/>
        <w:ind w:left="1134" w:hanging="1134"/>
        <w:jc w:val="both"/>
        <w:rPr>
          <w:sz w:val="24"/>
          <w:szCs w:val="24"/>
          <w:lang w:val="en-US"/>
        </w:rPr>
      </w:pPr>
      <w:r w:rsidRPr="00A12F07">
        <w:rPr>
          <w:sz w:val="24"/>
          <w:szCs w:val="24"/>
          <w:lang w:val="en-US"/>
        </w:rPr>
        <w:t xml:space="preserve">Tomasz z Akwinu, </w:t>
      </w:r>
      <w:r w:rsidRPr="00A12F07">
        <w:rPr>
          <w:i/>
          <w:iCs/>
          <w:sz w:val="24"/>
          <w:szCs w:val="24"/>
          <w:lang w:val="en-US"/>
        </w:rPr>
        <w:t>Summa theologiae</w:t>
      </w:r>
      <w:r w:rsidRPr="00A12F07">
        <w:rPr>
          <w:sz w:val="24"/>
          <w:szCs w:val="24"/>
          <w:lang w:val="en-US"/>
        </w:rPr>
        <w:t xml:space="preserve">, </w:t>
      </w:r>
      <w:r w:rsidR="00A12F07" w:rsidRPr="00A12F07">
        <w:rPr>
          <w:sz w:val="24"/>
          <w:szCs w:val="24"/>
          <w:lang w:val="en-US"/>
        </w:rPr>
        <w:t>London 1962-1984</w:t>
      </w:r>
      <w:r w:rsidRPr="00A12F07">
        <w:rPr>
          <w:sz w:val="24"/>
          <w:szCs w:val="24"/>
          <w:lang w:val="en-US"/>
        </w:rPr>
        <w:t>.</w:t>
      </w:r>
    </w:p>
    <w:p w14:paraId="1F67607E" w14:textId="77777777" w:rsidR="001C25B2" w:rsidRPr="00A12F07" w:rsidRDefault="001C25B2" w:rsidP="003A539E">
      <w:pPr>
        <w:pStyle w:val="NoSpacing"/>
        <w:ind w:firstLine="709"/>
        <w:jc w:val="both"/>
        <w:rPr>
          <w:lang w:val="en-US"/>
        </w:rPr>
      </w:pPr>
    </w:p>
    <w:p w14:paraId="5BED8129" w14:textId="77777777" w:rsidR="001C25B2" w:rsidRPr="00A12F07" w:rsidRDefault="001C25B2" w:rsidP="003A539E">
      <w:pPr>
        <w:pStyle w:val="NoSpacing"/>
        <w:ind w:firstLine="709"/>
        <w:jc w:val="both"/>
        <w:rPr>
          <w:lang w:val="en-US"/>
        </w:rPr>
      </w:pPr>
    </w:p>
    <w:p w14:paraId="4180F55C" w14:textId="77777777" w:rsidR="001C25B2" w:rsidRPr="00A12F07" w:rsidRDefault="001C25B2" w:rsidP="003A539E">
      <w:pPr>
        <w:pStyle w:val="NoSpacing"/>
        <w:ind w:firstLine="709"/>
        <w:jc w:val="both"/>
        <w:rPr>
          <w:lang w:val="en-US"/>
        </w:rPr>
      </w:pPr>
    </w:p>
    <w:p w14:paraId="0B51A0BE" w14:textId="77777777" w:rsidR="001C25B2" w:rsidRPr="00A12F07" w:rsidRDefault="001C25B2" w:rsidP="003A539E">
      <w:pPr>
        <w:pStyle w:val="NoSpacing"/>
        <w:ind w:firstLine="709"/>
        <w:jc w:val="both"/>
        <w:rPr>
          <w:lang w:val="en-US"/>
        </w:rPr>
      </w:pPr>
    </w:p>
    <w:p w14:paraId="55905617" w14:textId="77777777" w:rsidR="001C25B2" w:rsidRPr="00A12F07" w:rsidRDefault="001C25B2" w:rsidP="003A539E">
      <w:pPr>
        <w:pStyle w:val="NoSpacing"/>
        <w:ind w:firstLine="709"/>
        <w:jc w:val="both"/>
        <w:rPr>
          <w:lang w:val="en-US"/>
        </w:rPr>
      </w:pPr>
    </w:p>
    <w:p w14:paraId="1D438B9F" w14:textId="77777777" w:rsidR="001C25B2" w:rsidRPr="00A12F07" w:rsidRDefault="001C25B2" w:rsidP="003A539E">
      <w:pPr>
        <w:pStyle w:val="NoSpacing"/>
        <w:ind w:firstLine="709"/>
        <w:jc w:val="both"/>
        <w:rPr>
          <w:lang w:val="en-US"/>
        </w:rPr>
      </w:pPr>
    </w:p>
    <w:p w14:paraId="43500F61" w14:textId="77777777" w:rsidR="001C25B2" w:rsidRPr="00A12F07" w:rsidRDefault="001C25B2" w:rsidP="003A539E">
      <w:pPr>
        <w:pStyle w:val="NoSpacing"/>
        <w:ind w:firstLine="709"/>
        <w:jc w:val="both"/>
        <w:rPr>
          <w:lang w:val="en-US"/>
        </w:rPr>
      </w:pPr>
    </w:p>
    <w:p w14:paraId="716AD40D" w14:textId="77777777" w:rsidR="001C25B2" w:rsidRPr="00A12F07" w:rsidRDefault="001C25B2" w:rsidP="003A539E">
      <w:pPr>
        <w:pStyle w:val="NoSpacing"/>
        <w:ind w:firstLine="709"/>
        <w:jc w:val="both"/>
        <w:rPr>
          <w:lang w:val="en-US"/>
        </w:rPr>
      </w:pPr>
    </w:p>
    <w:p w14:paraId="2A55F26E" w14:textId="77777777" w:rsidR="001C25B2" w:rsidRPr="00A12F07" w:rsidRDefault="001C25B2" w:rsidP="003A539E">
      <w:pPr>
        <w:pStyle w:val="NoSpacing"/>
        <w:ind w:firstLine="709"/>
        <w:jc w:val="both"/>
        <w:rPr>
          <w:lang w:val="en-US"/>
        </w:rPr>
      </w:pPr>
    </w:p>
    <w:p w14:paraId="3E423B9B" w14:textId="77777777" w:rsidR="001C25B2" w:rsidRPr="00A12F07" w:rsidRDefault="001C25B2" w:rsidP="003A539E">
      <w:pPr>
        <w:pStyle w:val="NoSpacing"/>
        <w:ind w:firstLine="709"/>
        <w:jc w:val="both"/>
        <w:rPr>
          <w:lang w:val="en-US"/>
        </w:rPr>
      </w:pPr>
    </w:p>
    <w:p w14:paraId="0DF57464" w14:textId="77777777" w:rsidR="001C25B2" w:rsidRPr="00A12F07" w:rsidRDefault="001C25B2" w:rsidP="003A539E">
      <w:pPr>
        <w:pStyle w:val="NoSpacing"/>
        <w:ind w:firstLine="709"/>
        <w:jc w:val="both"/>
        <w:rPr>
          <w:lang w:val="en-US"/>
        </w:rPr>
      </w:pPr>
    </w:p>
    <w:p w14:paraId="1C7ED3F5" w14:textId="77777777" w:rsidR="001C25B2" w:rsidRPr="00A12F07" w:rsidRDefault="001C25B2" w:rsidP="003A539E">
      <w:pPr>
        <w:pStyle w:val="NoSpacing"/>
        <w:ind w:firstLine="709"/>
        <w:jc w:val="both"/>
        <w:rPr>
          <w:lang w:val="en-US"/>
        </w:rPr>
      </w:pPr>
    </w:p>
    <w:p w14:paraId="48961740" w14:textId="77777777" w:rsidR="001C25B2" w:rsidRPr="00A12F07" w:rsidRDefault="001C25B2" w:rsidP="003A539E">
      <w:pPr>
        <w:pStyle w:val="NoSpacing"/>
        <w:ind w:firstLine="709"/>
        <w:jc w:val="both"/>
        <w:rPr>
          <w:lang w:val="en-US"/>
        </w:rPr>
      </w:pPr>
    </w:p>
    <w:p w14:paraId="4106C366" w14:textId="77777777" w:rsidR="001C25B2" w:rsidRPr="00A12F07" w:rsidRDefault="001C25B2" w:rsidP="003A539E">
      <w:pPr>
        <w:pStyle w:val="NoSpacing"/>
        <w:ind w:firstLine="709"/>
        <w:jc w:val="both"/>
        <w:rPr>
          <w:lang w:val="en-US"/>
        </w:rPr>
      </w:pPr>
    </w:p>
    <w:p w14:paraId="3B82EF08" w14:textId="77777777" w:rsidR="001C25B2" w:rsidRPr="00A12F07" w:rsidRDefault="001C25B2" w:rsidP="003A539E">
      <w:pPr>
        <w:pStyle w:val="NoSpacing"/>
        <w:ind w:firstLine="709"/>
        <w:jc w:val="both"/>
        <w:rPr>
          <w:lang w:val="en-US"/>
        </w:rPr>
      </w:pPr>
    </w:p>
    <w:p w14:paraId="2918CA9E" w14:textId="77777777" w:rsidR="001C25B2" w:rsidRPr="00A12F07" w:rsidRDefault="001C25B2" w:rsidP="003A539E">
      <w:pPr>
        <w:pStyle w:val="NoSpacing"/>
        <w:ind w:firstLine="709"/>
        <w:jc w:val="both"/>
        <w:rPr>
          <w:lang w:val="en-US"/>
        </w:rPr>
      </w:pPr>
    </w:p>
    <w:p w14:paraId="3721D888" w14:textId="77777777" w:rsidR="001C25B2" w:rsidRPr="00A12F07" w:rsidRDefault="001C25B2" w:rsidP="003A539E">
      <w:pPr>
        <w:pStyle w:val="NoSpacing"/>
        <w:ind w:firstLine="709"/>
        <w:jc w:val="both"/>
        <w:rPr>
          <w:lang w:val="en-US"/>
        </w:rPr>
      </w:pPr>
    </w:p>
    <w:p w14:paraId="287C97AC" w14:textId="77777777" w:rsidR="001C25B2" w:rsidRPr="00A12F07" w:rsidRDefault="001C25B2" w:rsidP="003A539E">
      <w:pPr>
        <w:pStyle w:val="NoSpacing"/>
        <w:ind w:firstLine="709"/>
        <w:jc w:val="both"/>
        <w:rPr>
          <w:lang w:val="en-US"/>
        </w:rPr>
      </w:pPr>
    </w:p>
    <w:p w14:paraId="4ED37926" w14:textId="77777777" w:rsidR="001C25B2" w:rsidRPr="00A12F07" w:rsidRDefault="001C25B2" w:rsidP="003A539E">
      <w:pPr>
        <w:pStyle w:val="NoSpacing"/>
        <w:ind w:firstLine="709"/>
        <w:jc w:val="both"/>
        <w:rPr>
          <w:lang w:val="en-US"/>
        </w:rPr>
      </w:pPr>
    </w:p>
    <w:sectPr w:rsidR="001C25B2" w:rsidRPr="00A12F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EF6D" w14:textId="77777777" w:rsidR="00B35496" w:rsidRDefault="00B35496" w:rsidP="004E11D9">
      <w:pPr>
        <w:spacing w:after="0" w:line="240" w:lineRule="auto"/>
      </w:pPr>
      <w:r>
        <w:separator/>
      </w:r>
    </w:p>
  </w:endnote>
  <w:endnote w:type="continuationSeparator" w:id="0">
    <w:p w14:paraId="00733536" w14:textId="77777777" w:rsidR="00B35496" w:rsidRDefault="00B35496" w:rsidP="004E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AB29" w14:textId="77777777" w:rsidR="00B35496" w:rsidRDefault="00B35496" w:rsidP="004E11D9">
      <w:pPr>
        <w:spacing w:after="0" w:line="240" w:lineRule="auto"/>
      </w:pPr>
      <w:r>
        <w:separator/>
      </w:r>
    </w:p>
  </w:footnote>
  <w:footnote w:type="continuationSeparator" w:id="0">
    <w:p w14:paraId="2183DBEC" w14:textId="77777777" w:rsidR="00B35496" w:rsidRDefault="00B35496" w:rsidP="004E11D9">
      <w:pPr>
        <w:spacing w:after="0" w:line="240" w:lineRule="auto"/>
      </w:pPr>
      <w:r>
        <w:continuationSeparator/>
      </w:r>
    </w:p>
  </w:footnote>
  <w:footnote w:id="1">
    <w:p w14:paraId="3C1B308D" w14:textId="23C67CB8" w:rsidR="004E11D9" w:rsidRDefault="004E11D9" w:rsidP="00132B53">
      <w:pPr>
        <w:pStyle w:val="FootnoteText"/>
        <w:jc w:val="both"/>
      </w:pPr>
      <w:r>
        <w:rPr>
          <w:rStyle w:val="FootnoteReference"/>
        </w:rPr>
        <w:footnoteRef/>
      </w:r>
      <w:r w:rsidR="00132B53" w:rsidRPr="00C50B24">
        <w:rPr>
          <w:lang w:val="fr-FR"/>
        </w:rPr>
        <w:t xml:space="preserve"> Commissione Teologica Internationale,</w:t>
      </w:r>
      <w:r w:rsidR="00DE7600" w:rsidRPr="00C50B24">
        <w:rPr>
          <w:sz w:val="24"/>
          <w:szCs w:val="28"/>
          <w:lang w:val="fr-FR"/>
        </w:rPr>
        <w:t xml:space="preserve"> </w:t>
      </w:r>
      <w:r w:rsidR="00DE7600" w:rsidRPr="00C50B24">
        <w:rPr>
          <w:i/>
          <w:iCs/>
          <w:lang w:val="fr-FR"/>
        </w:rPr>
        <w:t>La reciprocità tra fede e sacramenti nell’economia sacramentale</w:t>
      </w:r>
      <w:r w:rsidR="00DE7600" w:rsidRPr="00C50B24">
        <w:rPr>
          <w:lang w:val="fr-FR"/>
        </w:rPr>
        <w:t xml:space="preserve">, Il Regno. </w:t>
      </w:r>
      <w:r w:rsidR="00DE7600" w:rsidRPr="00DE7600">
        <w:t>Documenti 66 (2021)</w:t>
      </w:r>
      <w:r w:rsidR="00DE7600">
        <w:t>, s.</w:t>
      </w:r>
      <w:r w:rsidR="00DE7600" w:rsidRPr="00DE7600">
        <w:t xml:space="preserve"> 13-59</w:t>
      </w:r>
      <w:r w:rsidR="004414A5">
        <w:t xml:space="preserve"> [dalej RFS]</w:t>
      </w:r>
      <w:r w:rsidR="00DE7600" w:rsidRPr="00DE7600">
        <w:t>.</w:t>
      </w:r>
      <w:r w:rsidR="00132B53">
        <w:t xml:space="preserve"> </w:t>
      </w:r>
      <w:r w:rsidR="00440FA0" w:rsidRPr="00440FA0">
        <w:t>Dyskusje na</w:t>
      </w:r>
      <w:r w:rsidR="00132B53">
        <w:t>d</w:t>
      </w:r>
      <w:r w:rsidR="00440FA0" w:rsidRPr="00440FA0">
        <w:t xml:space="preserve"> omawiany</w:t>
      </w:r>
      <w:r w:rsidR="00132B53">
        <w:t>m</w:t>
      </w:r>
      <w:r w:rsidR="00440FA0" w:rsidRPr="00440FA0">
        <w:t xml:space="preserve"> temat</w:t>
      </w:r>
      <w:r w:rsidR="00132B53">
        <w:t>em</w:t>
      </w:r>
      <w:r w:rsidR="00440FA0" w:rsidRPr="00440FA0">
        <w:t xml:space="preserve"> toczyły się zarówno podczas różnych posiedzeń Podkomisji, jak i na sesjach plenarnych samej Komisji w latach 2014–2019. Dokument ten, zatytułowany „Wzajemność wiary i sakramentów w ekonomii sakramentalnej”, został jednoznacznie zatwierdzony przez członków Międzynarodowej Komisji Teologicznej podczas sesji plenarnej w 2019 roku</w:t>
      </w:r>
      <w:r w:rsidR="00132B53">
        <w:t xml:space="preserve">. </w:t>
      </w:r>
      <w:r w:rsidR="00440FA0" w:rsidRPr="00440FA0">
        <w:t>Następnie dokument został przedłożony do zatwierdzenia jej przewodniczącemu</w:t>
      </w:r>
      <w:r w:rsidR="00132B53">
        <w:t xml:space="preserve"> </w:t>
      </w:r>
      <w:r w:rsidR="00440FA0" w:rsidRPr="00440FA0">
        <w:t>kardynałowi Luisowi F. Ladari</w:t>
      </w:r>
      <w:r w:rsidR="00132B53">
        <w:t>i</w:t>
      </w:r>
      <w:r w:rsidR="00440FA0" w:rsidRPr="00440FA0">
        <w:t xml:space="preserve"> Ferrerowi SJ, prefektowi Kongregacji Nauki Wiary, który po uzyskaniu pozytywnej opinii Ojca Świętego Franciszka zezwolił na jego publikację 19 grudnia 2019 roku.</w:t>
      </w:r>
    </w:p>
  </w:footnote>
  <w:footnote w:id="2">
    <w:p w14:paraId="15289682" w14:textId="2DC32F99" w:rsidR="00D64C74" w:rsidRDefault="00D64C74">
      <w:pPr>
        <w:pStyle w:val="FootnoteText"/>
      </w:pPr>
      <w:r>
        <w:rPr>
          <w:rStyle w:val="FootnoteReference"/>
        </w:rPr>
        <w:footnoteRef/>
      </w:r>
      <w:r>
        <w:t xml:space="preserve"> </w:t>
      </w:r>
      <w:r w:rsidRPr="00D64C74">
        <w:t xml:space="preserve">G. O’Collins, E.G. Farrugia, </w:t>
      </w:r>
      <w:r w:rsidRPr="00D64C74">
        <w:rPr>
          <w:i/>
          <w:iCs/>
        </w:rPr>
        <w:t>Wiara</w:t>
      </w:r>
      <w:r w:rsidRPr="00D64C74">
        <w:t xml:space="preserve">, w: </w:t>
      </w:r>
      <w:r w:rsidRPr="00D64C74">
        <w:rPr>
          <w:i/>
          <w:iCs/>
        </w:rPr>
        <w:t>Zwięzły słownik teologiczny</w:t>
      </w:r>
      <w:r w:rsidRPr="00D64C74">
        <w:t>, Kraków 1993, s. 288.</w:t>
      </w:r>
    </w:p>
  </w:footnote>
  <w:footnote w:id="3">
    <w:p w14:paraId="69A150A1" w14:textId="242E0AE9" w:rsidR="003E3B7D" w:rsidRPr="00C50B24" w:rsidRDefault="003E3B7D" w:rsidP="003E3B7D">
      <w:pPr>
        <w:pStyle w:val="FootnoteText"/>
        <w:jc w:val="both"/>
        <w:rPr>
          <w:lang w:val="de-DE"/>
        </w:rPr>
      </w:pPr>
      <w:r>
        <w:rPr>
          <w:rStyle w:val="FootnoteReference"/>
        </w:rPr>
        <w:footnoteRef/>
      </w:r>
      <w:r w:rsidRPr="003E3B7D">
        <w:rPr>
          <w:lang w:val="de-DE"/>
        </w:rPr>
        <w:t xml:space="preserve"> M. Seckler, Ch. Berchold, </w:t>
      </w:r>
      <w:r w:rsidRPr="003E3B7D">
        <w:rPr>
          <w:i/>
          <w:iCs/>
          <w:lang w:val="de-DE"/>
        </w:rPr>
        <w:t>Glaube</w:t>
      </w:r>
      <w:r w:rsidRPr="003E3B7D">
        <w:rPr>
          <w:lang w:val="de-DE"/>
        </w:rPr>
        <w:t xml:space="preserve">, w: P. Eicher (red.), </w:t>
      </w:r>
      <w:r w:rsidRPr="003E3B7D">
        <w:rPr>
          <w:i/>
          <w:iCs/>
          <w:lang w:val="de-DE"/>
        </w:rPr>
        <w:t>Neues Handbu</w:t>
      </w:r>
      <w:r w:rsidRPr="006C5653">
        <w:rPr>
          <w:i/>
          <w:iCs/>
          <w:lang w:val="de-DE"/>
        </w:rPr>
        <w:t>ch theologischer Grundbegriffe</w:t>
      </w:r>
      <w:r w:rsidRPr="006C5653">
        <w:rPr>
          <w:lang w:val="de-DE"/>
        </w:rPr>
        <w:t xml:space="preserve">. </w:t>
      </w:r>
      <w:r w:rsidRPr="00C50B24">
        <w:rPr>
          <w:i/>
          <w:iCs/>
          <w:lang w:val="de-DE"/>
        </w:rPr>
        <w:t>Erweiterte Neuausgabe in 5 Bänden</w:t>
      </w:r>
      <w:r w:rsidRPr="00C50B24">
        <w:rPr>
          <w:lang w:val="de-DE"/>
        </w:rPr>
        <w:t>, t. 2, München 1991, s. 245.</w:t>
      </w:r>
    </w:p>
  </w:footnote>
  <w:footnote w:id="4">
    <w:p w14:paraId="60BC3AAE" w14:textId="6DE2B768" w:rsidR="005B6005" w:rsidRPr="00C50B24" w:rsidRDefault="005B6005">
      <w:pPr>
        <w:pStyle w:val="FootnoteText"/>
        <w:rPr>
          <w:lang w:val="de-DE"/>
        </w:rPr>
      </w:pPr>
      <w:r>
        <w:rPr>
          <w:rStyle w:val="FootnoteReference"/>
        </w:rPr>
        <w:footnoteRef/>
      </w:r>
      <w:r w:rsidRPr="00C50B24">
        <w:rPr>
          <w:lang w:val="de-DE"/>
        </w:rPr>
        <w:t xml:space="preserve"> E. Ozorowski, </w:t>
      </w:r>
      <w:r w:rsidRPr="00C50B24">
        <w:rPr>
          <w:i/>
          <w:iCs/>
          <w:lang w:val="de-DE"/>
        </w:rPr>
        <w:t>Fides qua – fides quae</w:t>
      </w:r>
      <w:r w:rsidRPr="00C50B24">
        <w:rPr>
          <w:lang w:val="de-DE"/>
        </w:rPr>
        <w:t>, „Rocznik Teologii Katolickiej” 8 (2009), s. 33-41.</w:t>
      </w:r>
    </w:p>
  </w:footnote>
  <w:footnote w:id="5">
    <w:p w14:paraId="080BF07B" w14:textId="3CEF59EB" w:rsidR="006C5653" w:rsidRPr="00A00F6F" w:rsidRDefault="006C5653" w:rsidP="00F77BC2">
      <w:pPr>
        <w:pStyle w:val="FootnoteText"/>
        <w:jc w:val="both"/>
        <w:rPr>
          <w:lang w:val="en-GB"/>
        </w:rPr>
      </w:pPr>
      <w:r w:rsidRPr="006C5653">
        <w:rPr>
          <w:rStyle w:val="FootnoteReference"/>
        </w:rPr>
        <w:footnoteRef/>
      </w:r>
      <w:r w:rsidRPr="006C5653">
        <w:t xml:space="preserve"> Międzynarodowa Komisja Teologiczna doprecyzowała na poziomie doktrynalnym specyficzną rolę wiary dla ważności i owocności każdego sakramentu. Następnie przedstawiła kryteria określające, jaka wiara jest niezbędna dla każdego sakramentu wtajemniczenia chrześcijańskiego (por. RFS, rozdz. 3), a w szerszym zakresie, skupiła się na wzajemności między wiarą a sakramentem małżeństwa (por. RFS, rozdz. 4). Na koniec przedstawiono krótkie podsumowanie, na poziomie bardziej ogólnym, ponownie analizując wzajemność między wiarą a sakramentami w ekonomii sakramentalnej (por. </w:t>
      </w:r>
      <w:r w:rsidRPr="006C5653">
        <w:rPr>
          <w:lang w:val="es-ES"/>
        </w:rPr>
        <w:t>RFS, rozdz. 5).</w:t>
      </w:r>
    </w:p>
  </w:footnote>
  <w:footnote w:id="6">
    <w:p w14:paraId="2EC971D5" w14:textId="4193371A" w:rsidR="00FE7961" w:rsidRPr="00FE7961" w:rsidRDefault="00FE7961" w:rsidP="00115F61">
      <w:pPr>
        <w:pStyle w:val="FootnoteText"/>
        <w:spacing w:after="240"/>
        <w:jc w:val="both"/>
        <w:rPr>
          <w:lang w:val="es-ES"/>
        </w:rPr>
      </w:pPr>
      <w:r>
        <w:rPr>
          <w:rStyle w:val="FootnoteReference"/>
        </w:rPr>
        <w:footnoteRef/>
      </w:r>
      <w:r w:rsidRPr="00FE7961">
        <w:rPr>
          <w:lang w:val="es-ES"/>
        </w:rPr>
        <w:t xml:space="preserve"> M. Munno,</w:t>
      </w:r>
      <w:r>
        <w:rPr>
          <w:lang w:val="es-ES"/>
        </w:rPr>
        <w:t xml:space="preserve"> </w:t>
      </w:r>
      <w:r w:rsidRPr="00FE7961">
        <w:rPr>
          <w:i/>
          <w:iCs/>
          <w:lang w:val="es-ES"/>
        </w:rPr>
        <w:t>Reciprocità tra fede e sacramento della confermazione: considerazioni sul documento della Commissione Teologica Internazionale</w:t>
      </w:r>
      <w:r>
        <w:rPr>
          <w:lang w:val="es-ES"/>
        </w:rPr>
        <w:t xml:space="preserve">, </w:t>
      </w:r>
      <w:r w:rsidRPr="00FE7961">
        <w:rPr>
          <w:lang w:val="es-ES"/>
        </w:rPr>
        <w:t>Periodica 111(2022)</w:t>
      </w:r>
      <w:r>
        <w:rPr>
          <w:lang w:val="es-ES"/>
        </w:rPr>
        <w:t>4, s.</w:t>
      </w:r>
      <w:r w:rsidRPr="00FE7961">
        <w:rPr>
          <w:lang w:val="es-ES"/>
        </w:rPr>
        <w:t xml:space="preserve"> 587-619</w:t>
      </w:r>
      <w:r w:rsidR="00115F61">
        <w:rPr>
          <w:lang w:val="es-ES"/>
        </w:rPr>
        <w:t>.</w:t>
      </w:r>
    </w:p>
  </w:footnote>
  <w:footnote w:id="7">
    <w:p w14:paraId="325C2AE0" w14:textId="27EBE40F" w:rsidR="008D1B38" w:rsidRPr="006D1707" w:rsidRDefault="008D1B38">
      <w:pPr>
        <w:pStyle w:val="FootnoteText"/>
        <w:rPr>
          <w:lang w:val="es-ES"/>
        </w:rPr>
      </w:pPr>
      <w:r>
        <w:rPr>
          <w:rStyle w:val="FootnoteReference"/>
        </w:rPr>
        <w:footnoteRef/>
      </w:r>
      <w:r w:rsidRPr="006D1707">
        <w:rPr>
          <w:lang w:val="es-ES"/>
        </w:rPr>
        <w:t xml:space="preserve"> </w:t>
      </w:r>
      <w:r w:rsidR="001273D3" w:rsidRPr="006D1707">
        <w:rPr>
          <w:i/>
          <w:iCs/>
          <w:lang w:val="es-ES"/>
        </w:rPr>
        <w:t>Kodeks Prawa Kanonicznego</w:t>
      </w:r>
      <w:r w:rsidR="001273D3" w:rsidRPr="006D1707">
        <w:rPr>
          <w:lang w:val="es-ES"/>
        </w:rPr>
        <w:t>, Poznań 1990.</w:t>
      </w:r>
    </w:p>
  </w:footnote>
  <w:footnote w:id="8">
    <w:p w14:paraId="28F33E8A" w14:textId="3B13D433" w:rsidR="000D1564" w:rsidRPr="006D1707" w:rsidRDefault="000D1564" w:rsidP="001273D3">
      <w:pPr>
        <w:pStyle w:val="FootnoteText"/>
        <w:jc w:val="both"/>
        <w:rPr>
          <w:lang w:val="es-ES"/>
        </w:rPr>
      </w:pPr>
      <w:r w:rsidRPr="001273D3">
        <w:rPr>
          <w:rStyle w:val="FootnoteReference"/>
        </w:rPr>
        <w:footnoteRef/>
      </w:r>
      <w:r w:rsidRPr="006D1707">
        <w:rPr>
          <w:lang w:val="es-ES"/>
        </w:rPr>
        <w:t xml:space="preserve"> </w:t>
      </w:r>
      <w:r w:rsidR="001273D3" w:rsidRPr="006D1707">
        <w:rPr>
          <w:lang w:val="es-ES"/>
        </w:rPr>
        <w:t>Synod w Elwirze</w:t>
      </w:r>
      <w:r w:rsidRPr="006D1707">
        <w:rPr>
          <w:shd w:val="clear" w:color="auto" w:fill="FFFFFF"/>
          <w:lang w:val="es-ES"/>
        </w:rPr>
        <w:t>, can</w:t>
      </w:r>
      <w:r w:rsidRPr="006D1707">
        <w:rPr>
          <w:i/>
          <w:iCs/>
          <w:shd w:val="clear" w:color="auto" w:fill="FFFFFF"/>
          <w:lang w:val="es-ES"/>
        </w:rPr>
        <w:t>.</w:t>
      </w:r>
      <w:r w:rsidR="001273D3" w:rsidRPr="006D1707">
        <w:rPr>
          <w:shd w:val="clear" w:color="auto" w:fill="FFFFFF"/>
          <w:lang w:val="es-ES"/>
        </w:rPr>
        <w:t> 77 (DH 121); G. Martínez Díaz,</w:t>
      </w:r>
      <w:r w:rsidRPr="006D1707">
        <w:rPr>
          <w:shd w:val="clear" w:color="auto" w:fill="FFFFFF"/>
          <w:lang w:val="es-ES"/>
        </w:rPr>
        <w:t xml:space="preserve"> F. Rodríguez, </w:t>
      </w:r>
      <w:r w:rsidRPr="006D1707">
        <w:rPr>
          <w:i/>
          <w:iCs/>
          <w:shd w:val="clear" w:color="auto" w:fill="FFFFFF"/>
          <w:lang w:val="es-ES"/>
        </w:rPr>
        <w:t>Colección canónica hispana, </w:t>
      </w:r>
      <w:r w:rsidRPr="006D1707">
        <w:rPr>
          <w:shd w:val="clear" w:color="auto" w:fill="FFFFFF"/>
          <w:lang w:val="es-ES"/>
        </w:rPr>
        <w:t>t. IV</w:t>
      </w:r>
      <w:r w:rsidRPr="006D1707">
        <w:rPr>
          <w:i/>
          <w:iCs/>
          <w:shd w:val="clear" w:color="auto" w:fill="FFFFFF"/>
          <w:lang w:val="es-ES"/>
        </w:rPr>
        <w:t>,</w:t>
      </w:r>
      <w:r w:rsidR="001273D3" w:rsidRPr="006D1707">
        <w:rPr>
          <w:shd w:val="clear" w:color="auto" w:fill="FFFFFF"/>
          <w:lang w:val="es-ES"/>
        </w:rPr>
        <w:t> Madrid 1984, s.267</w:t>
      </w:r>
      <w:r w:rsidRPr="006D1707">
        <w:rPr>
          <w:shd w:val="clear" w:color="auto" w:fill="FFFFFF"/>
          <w:lang w:val="es-ES"/>
        </w:rPr>
        <w:t>.</w:t>
      </w:r>
    </w:p>
  </w:footnote>
  <w:footnote w:id="9">
    <w:p w14:paraId="30A49DFB" w14:textId="2292C6C5" w:rsidR="000D1564" w:rsidRPr="001273D3" w:rsidRDefault="000D1564" w:rsidP="001273D3">
      <w:pPr>
        <w:pStyle w:val="FootnoteText"/>
        <w:jc w:val="both"/>
      </w:pPr>
      <w:r w:rsidRPr="001273D3">
        <w:rPr>
          <w:rStyle w:val="FootnoteReference"/>
        </w:rPr>
        <w:footnoteRef/>
      </w:r>
      <w:r w:rsidRPr="001273D3">
        <w:t xml:space="preserve"> </w:t>
      </w:r>
      <w:r w:rsidR="001273D3" w:rsidRPr="001273D3">
        <w:rPr>
          <w:shd w:val="clear" w:color="auto" w:fill="FFFFFF"/>
        </w:rPr>
        <w:t>Kongregacja dla Spraw Sakramentów Świętych, Dekret</w:t>
      </w:r>
      <w:r w:rsidR="001273D3" w:rsidRPr="001273D3">
        <w:rPr>
          <w:i/>
          <w:iCs/>
          <w:shd w:val="clear" w:color="auto" w:fill="FFFFFF"/>
        </w:rPr>
        <w:t> </w:t>
      </w:r>
      <w:r w:rsidRPr="001273D3">
        <w:rPr>
          <w:i/>
          <w:iCs/>
          <w:shd w:val="clear" w:color="auto" w:fill="FFFFFF"/>
        </w:rPr>
        <w:t>Quam singulari”</w:t>
      </w:r>
      <w:r w:rsidR="001273D3" w:rsidRPr="001273D3">
        <w:rPr>
          <w:shd w:val="clear" w:color="auto" w:fill="FFFFFF"/>
        </w:rPr>
        <w:t xml:space="preserve">  z dn. </w:t>
      </w:r>
      <w:r w:rsidRPr="001273D3">
        <w:rPr>
          <w:shd w:val="clear" w:color="auto" w:fill="FFFFFF"/>
        </w:rPr>
        <w:t xml:space="preserve">8 </w:t>
      </w:r>
      <w:r w:rsidR="001273D3" w:rsidRPr="001273D3">
        <w:rPr>
          <w:shd w:val="clear" w:color="auto" w:fill="FFFFFF"/>
        </w:rPr>
        <w:t>sierpnia 1910, w:</w:t>
      </w:r>
      <w:r w:rsidRPr="001273D3">
        <w:rPr>
          <w:shd w:val="clear" w:color="auto" w:fill="FFFFFF"/>
        </w:rPr>
        <w:t xml:space="preserve"> AAS 2 (1910)</w:t>
      </w:r>
      <w:r w:rsidR="001273D3" w:rsidRPr="001273D3">
        <w:rPr>
          <w:shd w:val="clear" w:color="auto" w:fill="FFFFFF"/>
        </w:rPr>
        <w:t xml:space="preserve">, s. 582 </w:t>
      </w:r>
      <w:r w:rsidRPr="001273D3">
        <w:rPr>
          <w:shd w:val="clear" w:color="auto" w:fill="FFFFFF"/>
        </w:rPr>
        <w:t>(</w:t>
      </w:r>
      <w:r w:rsidR="001273D3" w:rsidRPr="001273D3">
        <w:rPr>
          <w:shd w:val="clear" w:color="auto" w:fill="FFFFFF"/>
        </w:rPr>
        <w:t>DH 3530</w:t>
      </w:r>
      <w:r w:rsidRPr="001273D3">
        <w:rPr>
          <w:shd w:val="clear" w:color="auto" w:fill="FFFFFF"/>
        </w:rPr>
        <w:t>).</w:t>
      </w:r>
    </w:p>
  </w:footnote>
  <w:footnote w:id="10">
    <w:p w14:paraId="3046B978" w14:textId="7DDC9070" w:rsidR="00226A0E" w:rsidRPr="001273D3" w:rsidRDefault="00226A0E" w:rsidP="001273D3">
      <w:pPr>
        <w:pStyle w:val="FootnoteText"/>
        <w:jc w:val="both"/>
      </w:pPr>
      <w:r w:rsidRPr="001273D3">
        <w:rPr>
          <w:rStyle w:val="FootnoteReference"/>
        </w:rPr>
        <w:footnoteRef/>
      </w:r>
      <w:r w:rsidRPr="001273D3">
        <w:t xml:space="preserve"> </w:t>
      </w:r>
      <w:r w:rsidRPr="001273D3">
        <w:rPr>
          <w:i/>
          <w:iCs/>
        </w:rPr>
        <w:t>Katechizm Kościoła Katolickiego</w:t>
      </w:r>
      <w:r w:rsidRPr="001273D3">
        <w:t xml:space="preserve">, Poznań 1994, 1305. Por. Tomasz z Akwinu, </w:t>
      </w:r>
      <w:r w:rsidRPr="001273D3">
        <w:rPr>
          <w:i/>
          <w:iCs/>
        </w:rPr>
        <w:t>Summa theologoae</w:t>
      </w:r>
      <w:r w:rsidRPr="001273D3">
        <w:t>, III, 72, 5, ad 2.</w:t>
      </w:r>
    </w:p>
  </w:footnote>
  <w:footnote w:id="11">
    <w:p w14:paraId="29911BA2" w14:textId="3E5F16A7" w:rsidR="00142A38" w:rsidRDefault="00142A38" w:rsidP="00142A38">
      <w:pPr>
        <w:pStyle w:val="FootnoteText"/>
      </w:pPr>
      <w:r>
        <w:rPr>
          <w:rStyle w:val="FootnoteReference"/>
        </w:rPr>
        <w:footnoteRef/>
      </w:r>
      <w:r>
        <w:t xml:space="preserve"> </w:t>
      </w:r>
      <w:r>
        <w:rPr>
          <w:lang w:val="es-ES"/>
        </w:rPr>
        <w:t>A. N</w:t>
      </w:r>
      <w:r w:rsidRPr="00FE0AD0">
        <w:rPr>
          <w:lang w:val="es-ES"/>
        </w:rPr>
        <w:t xml:space="preserve">ocent, </w:t>
      </w:r>
      <w:r w:rsidRPr="00142A38">
        <w:rPr>
          <w:i/>
          <w:iCs/>
          <w:lang w:val="es-ES"/>
        </w:rPr>
        <w:t>Teologia o pastorale?</w:t>
      </w:r>
      <w:r>
        <w:rPr>
          <w:lang w:val="es-ES"/>
        </w:rPr>
        <w:t>, w. A. Nocent, S. Mars</w:t>
      </w:r>
      <w:r w:rsidRPr="00FE0AD0">
        <w:rPr>
          <w:lang w:val="es-ES"/>
        </w:rPr>
        <w:t>ili,</w:t>
      </w:r>
      <w:r w:rsidRPr="00FE0AD0">
        <w:rPr>
          <w:sz w:val="24"/>
          <w:szCs w:val="28"/>
          <w:lang w:val="es-ES"/>
        </w:rPr>
        <w:t xml:space="preserve"> </w:t>
      </w:r>
      <w:r w:rsidRPr="00142A38">
        <w:rPr>
          <w:i/>
          <w:iCs/>
          <w:lang w:val="es-ES"/>
        </w:rPr>
        <w:t>Problemi contemporanei della iniziazione cristiana</w:t>
      </w:r>
      <w:r>
        <w:rPr>
          <w:lang w:val="es-ES"/>
        </w:rPr>
        <w:t>, w:</w:t>
      </w:r>
      <w:r w:rsidRPr="00FE0AD0">
        <w:rPr>
          <w:lang w:val="es-ES"/>
        </w:rPr>
        <w:t xml:space="preserve"> P. Borella </w:t>
      </w:r>
      <w:r>
        <w:rPr>
          <w:lang w:val="es-ES"/>
        </w:rPr>
        <w:t>(red.)</w:t>
      </w:r>
      <w:r w:rsidRPr="00FE0AD0">
        <w:rPr>
          <w:lang w:val="es-ES"/>
        </w:rPr>
        <w:t xml:space="preserve">, </w:t>
      </w:r>
      <w:r w:rsidRPr="00142A38">
        <w:rPr>
          <w:i/>
          <w:iCs/>
          <w:lang w:val="es-ES"/>
        </w:rPr>
        <w:t>La confermazione e l’iniziazione cristiana</w:t>
      </w:r>
      <w:r w:rsidRPr="00FE0AD0">
        <w:rPr>
          <w:lang w:val="es-ES"/>
        </w:rPr>
        <w:t>, Torino – Leumann 1967</w:t>
      </w:r>
      <w:r>
        <w:rPr>
          <w:lang w:val="es-ES"/>
        </w:rPr>
        <w:t xml:space="preserve">, </w:t>
      </w:r>
      <w:r w:rsidR="00C502B2">
        <w:rPr>
          <w:lang w:val="es-ES"/>
        </w:rPr>
        <w:t>s. 90.</w:t>
      </w:r>
    </w:p>
  </w:footnote>
  <w:footnote w:id="12">
    <w:p w14:paraId="3B076231" w14:textId="72001472" w:rsidR="00C502B2" w:rsidRDefault="00C502B2">
      <w:pPr>
        <w:pStyle w:val="FootnoteText"/>
      </w:pPr>
      <w:r>
        <w:rPr>
          <w:rStyle w:val="FootnoteReference"/>
        </w:rPr>
        <w:footnoteRef/>
      </w:r>
      <w:r>
        <w:t xml:space="preserve"> Tomasz z Akwinu, </w:t>
      </w:r>
      <w:r w:rsidRPr="00C502B2">
        <w:rPr>
          <w:i/>
          <w:iCs/>
        </w:rPr>
        <w:t>Suma teologiczna</w:t>
      </w:r>
      <w:r>
        <w:t xml:space="preserve">, III, </w:t>
      </w:r>
      <w:r w:rsidRPr="00C502B2">
        <w:t>q. 63, a. 6</w:t>
      </w:r>
    </w:p>
  </w:footnote>
  <w:footnote w:id="13">
    <w:p w14:paraId="339FE697" w14:textId="7CAC6B6F" w:rsidR="00C502B2" w:rsidRDefault="00C502B2">
      <w:pPr>
        <w:pStyle w:val="FootnoteText"/>
      </w:pPr>
      <w:r>
        <w:rPr>
          <w:rStyle w:val="FootnoteReference"/>
        </w:rPr>
        <w:footnoteRef/>
      </w:r>
      <w:r>
        <w:t xml:space="preserve"> </w:t>
      </w:r>
      <w:r>
        <w:rPr>
          <w:lang w:val="es-ES"/>
        </w:rPr>
        <w:t>A. N</w:t>
      </w:r>
      <w:r w:rsidRPr="00FE0AD0">
        <w:rPr>
          <w:lang w:val="es-ES"/>
        </w:rPr>
        <w:t xml:space="preserve">ocent, </w:t>
      </w:r>
      <w:r w:rsidRPr="00142A38">
        <w:rPr>
          <w:i/>
          <w:iCs/>
          <w:lang w:val="es-ES"/>
        </w:rPr>
        <w:t>Teologia o pastorale?</w:t>
      </w:r>
      <w:r>
        <w:rPr>
          <w:lang w:val="es-ES"/>
        </w:rPr>
        <w:t>, s. 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A2BB3"/>
    <w:multiLevelType w:val="hybridMultilevel"/>
    <w:tmpl w:val="88E2E974"/>
    <w:lvl w:ilvl="0" w:tplc="77C683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7791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39E"/>
    <w:rsid w:val="00012F74"/>
    <w:rsid w:val="00025AE9"/>
    <w:rsid w:val="00057943"/>
    <w:rsid w:val="00060BBD"/>
    <w:rsid w:val="000C7D3D"/>
    <w:rsid w:val="000D1564"/>
    <w:rsid w:val="00115F61"/>
    <w:rsid w:val="001273D3"/>
    <w:rsid w:val="00132B53"/>
    <w:rsid w:val="00142A38"/>
    <w:rsid w:val="00144BE4"/>
    <w:rsid w:val="001C25B2"/>
    <w:rsid w:val="001F7BE6"/>
    <w:rsid w:val="00226A0E"/>
    <w:rsid w:val="0023139A"/>
    <w:rsid w:val="003507A7"/>
    <w:rsid w:val="003A539E"/>
    <w:rsid w:val="003D65FD"/>
    <w:rsid w:val="003E3B7D"/>
    <w:rsid w:val="00440FA0"/>
    <w:rsid w:val="004414A5"/>
    <w:rsid w:val="0049691F"/>
    <w:rsid w:val="004D0246"/>
    <w:rsid w:val="004E11D9"/>
    <w:rsid w:val="00502186"/>
    <w:rsid w:val="005B6005"/>
    <w:rsid w:val="005D2DF3"/>
    <w:rsid w:val="006C5653"/>
    <w:rsid w:val="006C7281"/>
    <w:rsid w:val="006D1707"/>
    <w:rsid w:val="006D5BC2"/>
    <w:rsid w:val="00703DA1"/>
    <w:rsid w:val="007A5F0C"/>
    <w:rsid w:val="008B5278"/>
    <w:rsid w:val="008D1B38"/>
    <w:rsid w:val="00987A18"/>
    <w:rsid w:val="00A00F6F"/>
    <w:rsid w:val="00A12F07"/>
    <w:rsid w:val="00A256C9"/>
    <w:rsid w:val="00A30EDD"/>
    <w:rsid w:val="00A33883"/>
    <w:rsid w:val="00A53FAA"/>
    <w:rsid w:val="00A678F9"/>
    <w:rsid w:val="00AB1730"/>
    <w:rsid w:val="00AB729E"/>
    <w:rsid w:val="00AC736E"/>
    <w:rsid w:val="00B35496"/>
    <w:rsid w:val="00B83BFD"/>
    <w:rsid w:val="00B948A2"/>
    <w:rsid w:val="00BC7B4F"/>
    <w:rsid w:val="00C502B2"/>
    <w:rsid w:val="00C50B24"/>
    <w:rsid w:val="00D64C74"/>
    <w:rsid w:val="00DA5DB6"/>
    <w:rsid w:val="00DD35C8"/>
    <w:rsid w:val="00DE7600"/>
    <w:rsid w:val="00E40B72"/>
    <w:rsid w:val="00ED52C3"/>
    <w:rsid w:val="00F13A78"/>
    <w:rsid w:val="00F53A89"/>
    <w:rsid w:val="00F77BC2"/>
    <w:rsid w:val="00FA6082"/>
    <w:rsid w:val="00FC29D6"/>
    <w:rsid w:val="00FE7961"/>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C43F"/>
  <w15:docId w15:val="{DBF09F03-F53C-334E-922A-032CA9FC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8"/>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A539E"/>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3A53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53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53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53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53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53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3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A539E"/>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3A539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539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3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3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3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3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39E"/>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3A539E"/>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3A539E"/>
    <w:pPr>
      <w:spacing w:before="160"/>
      <w:jc w:val="center"/>
    </w:pPr>
    <w:rPr>
      <w:i/>
      <w:iCs/>
      <w:color w:val="404040" w:themeColor="text1" w:themeTint="BF"/>
    </w:rPr>
  </w:style>
  <w:style w:type="character" w:customStyle="1" w:styleId="QuoteChar">
    <w:name w:val="Quote Char"/>
    <w:basedOn w:val="DefaultParagraphFont"/>
    <w:link w:val="Quote"/>
    <w:uiPriority w:val="29"/>
    <w:rsid w:val="003A539E"/>
    <w:rPr>
      <w:i/>
      <w:iCs/>
      <w:color w:val="404040" w:themeColor="text1" w:themeTint="BF"/>
    </w:rPr>
  </w:style>
  <w:style w:type="paragraph" w:styleId="ListParagraph">
    <w:name w:val="List Paragraph"/>
    <w:basedOn w:val="Normal"/>
    <w:uiPriority w:val="34"/>
    <w:qFormat/>
    <w:rsid w:val="003A539E"/>
    <w:pPr>
      <w:ind w:left="720"/>
      <w:contextualSpacing/>
    </w:pPr>
  </w:style>
  <w:style w:type="character" w:styleId="IntenseEmphasis">
    <w:name w:val="Intense Emphasis"/>
    <w:basedOn w:val="DefaultParagraphFont"/>
    <w:uiPriority w:val="21"/>
    <w:qFormat/>
    <w:rsid w:val="003A539E"/>
    <w:rPr>
      <w:i/>
      <w:iCs/>
      <w:color w:val="2F5496" w:themeColor="accent1" w:themeShade="BF"/>
    </w:rPr>
  </w:style>
  <w:style w:type="paragraph" w:styleId="IntenseQuote">
    <w:name w:val="Intense Quote"/>
    <w:basedOn w:val="Normal"/>
    <w:next w:val="Normal"/>
    <w:link w:val="IntenseQuoteChar"/>
    <w:uiPriority w:val="30"/>
    <w:qFormat/>
    <w:rsid w:val="003A5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39E"/>
    <w:rPr>
      <w:i/>
      <w:iCs/>
      <w:color w:val="2F5496" w:themeColor="accent1" w:themeShade="BF"/>
    </w:rPr>
  </w:style>
  <w:style w:type="character" w:styleId="IntenseReference">
    <w:name w:val="Intense Reference"/>
    <w:basedOn w:val="DefaultParagraphFont"/>
    <w:uiPriority w:val="32"/>
    <w:qFormat/>
    <w:rsid w:val="003A539E"/>
    <w:rPr>
      <w:b/>
      <w:bCs/>
      <w:smallCaps/>
      <w:color w:val="2F5496" w:themeColor="accent1" w:themeShade="BF"/>
      <w:spacing w:val="5"/>
    </w:rPr>
  </w:style>
  <w:style w:type="paragraph" w:styleId="NoSpacing">
    <w:name w:val="No Spacing"/>
    <w:uiPriority w:val="1"/>
    <w:qFormat/>
    <w:rsid w:val="003A539E"/>
    <w:pPr>
      <w:spacing w:after="0" w:line="240" w:lineRule="auto"/>
    </w:pPr>
  </w:style>
  <w:style w:type="paragraph" w:styleId="FootnoteText">
    <w:name w:val="footnote text"/>
    <w:basedOn w:val="Normal"/>
    <w:link w:val="FootnoteTextChar"/>
    <w:uiPriority w:val="99"/>
    <w:unhideWhenUsed/>
    <w:rsid w:val="004E11D9"/>
    <w:pPr>
      <w:spacing w:after="0" w:line="240" w:lineRule="auto"/>
    </w:pPr>
    <w:rPr>
      <w:sz w:val="20"/>
      <w:szCs w:val="20"/>
    </w:rPr>
  </w:style>
  <w:style w:type="character" w:customStyle="1" w:styleId="FootnoteTextChar">
    <w:name w:val="Footnote Text Char"/>
    <w:basedOn w:val="DefaultParagraphFont"/>
    <w:link w:val="FootnoteText"/>
    <w:uiPriority w:val="99"/>
    <w:rsid w:val="004E11D9"/>
    <w:rPr>
      <w:sz w:val="20"/>
      <w:szCs w:val="20"/>
    </w:rPr>
  </w:style>
  <w:style w:type="character" w:styleId="FootnoteReference">
    <w:name w:val="footnote reference"/>
    <w:basedOn w:val="DefaultParagraphFont"/>
    <w:uiPriority w:val="99"/>
    <w:semiHidden/>
    <w:unhideWhenUsed/>
    <w:rsid w:val="004E11D9"/>
    <w:rPr>
      <w:vertAlign w:val="superscript"/>
    </w:rPr>
  </w:style>
  <w:style w:type="character" w:styleId="Hyperlink">
    <w:name w:val="Hyperlink"/>
    <w:basedOn w:val="DefaultParagraphFont"/>
    <w:uiPriority w:val="99"/>
    <w:unhideWhenUsed/>
    <w:rsid w:val="00132B53"/>
    <w:rPr>
      <w:color w:val="0563C1" w:themeColor="hyperlink"/>
      <w:u w:val="single"/>
    </w:rPr>
  </w:style>
  <w:style w:type="character" w:customStyle="1" w:styleId="UnresolvedMention1">
    <w:name w:val="Unresolved Mention1"/>
    <w:basedOn w:val="DefaultParagraphFont"/>
    <w:uiPriority w:val="99"/>
    <w:semiHidden/>
    <w:unhideWhenUsed/>
    <w:rsid w:val="00132B53"/>
    <w:rPr>
      <w:color w:val="605E5C"/>
      <w:shd w:val="clear" w:color="auto" w:fill="E1DFDD"/>
    </w:rPr>
  </w:style>
  <w:style w:type="paragraph" w:customStyle="1" w:styleId="Standard">
    <w:name w:val="Standard"/>
    <w:rsid w:val="00057943"/>
    <w:pPr>
      <w:widowControl w:val="0"/>
      <w:suppressAutoHyphens/>
      <w:autoSpaceDN w:val="0"/>
      <w:spacing w:after="0" w:line="240" w:lineRule="auto"/>
      <w:textAlignment w:val="baseline"/>
    </w:pPr>
    <w:rPr>
      <w:rFonts w:eastAsia="SimSun" w:cs="Arial"/>
      <w:kern w:val="3"/>
      <w:szCs w:val="24"/>
      <w:lang w:eastAsia="zh-CN" w:bidi="hi-IN"/>
      <w14:ligatures w14:val="none"/>
    </w:rPr>
  </w:style>
  <w:style w:type="paragraph" w:styleId="BalloonText">
    <w:name w:val="Balloon Text"/>
    <w:basedOn w:val="Normal"/>
    <w:link w:val="BalloonTextChar"/>
    <w:uiPriority w:val="99"/>
    <w:semiHidden/>
    <w:unhideWhenUsed/>
    <w:rsid w:val="00A30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EDD"/>
    <w:rPr>
      <w:rFonts w:ascii="Tahoma" w:hAnsi="Tahoma" w:cs="Tahoma"/>
      <w:sz w:val="16"/>
      <w:szCs w:val="16"/>
    </w:rPr>
  </w:style>
  <w:style w:type="paragraph" w:styleId="NormalWeb">
    <w:name w:val="Normal (Web)"/>
    <w:basedOn w:val="Normal"/>
    <w:uiPriority w:val="99"/>
    <w:semiHidden/>
    <w:unhideWhenUsed/>
    <w:rsid w:val="006D1707"/>
    <w:pPr>
      <w:spacing w:before="100" w:beforeAutospacing="1" w:after="100" w:afterAutospacing="1" w:line="240" w:lineRule="auto"/>
    </w:pPr>
    <w:rPr>
      <w:rFonts w:eastAsia="Times New Roman"/>
      <w:kern w:val="0"/>
      <w:szCs w:val="24"/>
      <w:lang w:eastAsia="pl-PL"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otti@poczta.o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FB97C-ED93-4543-83DD-0D55673F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4325</Words>
  <Characters>24657</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Lipniak</dc:creator>
  <cp:lastModifiedBy>Bożena Futoma-Kołoch</cp:lastModifiedBy>
  <cp:revision>4</cp:revision>
  <cp:lastPrinted>2026-03-12T07:26:00Z</cp:lastPrinted>
  <dcterms:created xsi:type="dcterms:W3CDTF">2026-03-12T19:11:00Z</dcterms:created>
  <dcterms:modified xsi:type="dcterms:W3CDTF">2026-07-07T09:11:00Z</dcterms:modified>
</cp:coreProperties>
</file>