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0B55" w14:textId="77777777" w:rsidR="00FD1169" w:rsidRPr="00391E9F" w:rsidRDefault="00391E9F" w:rsidP="00C45F5E">
      <w:pPr>
        <w:pStyle w:val="Standard"/>
        <w:jc w:val="both"/>
        <w:rPr>
          <w:u w:val="single"/>
          <w:lang w:val="en-US"/>
        </w:rPr>
      </w:pPr>
      <w:r w:rsidRPr="00391E9F">
        <w:rPr>
          <w:u w:val="single"/>
          <w:lang w:val="en-US"/>
        </w:rPr>
        <w:t>EWA CHYBIN</w:t>
      </w:r>
    </w:p>
    <w:p w14:paraId="36A8B351" w14:textId="77777777" w:rsidR="00CF5C67" w:rsidRDefault="00CF5C67" w:rsidP="00CF5C67">
      <w:pPr>
        <w:pStyle w:val="Standard"/>
        <w:jc w:val="both"/>
        <w:rPr>
          <w:lang w:val="en-US"/>
        </w:rPr>
      </w:pPr>
      <w:r w:rsidRPr="00F16F3F">
        <w:rPr>
          <w:lang w:val="en-US"/>
        </w:rPr>
        <w:t>Pontifical Faculty of Theology in Wroclaw, Poland</w:t>
      </w:r>
    </w:p>
    <w:p w14:paraId="00F3F296" w14:textId="77777777" w:rsidR="00FD1169" w:rsidRPr="00CF5C67" w:rsidRDefault="00CF5C67" w:rsidP="00CF5C67">
      <w:pPr>
        <w:pStyle w:val="Standard"/>
        <w:jc w:val="both"/>
        <w:rPr>
          <w:lang w:val="de-AT"/>
        </w:rPr>
      </w:pPr>
      <w:r w:rsidRPr="00CF5C67">
        <w:rPr>
          <w:lang w:val="de-AT"/>
        </w:rPr>
        <w:t xml:space="preserve">e-mail: </w:t>
      </w:r>
      <w:r w:rsidR="00E62548" w:rsidRPr="00CF5C67">
        <w:rPr>
          <w:lang w:val="de-AT"/>
        </w:rPr>
        <w:t>e-chybin@wp.pl</w:t>
      </w:r>
    </w:p>
    <w:p w14:paraId="29AE14E6" w14:textId="77777777" w:rsidR="00FD1169" w:rsidRDefault="00CF5C67" w:rsidP="00CF5C67">
      <w:pPr>
        <w:pStyle w:val="Standard"/>
        <w:jc w:val="both"/>
      </w:pPr>
      <w:r>
        <w:t xml:space="preserve">ORCID: </w:t>
      </w:r>
      <w:hyperlink r:id="rId6" w:history="1">
        <w:r w:rsidR="00E62548">
          <w:t>0000-0002-0176-5430</w:t>
        </w:r>
      </w:hyperlink>
    </w:p>
    <w:p w14:paraId="16647C12" w14:textId="6EFD0EEB" w:rsidR="00FD1169" w:rsidRDefault="009D697C" w:rsidP="00C45F5E">
      <w:pPr>
        <w:pStyle w:val="Standard"/>
        <w:jc w:val="both"/>
      </w:pPr>
      <w:r>
        <w:t xml:space="preserve">DOI: </w:t>
      </w:r>
      <w:r w:rsidR="00CD0063" w:rsidRPr="00CD0063">
        <w:t>10.48224/COM-231-2025-96</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CF5C67" w:rsidRPr="003D0426" w14:paraId="0535D748" w14:textId="77777777" w:rsidTr="00843A09">
        <w:trPr>
          <w:trHeight w:val="724"/>
          <w:jc w:val="right"/>
        </w:trPr>
        <w:tc>
          <w:tcPr>
            <w:tcW w:w="3685" w:type="dxa"/>
            <w:hideMark/>
          </w:tcPr>
          <w:p w14:paraId="27F88C94" w14:textId="77777777" w:rsidR="00CF5C67" w:rsidRPr="003D0426" w:rsidRDefault="00CF5C67" w:rsidP="00843A09">
            <w:pPr>
              <w:jc w:val="center"/>
              <w:rPr>
                <w:rFonts w:cs="Times New Roman"/>
                <w:sz w:val="20"/>
                <w:szCs w:val="20"/>
              </w:rPr>
            </w:pPr>
            <w:r w:rsidRPr="0096014D">
              <w:rPr>
                <w:rFonts w:cs="Times New Roman"/>
                <w:sz w:val="20"/>
                <w:szCs w:val="20"/>
                <w:lang w:val="en-US"/>
              </w:rPr>
              <w:br/>
            </w:r>
            <w:r>
              <w:rPr>
                <w:sz w:val="20"/>
                <w:szCs w:val="20"/>
              </w:rPr>
              <w:t>Communio 45(2025</w:t>
            </w:r>
            <w:r w:rsidRPr="003D0426">
              <w:rPr>
                <w:rFonts w:cs="Times New Roman"/>
                <w:sz w:val="20"/>
                <w:szCs w:val="20"/>
              </w:rPr>
              <w:t>)</w:t>
            </w:r>
            <w:r w:rsidR="00374F39">
              <w:rPr>
                <w:sz w:val="20"/>
                <w:szCs w:val="20"/>
              </w:rPr>
              <w:t>3</w:t>
            </w:r>
            <w:r w:rsidRPr="003D0426">
              <w:rPr>
                <w:rFonts w:cs="Times New Roman"/>
                <w:sz w:val="20"/>
                <w:szCs w:val="20"/>
              </w:rPr>
              <w:t>, s. 2-2</w:t>
            </w:r>
          </w:p>
        </w:tc>
      </w:tr>
    </w:tbl>
    <w:p w14:paraId="7D90A840" w14:textId="77777777" w:rsidR="00CF5C67" w:rsidRDefault="00CF5C67" w:rsidP="00CF5C67">
      <w:pPr>
        <w:jc w:val="center"/>
        <w:rPr>
          <w:b/>
        </w:rPr>
      </w:pPr>
    </w:p>
    <w:p w14:paraId="3193A58F" w14:textId="77777777" w:rsidR="00CF5C67" w:rsidRDefault="00CF5C67" w:rsidP="00C45F5E">
      <w:pPr>
        <w:pStyle w:val="Standard"/>
        <w:jc w:val="both"/>
      </w:pPr>
    </w:p>
    <w:p w14:paraId="08433C63" w14:textId="77777777" w:rsidR="00FD1169" w:rsidRPr="009D697C" w:rsidRDefault="00E62548" w:rsidP="00DE3C1D">
      <w:pPr>
        <w:pStyle w:val="Standard"/>
        <w:jc w:val="center"/>
        <w:rPr>
          <w:b/>
          <w:bCs/>
          <w:sz w:val="28"/>
          <w:szCs w:val="28"/>
          <w:lang w:val="en-US"/>
        </w:rPr>
      </w:pPr>
      <w:r w:rsidRPr="00DE3C1D">
        <w:rPr>
          <w:b/>
          <w:bCs/>
          <w:sz w:val="28"/>
          <w:szCs w:val="28"/>
        </w:rPr>
        <w:t xml:space="preserve">Czas, wieczność i wiekuistość w ujęciu św. </w:t>
      </w:r>
      <w:r w:rsidRPr="009D697C">
        <w:rPr>
          <w:b/>
          <w:bCs/>
          <w:sz w:val="28"/>
          <w:szCs w:val="28"/>
          <w:lang w:val="en-US"/>
        </w:rPr>
        <w:t>Tomasza z Akwinu</w:t>
      </w:r>
    </w:p>
    <w:p w14:paraId="167068DA" w14:textId="77777777" w:rsidR="00DE3C1D" w:rsidRPr="009D697C" w:rsidRDefault="00DE3C1D" w:rsidP="00DE3C1D">
      <w:pPr>
        <w:pStyle w:val="Standard"/>
        <w:jc w:val="center"/>
        <w:rPr>
          <w:b/>
          <w:bCs/>
          <w:lang w:val="en-US"/>
        </w:rPr>
      </w:pPr>
    </w:p>
    <w:p w14:paraId="71732039" w14:textId="77777777" w:rsidR="00DE3C1D" w:rsidRPr="00DE3C1D" w:rsidRDefault="00DE3C1D" w:rsidP="00DE3C1D">
      <w:pPr>
        <w:pStyle w:val="Standard"/>
        <w:jc w:val="center"/>
        <w:rPr>
          <w:b/>
          <w:bCs/>
          <w:sz w:val="28"/>
          <w:szCs w:val="28"/>
          <w:lang w:val="en-US"/>
        </w:rPr>
      </w:pPr>
      <w:r w:rsidRPr="00DE3C1D">
        <w:rPr>
          <w:b/>
          <w:bCs/>
          <w:sz w:val="28"/>
          <w:szCs w:val="28"/>
          <w:lang w:val="en-US"/>
        </w:rPr>
        <w:t>Time, eternity, and everlastingness in the pe</w:t>
      </w:r>
      <w:r w:rsidR="00391E9F">
        <w:rPr>
          <w:b/>
          <w:bCs/>
          <w:sz w:val="28"/>
          <w:szCs w:val="28"/>
          <w:lang w:val="en-US"/>
        </w:rPr>
        <w:t>rspective of St. Thomas Aquinas</w:t>
      </w:r>
    </w:p>
    <w:p w14:paraId="68A83147" w14:textId="77777777" w:rsidR="00FD1169" w:rsidRPr="00DE3C1D" w:rsidRDefault="00FD1169" w:rsidP="00C45F5E">
      <w:pPr>
        <w:pStyle w:val="Standard"/>
        <w:jc w:val="center"/>
        <w:rPr>
          <w:lang w:val="en-US"/>
        </w:rPr>
      </w:pPr>
    </w:p>
    <w:p w14:paraId="17775354" w14:textId="77777777" w:rsidR="00CF5C67" w:rsidRPr="00DE3C1D" w:rsidRDefault="00CF5C67" w:rsidP="00C45F5E">
      <w:pPr>
        <w:pStyle w:val="Standard"/>
        <w:jc w:val="center"/>
        <w:rPr>
          <w:lang w:val="en-US"/>
        </w:rPr>
      </w:pPr>
    </w:p>
    <w:p w14:paraId="57C46B85" w14:textId="77777777" w:rsidR="00CF5C67" w:rsidRPr="00CF5C67" w:rsidRDefault="00CF5C67" w:rsidP="00CF5C67">
      <w:pPr>
        <w:pStyle w:val="Standard"/>
        <w:spacing w:after="120"/>
        <w:ind w:left="10"/>
        <w:jc w:val="center"/>
        <w:rPr>
          <w:b/>
          <w:bCs/>
          <w:lang w:val="en-US"/>
        </w:rPr>
      </w:pPr>
      <w:r w:rsidRPr="00CF5C67">
        <w:rPr>
          <w:b/>
          <w:bCs/>
          <w:lang w:val="en-US"/>
        </w:rPr>
        <w:t>Abstract</w:t>
      </w:r>
    </w:p>
    <w:p w14:paraId="255DBB63" w14:textId="77777777" w:rsidR="00CF5C67" w:rsidRDefault="00CF5C67" w:rsidP="00CF5C67">
      <w:pPr>
        <w:pStyle w:val="Standard"/>
        <w:spacing w:after="120"/>
        <w:ind w:left="10"/>
        <w:jc w:val="both"/>
        <w:rPr>
          <w:lang w:val="en-US"/>
        </w:rPr>
      </w:pPr>
      <w:r w:rsidRPr="00C45F5E">
        <w:rPr>
          <w:lang w:val="en-US"/>
        </w:rPr>
        <w:t>The article analyses st. Thomas Aquinas' view of the relationship between time, eternity and everlastingness, referring to the Summa theologica (I, q. 10). It presents the understanding of eternity as unchanging duration, different from Boethius' proposal, and the argument that God not only possesses eternity, but is its very essence. The differences between time dependent on movement, eternity lasting ‘at once’ and eternity proper to spiritual beings are also discussed. The whole shows the coherence of Thomas' metaphysics, which remains relevant to contemporary discussions on the nature of temporality and the structure of creation.</w:t>
      </w:r>
      <w:r w:rsidR="00DE3C1D">
        <w:rPr>
          <w:lang w:val="en-US"/>
        </w:rPr>
        <w:t xml:space="preserve"> </w:t>
      </w:r>
    </w:p>
    <w:p w14:paraId="17EA984A" w14:textId="77777777" w:rsidR="00CF5C67" w:rsidRPr="00C45F5E" w:rsidRDefault="00CF5C67" w:rsidP="00CF5C67">
      <w:pPr>
        <w:pStyle w:val="Standard"/>
        <w:spacing w:after="120"/>
        <w:ind w:left="10"/>
        <w:jc w:val="both"/>
        <w:rPr>
          <w:lang w:val="en-US"/>
        </w:rPr>
      </w:pPr>
      <w:r>
        <w:rPr>
          <w:lang w:val="en-US"/>
        </w:rPr>
        <w:br/>
      </w:r>
      <w:r w:rsidRPr="00CF5C67">
        <w:rPr>
          <w:b/>
          <w:bCs/>
          <w:lang w:val="en-US"/>
        </w:rPr>
        <w:t>Keywords:</w:t>
      </w:r>
      <w:r>
        <w:rPr>
          <w:lang w:val="en-US"/>
        </w:rPr>
        <w:t xml:space="preserve"> Thomas Aquinas – time – eternity – everlastingness -</w:t>
      </w:r>
      <w:r w:rsidRPr="00C45F5E">
        <w:rPr>
          <w:lang w:val="en-US"/>
        </w:rPr>
        <w:t xml:space="preserve"> Summa theologica</w:t>
      </w:r>
    </w:p>
    <w:p w14:paraId="1DE101C3" w14:textId="77777777" w:rsidR="00CF5C67" w:rsidRPr="00CF5C67" w:rsidRDefault="00CF5C67" w:rsidP="00CF5C67">
      <w:pPr>
        <w:pStyle w:val="Standard"/>
        <w:spacing w:after="120"/>
        <w:ind w:left="10"/>
        <w:jc w:val="center"/>
        <w:rPr>
          <w:b/>
          <w:bCs/>
        </w:rPr>
      </w:pPr>
      <w:r w:rsidRPr="00CF5C67">
        <w:rPr>
          <w:b/>
          <w:bCs/>
        </w:rPr>
        <w:t>Streszczenie</w:t>
      </w:r>
    </w:p>
    <w:p w14:paraId="5C0D5620" w14:textId="77777777" w:rsidR="00CF5C67" w:rsidRDefault="00CF5C67" w:rsidP="00CF5C67">
      <w:pPr>
        <w:pStyle w:val="Standard"/>
        <w:spacing w:after="120"/>
        <w:ind w:left="10"/>
        <w:jc w:val="both"/>
      </w:pPr>
      <w:r>
        <w:t xml:space="preserve">Artykuł analizuje tomaszowe ujęcie relacji między czasem, wiecznością i wiekuistością, odwołując się do </w:t>
      </w:r>
      <w:r>
        <w:rPr>
          <w:rStyle w:val="Emphasis"/>
        </w:rPr>
        <w:t>Su</w:t>
      </w:r>
      <w:r w:rsidR="00F77EA0">
        <w:rPr>
          <w:rStyle w:val="Emphasis"/>
        </w:rPr>
        <w:t>m</w:t>
      </w:r>
      <w:r>
        <w:rPr>
          <w:rStyle w:val="Emphasis"/>
        </w:rPr>
        <w:t>y teologicznej</w:t>
      </w:r>
      <w:r>
        <w:t xml:space="preserve"> (I, q. 10). Przedstawiono rozumienie wieczności jako niezmiennego trwania, różniące się od propozycji Boecjusza, oraz argumentację, według której Bóg nie tylko posiada wieczność, lecz jest jej samą istotą. Omówiono także różnice między czasem zależnym od ruchu, wiecznością trwającą „naraz” oraz wiekuistością właściwą bytom duchowym. Całość ukazuje spójność tomaszowej metafizyki, która</w:t>
      </w:r>
      <w:r w:rsidR="00DE3C1D">
        <w:t xml:space="preserve"> </w:t>
      </w:r>
      <w:r>
        <w:t>pozostaje aktualna dla współczesnych dyskusji nad naturą temporalności i strukturą stworzenia.</w:t>
      </w:r>
    </w:p>
    <w:p w14:paraId="06AE03FD" w14:textId="77777777" w:rsidR="00CF5C67" w:rsidRDefault="00CF5C67" w:rsidP="00CF5C67">
      <w:pPr>
        <w:pStyle w:val="Standard"/>
        <w:spacing w:after="120"/>
        <w:ind w:left="10"/>
        <w:jc w:val="both"/>
      </w:pPr>
      <w:r>
        <w:t>Słowa kluczowe: Tomasz z Akwinu – czas- wieczność – wiekuistość - Suma teologiczna</w:t>
      </w:r>
    </w:p>
    <w:p w14:paraId="5CDBA5C6" w14:textId="77777777" w:rsidR="00CF5C67" w:rsidRDefault="00CF5C67" w:rsidP="00CF5C67">
      <w:pPr>
        <w:pStyle w:val="Standard"/>
        <w:spacing w:after="120"/>
        <w:ind w:left="10"/>
        <w:jc w:val="both"/>
      </w:pPr>
    </w:p>
    <w:p w14:paraId="717384DA" w14:textId="77777777" w:rsidR="00FD1169" w:rsidRPr="0063514D" w:rsidRDefault="00E62548" w:rsidP="0063514D">
      <w:pPr>
        <w:pStyle w:val="Standard"/>
        <w:ind w:firstLine="709"/>
        <w:rPr>
          <w:b/>
          <w:bCs/>
        </w:rPr>
      </w:pPr>
      <w:r w:rsidRPr="0063514D">
        <w:rPr>
          <w:b/>
          <w:bCs/>
        </w:rPr>
        <w:t>Wprowadzenie</w:t>
      </w:r>
    </w:p>
    <w:p w14:paraId="77BC9CEC" w14:textId="77777777" w:rsidR="00FD1169" w:rsidRDefault="00E62548" w:rsidP="00C45F5E">
      <w:pPr>
        <w:pStyle w:val="Standard"/>
        <w:jc w:val="both"/>
      </w:pPr>
      <w:r>
        <w:rPr>
          <w:b/>
          <w:bCs/>
        </w:rPr>
        <w:tab/>
      </w:r>
      <w:r>
        <w:t xml:space="preserve">Problem relacji między czasem a wiecznością należy do najstarszych i najbardziej fundamentalnych zagadnień metafizyki oraz samej teologii chrześcijańskiej. Już w filozofii starożytnej pytanie o naturę czasu — jego początek, kierunek i związek z ruchem — stanowiło jedno z centralnych zagadnień refleksji nad światem. Platon określał czas jako ruchomy obraz wieczności, Arystoteles zaś definiował go jako liczbę ruchu według następstwa. Chrześcijaństwo, podejmując to dziedzictwo, nadało mu wymiar teologiczny, pytając nie tylko </w:t>
      </w:r>
      <w:r>
        <w:rPr>
          <w:rStyle w:val="Emphasis"/>
          <w:i w:val="0"/>
          <w:iCs w:val="0"/>
        </w:rPr>
        <w:t>czym jest czas</w:t>
      </w:r>
      <w:r>
        <w:t xml:space="preserve">, lecz także </w:t>
      </w:r>
      <w:r>
        <w:rPr>
          <w:rStyle w:val="Emphasis"/>
          <w:i w:val="0"/>
          <w:iCs w:val="0"/>
        </w:rPr>
        <w:t>w jaki sposób odnosi się on do Boga, który jest wieczny, odwieczny i niezmienny jako Pan czasu i wieczności.</w:t>
      </w:r>
    </w:p>
    <w:p w14:paraId="19DD0226" w14:textId="77777777" w:rsidR="00FD1169" w:rsidRDefault="00E62548" w:rsidP="00C45F5E">
      <w:pPr>
        <w:pStyle w:val="Textbody"/>
        <w:jc w:val="both"/>
      </w:pPr>
      <w:r>
        <w:lastRenderedPageBreak/>
        <w:tab/>
        <w:t>W tradycji zachodniej najpełniejszą syntezę tych wątków przedstawił św. Tomasz z</w:t>
      </w:r>
      <w:r w:rsidR="00F50C32">
        <w:t> </w:t>
      </w:r>
      <w:r>
        <w:t xml:space="preserve">Akwinu. Dla teologa XIII w. refleksja nad czasem i wiecznością nie ma charakteru czysto spekulatywnego, lecz wpisuje się w szerszy kontekst jego metafizyki bytu i teologii stworzenia. Tomasz, rozwijając myśl filozoficzną Arystotelesa i Boecjusza, wprowadza charakterystyczne dla swojej teologii rozróżnienie trzech porządków trwania: </w:t>
      </w:r>
      <w:r>
        <w:rPr>
          <w:rStyle w:val="StrongEmphasis"/>
          <w:b w:val="0"/>
          <w:bCs w:val="0"/>
        </w:rPr>
        <w:t>czasu (</w:t>
      </w:r>
      <w:r>
        <w:rPr>
          <w:rStyle w:val="StrongEmphasis"/>
          <w:b w:val="0"/>
          <w:bCs w:val="0"/>
          <w:i/>
          <w:iCs/>
        </w:rPr>
        <w:t>tempus</w:t>
      </w:r>
      <w:r>
        <w:rPr>
          <w:rStyle w:val="StrongEmphasis"/>
          <w:b w:val="0"/>
          <w:bCs w:val="0"/>
        </w:rPr>
        <w:t>)</w:t>
      </w:r>
      <w:r>
        <w:t xml:space="preserve">, właściwego bytom materialnym; </w:t>
      </w:r>
      <w:r>
        <w:rPr>
          <w:rStyle w:val="StrongEmphasis"/>
          <w:b w:val="0"/>
          <w:bCs w:val="0"/>
        </w:rPr>
        <w:t>wieczności (</w:t>
      </w:r>
      <w:r>
        <w:rPr>
          <w:rStyle w:val="StrongEmphasis"/>
          <w:b w:val="0"/>
          <w:bCs w:val="0"/>
          <w:i/>
          <w:iCs/>
        </w:rPr>
        <w:t>aeternitas</w:t>
      </w:r>
      <w:r>
        <w:rPr>
          <w:rStyle w:val="StrongEmphasis"/>
          <w:b w:val="0"/>
          <w:bCs w:val="0"/>
        </w:rPr>
        <w:t>)</w:t>
      </w:r>
      <w:r>
        <w:t xml:space="preserve">, właściwej samemu Bogu; oraz </w:t>
      </w:r>
      <w:r>
        <w:rPr>
          <w:rStyle w:val="StrongEmphasis"/>
          <w:b w:val="0"/>
          <w:bCs w:val="0"/>
          <w:i/>
          <w:iCs/>
        </w:rPr>
        <w:t>aevum</w:t>
      </w:r>
      <w:r>
        <w:t>, które jest „czasem duchów”, czyli pośrednim właściwym aniołom i</w:t>
      </w:r>
      <w:r w:rsidR="00F50C32">
        <w:t> </w:t>
      </w:r>
      <w:r>
        <w:t>duszom zbawionych.</w:t>
      </w:r>
    </w:p>
    <w:p w14:paraId="4EA81B62" w14:textId="77777777" w:rsidR="00FD1169" w:rsidRDefault="00E62548" w:rsidP="00C45F5E">
      <w:pPr>
        <w:pStyle w:val="Textbody"/>
        <w:jc w:val="both"/>
      </w:pPr>
      <w:r>
        <w:tab/>
        <w:t>Celem niniejszego artykułu jest ukazanie, w jaki sposób św. Tomasz rozumie istotę czasu</w:t>
      </w:r>
      <w:r w:rsidR="00F50C32">
        <w:t>,</w:t>
      </w:r>
      <w:r>
        <w:t xml:space="preserve"> wieczności </w:t>
      </w:r>
      <w:r w:rsidR="00F50C32">
        <w:t>i wiekuistości oraz</w:t>
      </w:r>
      <w:r>
        <w:t xml:space="preserve"> jak opisuje ich wzajemną relację w porządku s</w:t>
      </w:r>
      <w:r w:rsidR="00F50C32">
        <w:t xml:space="preserve">tworzenia i wobec samego Boga. </w:t>
      </w:r>
    </w:p>
    <w:p w14:paraId="222F658E" w14:textId="77777777" w:rsidR="00FD1169" w:rsidRDefault="00E62548" w:rsidP="00C45F5E">
      <w:pPr>
        <w:pStyle w:val="Textbody"/>
        <w:jc w:val="both"/>
      </w:pPr>
      <w:r>
        <w:tab/>
        <w:t xml:space="preserve">Dla zachowania logicznego ciągu wywód zostanie podzielony na kilka części odpowiadających poszczególnym pytaniom zadanym w zagadnieniu 10 </w:t>
      </w:r>
      <w:r>
        <w:rPr>
          <w:i/>
          <w:iCs/>
        </w:rPr>
        <w:t xml:space="preserve">Sumy teologicznej </w:t>
      </w:r>
      <w:r>
        <w:t xml:space="preserve">z tomu pt. </w:t>
      </w:r>
      <w:r>
        <w:rPr>
          <w:i/>
          <w:iCs/>
        </w:rPr>
        <w:t xml:space="preserve">O Bogu. </w:t>
      </w:r>
      <w:r>
        <w:t xml:space="preserve">A zatem na początku zastanowimy się, czym jest wieczność i czy faktycznie oznacza ona, jak pisał Boecjusz, doskonałe i całe naraz posiadanie bezkresnego życia. Następnie zajmiemy się próbą odpowiedzi na pytania, czy Bóg jest wieczny i czy wieczność jest wobec tego przymiotem właściwym wyłącznie Jemu. Artykuły czwarty i piąty </w:t>
      </w:r>
      <w:r w:rsidR="00F50C32">
        <w:t>s</w:t>
      </w:r>
      <w:r>
        <w:t>koncentrują się na różnicach między wiecznością a czasem oraz wiekuistością, a</w:t>
      </w:r>
      <w:r w:rsidR="00F50C32">
        <w:t> </w:t>
      </w:r>
      <w:r>
        <w:t>więc przeanalizujemy ich isto</w:t>
      </w:r>
      <w:r w:rsidR="00F50C32">
        <w:t>tę i wzajemne relacje. Wreszcie, analogicznie do artykułu szóstego</w:t>
      </w:r>
      <w:r>
        <w:t xml:space="preserve"> w tej części </w:t>
      </w:r>
      <w:r w:rsidR="00F50C32">
        <w:t xml:space="preserve">dzieła Tomasza, zastanowimy się, </w:t>
      </w:r>
      <w:r>
        <w:t>czy istnieje tylko jedna wiekuistość, co pozwoli nam na końcową refleksję nad uniwersalnością i absolutnym charakterem bytu wiecznego. Tak skonstruowana analiza będzie szczegółowym przedstawieniem myśli św. Tomasza z Akwinu w kwestii konotacji między czasem a</w:t>
      </w:r>
      <w:r w:rsidR="00F50C32">
        <w:t> </w:t>
      </w:r>
      <w:r>
        <w:t xml:space="preserve">wiecznością </w:t>
      </w:r>
      <w:r w:rsidR="00F50C32">
        <w:t xml:space="preserve">i wiekuistością. </w:t>
      </w:r>
    </w:p>
    <w:p w14:paraId="0F57C218" w14:textId="77777777" w:rsidR="00FD1169" w:rsidRPr="0063514D" w:rsidRDefault="00E62548" w:rsidP="0063514D">
      <w:pPr>
        <w:pStyle w:val="Textbody"/>
        <w:ind w:firstLine="709"/>
        <w:rPr>
          <w:b/>
          <w:bCs/>
        </w:rPr>
      </w:pPr>
      <w:r w:rsidRPr="0063514D">
        <w:rPr>
          <w:b/>
          <w:bCs/>
        </w:rPr>
        <w:t>1. Czym jest wieczność?</w:t>
      </w:r>
    </w:p>
    <w:p w14:paraId="34BDCD77" w14:textId="77777777" w:rsidR="00FD1169" w:rsidRDefault="00E62548" w:rsidP="00C45F5E">
      <w:pPr>
        <w:pStyle w:val="Textbody"/>
        <w:jc w:val="both"/>
      </w:pPr>
      <w:r>
        <w:tab/>
        <w:t>Moglibyśmy w tym miejscu ująć sprawę najprościej i stwierdzić, iż wieczność to wciąż i nieustająco aktualna teraźniejszość, w której nie mamy rozgraniczenia na przeszłość czy przyszłość przy jednoczesnym uznaniu pełnej realności ich istnienia. Byłaby to jednak definicja niepełna. I choć trudno o doskonałe ujęcie tak nieuchwytnego tematu, podejmijmy próbę odnalezienia trafniejszych odpowiedzi. Już św. Augustyn na przełomie IV/V w. uznał jasno, iż wieczność jako realne i nieuwarunkowane istnienie c</w:t>
      </w:r>
      <w:r w:rsidR="00834F9F">
        <w:t>harakteryzuje się niezmiennością</w:t>
      </w:r>
      <w:r>
        <w:rPr>
          <w:rStyle w:val="FootnoteReference"/>
        </w:rPr>
        <w:footnoteReference w:id="1"/>
      </w:r>
      <w:r>
        <w:t xml:space="preserve">. Definicję te rozszerzali inni myśliciele, spośród których </w:t>
      </w:r>
      <w:r w:rsidR="00F50C32">
        <w:t xml:space="preserve">z pewnością </w:t>
      </w:r>
      <w:r>
        <w:t>wyróżniał się żyjący w V/VI w. rzymski filozof, Boecjusz. Uważał on, że refleksja nad wiecznością pomoże nam w jakiejś, nawet niewielkiej części, pojąć naturę i mądrość Bożą. Swój tok myślenia sformułował w następujący sposób: „Wieczność jest to więc jednocześnie całkowite i zarazem doskonałe posiadanie nieskończonego życia, co z porównania z rzeczami czasowymi jaśniej się uwypukli”</w:t>
      </w:r>
      <w:r>
        <w:rPr>
          <w:rStyle w:val="FootnoteReference"/>
        </w:rPr>
        <w:footnoteReference w:id="2"/>
      </w:r>
      <w:r>
        <w:t xml:space="preserve">. A zatem według Boecjusza wieczność można sprowadzić do pełni życia bez końca. Natomiast św. Tomasz z Akwinu w swojej </w:t>
      </w:r>
      <w:r>
        <w:rPr>
          <w:i/>
          <w:iCs/>
        </w:rPr>
        <w:t xml:space="preserve">Sumie, </w:t>
      </w:r>
      <w:r>
        <w:t>choć nie staje do tego w całkowitej opozycji, to jednak wysnuwa tezę, iż takie określenie nie jest należyte i nie wyczerpuje tego tematu.</w:t>
      </w:r>
    </w:p>
    <w:p w14:paraId="7080114A" w14:textId="77777777" w:rsidR="00FD1169" w:rsidRDefault="00E62548" w:rsidP="00C45F5E">
      <w:pPr>
        <w:pStyle w:val="Textbody"/>
        <w:jc w:val="both"/>
      </w:pPr>
      <w:r>
        <w:tab/>
      </w:r>
      <w:r>
        <w:rPr>
          <w:i/>
          <w:iCs/>
        </w:rPr>
        <w:t xml:space="preserve">Doctor Angelicus </w:t>
      </w:r>
      <w:r>
        <w:t>przytacza solidne argumenty na obronę swojej tezy. Po pierwsze, uznaje, że słowa „nieskończony” (czy też w innym tłumaczeniu: „bezkresny”) jako przeczenia powinno się używać wyłącznie do określania rzeczy zawodnych, a więc niedoskonałych i niepełnych. Logicznym jest natomiast fakt, iż Boża wieczność nie nosi na sobie żadnych znamion ułomności, zawodności czy słabości</w:t>
      </w:r>
      <w:r>
        <w:rPr>
          <w:rStyle w:val="FootnoteReference"/>
        </w:rPr>
        <w:footnoteReference w:id="3"/>
      </w:r>
      <w:r>
        <w:t xml:space="preserve">. Sam Stwórca jest wszak </w:t>
      </w:r>
      <w:r>
        <w:lastRenderedPageBreak/>
        <w:t>jedyny, doskonały i dobry (por. Mt 19,20), a, powtarzając za Augustynem, Jego „dniem dzisiejszym jest wieczność”</w:t>
      </w:r>
      <w:r>
        <w:rPr>
          <w:rStyle w:val="FootnoteReference"/>
        </w:rPr>
        <w:footnoteReference w:id="4"/>
      </w:r>
      <w:r>
        <w:t>.</w:t>
      </w:r>
    </w:p>
    <w:p w14:paraId="7C243386" w14:textId="77777777" w:rsidR="00FD1169" w:rsidRDefault="00E62548" w:rsidP="00C45F5E">
      <w:pPr>
        <w:pStyle w:val="Textbody"/>
        <w:jc w:val="both"/>
      </w:pPr>
      <w:r>
        <w:tab/>
        <w:t>Akwinata przytacza trzeci argument świadczący o niewystarczalności tezy Boecjusza, w którego definicji użyto sformułowania o całkowitym (całym) posiadaniu nieskończonego życia. Tomasz zauważa, że coś całkowitego można podzielić na określone części, natomiast wieczność pozostaje niezłożoną – nie powinniśmy zatem mówić o jej kawałkach, częściach czy nawet etapach</w:t>
      </w:r>
      <w:r>
        <w:rPr>
          <w:rStyle w:val="FootnoteReference"/>
        </w:rPr>
        <w:footnoteReference w:id="5"/>
      </w:r>
      <w:r>
        <w:t>. W dodatku wykorzystane przez Boecjusza słowo „posiadanie” według dominikanina nie ma żadnego logicznego związku z trwaniem, a tym właśnie jest wieczność</w:t>
      </w:r>
      <w:r>
        <w:rPr>
          <w:rStyle w:val="FootnoteReference"/>
        </w:rPr>
        <w:footnoteReference w:id="6"/>
      </w:r>
      <w:r>
        <w:t>. Trzeba jednak w tym miejscu przypomnieć, że istnieje kilka rodzajów trwania - trwanie człowieka w oczywisty sposób różni się od trwania jego Stwórcy. Boecjusz ujmuje to w ten sposób, że ludzkie przechodzenie z jednego „teraz” do innego tworzy wiecznotrwałość, natomiast „teraz” należące w całości do Pana charakteryzuje się nieustającym trwaniem jako niezmienna stałość</w:t>
      </w:r>
      <w:r>
        <w:rPr>
          <w:rStyle w:val="FootnoteReference"/>
        </w:rPr>
        <w:footnoteReference w:id="7"/>
      </w:r>
      <w:r>
        <w:t>.</w:t>
      </w:r>
    </w:p>
    <w:p w14:paraId="13D98E66" w14:textId="77777777" w:rsidR="00FD1169" w:rsidRDefault="00E62548" w:rsidP="00C45F5E">
      <w:pPr>
        <w:pStyle w:val="Textbody"/>
        <w:jc w:val="both"/>
      </w:pPr>
      <w:r>
        <w:tab/>
        <w:t>Św. Tomasz naucza, że, aby przybliżyć się do poznania tego, czym jest wieczność, należy wyjść od samego pojęcia czasu, który jest „oznaczeniem liczbą etapu wcześniejszego i późniejszego ruchu”</w:t>
      </w:r>
      <w:r>
        <w:rPr>
          <w:rStyle w:val="FootnoteReference"/>
        </w:rPr>
        <w:footnoteReference w:id="8"/>
      </w:r>
      <w:r>
        <w:t>. U człowieka będącego we wspomnianym ruchu można zaobserwować i określić jakiś początek i koniec, porusza się bowiem w czasie. Natomiast wieczność nie ma ani pierwszego punktu, ani kresu. W tym sensie jest „cała”, że nie odkryjemy w niej ani jednej niedoskonałości, a – po drugie – aby znieść wszelkie powiązania z czasem będącym następstwem, a nie trwaniem oraz z momentami. Można również użyć sformułowania Boecjusza „posiadanie”, lecz jedynie w kontekście wyróżnienia niezmienności i całkowitej pewności wiekuistości.</w:t>
      </w:r>
    </w:p>
    <w:p w14:paraId="1C389621" w14:textId="77777777" w:rsidR="00FD1169" w:rsidRPr="0063514D" w:rsidRDefault="00E62548" w:rsidP="0063514D">
      <w:pPr>
        <w:pStyle w:val="Textbody"/>
        <w:ind w:firstLine="709"/>
        <w:rPr>
          <w:b/>
          <w:bCs/>
        </w:rPr>
      </w:pPr>
      <w:r w:rsidRPr="0063514D">
        <w:rPr>
          <w:b/>
          <w:bCs/>
        </w:rPr>
        <w:t>2. Czy Bóg jest wieczny?</w:t>
      </w:r>
    </w:p>
    <w:p w14:paraId="41E436DF" w14:textId="77777777" w:rsidR="00FD1169" w:rsidRDefault="00E62548" w:rsidP="00C45F5E">
      <w:pPr>
        <w:pStyle w:val="Textbody"/>
        <w:jc w:val="both"/>
      </w:pPr>
      <w:r>
        <w:tab/>
        <w:t>Choć może wydawać się to kontrowersyjne lub nawet szokujące, św. Tomasz na pytanie „Czy Bóg jest wieczny?” na początku odpowiada przecząco wbrew słowom m.in. św. Atanazego. Akwinata uznaje, że nazywanie Stwórcy wiecznym jest w gruncie rzeczy nieprawidłowe, ponieważ nie możemy określać przymiotem Bożym czegoś, co sam uczynił</w:t>
      </w:r>
      <w:r>
        <w:rPr>
          <w:rStyle w:val="FootnoteReference"/>
        </w:rPr>
        <w:footnoteReference w:id="9"/>
      </w:r>
      <w:r>
        <w:t>, a przecież według Augustyna to właśnie Pan jest Twórcą wieczności</w:t>
      </w:r>
      <w:r>
        <w:rPr>
          <w:rStyle w:val="FootnoteReference"/>
        </w:rPr>
        <w:footnoteReference w:id="10"/>
      </w:r>
      <w:r>
        <w:t xml:space="preserve">. </w:t>
      </w:r>
      <w:r w:rsidR="00834F9F">
        <w:t>Można rzec, że takim samym absurdem byłoby nazywanie człowieka tworzącego własną firmę „firmowym</w:t>
      </w:r>
      <w:r w:rsidR="00305A79">
        <w:t xml:space="preserve">” - logicznym jest fakt, że ów człowiek nie może być określany jedynie przez pryzmat czegoś, co stworzył, z jednoczesnym zapomnieniem o tym, kim on sam właściwie </w:t>
      </w:r>
      <w:r w:rsidR="00305A79" w:rsidRPr="00CC09C2">
        <w:t>jest</w:t>
      </w:r>
      <w:r w:rsidR="00305A79" w:rsidRPr="00305A79">
        <w:rPr>
          <w:b/>
        </w:rPr>
        <w:t>.</w:t>
      </w:r>
      <w:r w:rsidR="00305A79">
        <w:t xml:space="preserve"> </w:t>
      </w:r>
      <w:r w:rsidR="00834F9F">
        <w:t>O</w:t>
      </w:r>
      <w:r w:rsidR="00305A79">
        <w:t> </w:t>
      </w:r>
      <w:r w:rsidR="00834F9F">
        <w:t xml:space="preserve">ileż bardziej nie jest </w:t>
      </w:r>
      <w:r>
        <w:t xml:space="preserve">zatem słusznym nadużywać </w:t>
      </w:r>
      <w:r w:rsidR="00834F9F">
        <w:t xml:space="preserve">epitetu „wieczny” wobec Pana, </w:t>
      </w:r>
      <w:r>
        <w:t>ponieważ byłby on z gruntu niewystarczający wobec Tego, który istnieje „przed wiecznością i po wieczności”</w:t>
      </w:r>
      <w:r>
        <w:rPr>
          <w:rStyle w:val="FootnoteReference"/>
        </w:rPr>
        <w:footnoteReference w:id="11"/>
      </w:r>
      <w:r>
        <w:t>. Jako ludzie postrzegamy Boga przez pryzmat wyznaczonych przez siebie jednostek czasowych – przez pryzmat czasowości – i stąd pochodzi błędna terminologia. Rozsądniej i poprawniej byłoby</w:t>
      </w:r>
      <w:r w:rsidR="00305A79">
        <w:t xml:space="preserve"> zatem</w:t>
      </w:r>
      <w:r>
        <w:t xml:space="preserve"> uznać, że sam Stwórca jako Absolut </w:t>
      </w:r>
      <w:r w:rsidRPr="00CC09C2">
        <w:t>jest</w:t>
      </w:r>
      <w:r w:rsidRPr="00305A79">
        <w:rPr>
          <w:b/>
        </w:rPr>
        <w:t xml:space="preserve"> </w:t>
      </w:r>
      <w:r>
        <w:t>wiecznością</w:t>
      </w:r>
      <w:r>
        <w:rPr>
          <w:rStyle w:val="FootnoteReference"/>
        </w:rPr>
        <w:footnoteReference w:id="12"/>
      </w:r>
      <w:r>
        <w:t xml:space="preserve">. W tym miejscu oddajmy głos autorowi </w:t>
      </w:r>
      <w:r>
        <w:rPr>
          <w:i/>
          <w:iCs/>
        </w:rPr>
        <w:t xml:space="preserve">Sumy, </w:t>
      </w:r>
      <w:r>
        <w:t>który w ostateczności tak odpowiedział na zadane w Artykule 2 pytanie:</w:t>
      </w:r>
    </w:p>
    <w:p w14:paraId="6B19DC68" w14:textId="77777777" w:rsidR="00FD1169" w:rsidRDefault="00E62548" w:rsidP="00C45F5E">
      <w:pPr>
        <w:pStyle w:val="Textbody"/>
        <w:ind w:left="710" w:right="570"/>
        <w:jc w:val="both"/>
      </w:pPr>
      <w:r>
        <w:t xml:space="preserve">„(...) nauka o wieczności wypływa z niezmienności, podobnie jak znajomość </w:t>
      </w:r>
      <w:r>
        <w:lastRenderedPageBreak/>
        <w:t>ruchu wiedzie do pojęcia czasu; ponieważ zaś Bóg jest w najwyższym stopniu niezmienny, dlatego też i w najwyższym stopniu wieczny; i nie tylko jest wieczny, ale coś więcej: sam jest swoją wiecznością. W świecie stworzeń żadna rzecz nie jest swoim trwaniem, boć nie jest swoim istnieniem; u Boga inaczej. On jest zawsze swoim niezmiennym, jednakowym istnieniem, jak więc jest swoją istotą, tak też jest swoją wiecznością”</w:t>
      </w:r>
      <w:r>
        <w:rPr>
          <w:rStyle w:val="FootnoteReference"/>
        </w:rPr>
        <w:footnoteReference w:id="13"/>
      </w:r>
      <w:r>
        <w:t>.</w:t>
      </w:r>
    </w:p>
    <w:p w14:paraId="5A2961FD" w14:textId="77777777" w:rsidR="00FD1169" w:rsidRDefault="00E62548" w:rsidP="00C45F5E">
      <w:pPr>
        <w:pStyle w:val="Textbody"/>
        <w:jc w:val="both"/>
      </w:pPr>
      <w:r>
        <w:tab/>
        <w:t>W takim rozumowaniu uwidacznia się jedna z największych różnic między Stwórcą a stworzeniem, które może On dopuścić do udziału we własnej wieczności i niezmienności wedle swojej woli. Natomiast stworzenie</w:t>
      </w:r>
      <w:r w:rsidR="00F77EA0">
        <w:t>,</w:t>
      </w:r>
      <w:r>
        <w:t xml:space="preserve"> w przeciwieństwie do Boga</w:t>
      </w:r>
      <w:r w:rsidR="00F77EA0">
        <w:t>,</w:t>
      </w:r>
      <w:r>
        <w:t xml:space="preserve"> podlega istotnym zmianom i wpływom czasu, a wieczność zawiera w sobie wszystkie czasy: przeszły, teraźniejszy i przyszły bez wyjątku.</w:t>
      </w:r>
    </w:p>
    <w:p w14:paraId="00A10972" w14:textId="77777777" w:rsidR="00FD1169" w:rsidRPr="0063514D" w:rsidRDefault="00E62548" w:rsidP="0063514D">
      <w:pPr>
        <w:pStyle w:val="Textbody"/>
        <w:ind w:firstLine="709"/>
        <w:rPr>
          <w:b/>
          <w:bCs/>
        </w:rPr>
      </w:pPr>
      <w:r w:rsidRPr="0063514D">
        <w:rPr>
          <w:b/>
          <w:bCs/>
        </w:rPr>
        <w:t>3. Czy wieczność jest przymiotem właściwym tylko Bogu?</w:t>
      </w:r>
    </w:p>
    <w:p w14:paraId="3CF4086C" w14:textId="77777777" w:rsidR="00FD1169" w:rsidRDefault="00305A79" w:rsidP="00C45F5E">
      <w:pPr>
        <w:pStyle w:val="Textbody"/>
        <w:jc w:val="both"/>
      </w:pPr>
      <w:r>
        <w:tab/>
        <w:t>W Artykule 3 pod tym</w:t>
      </w:r>
      <w:r w:rsidR="00E62548">
        <w:t xml:space="preserve"> samym tytułem Akwinata w pierwszej kolejności czerpie z mądrości Słowa Bożego. Aby odpowiedzieć na to pytanie, odwołuje się do Księgi Daniela i do Ewangelii według św. Mateusza. Natchniona księga Starego Testamentu głosi, że: „Mądrzy będą świecić jak blask sklepienia, a ci, którzy nauczyli wielu sprawiedliwości, jak gwiazdy przez wieki i na zawsze” (Dn 12,3). Wynika więc z tegoż</w:t>
      </w:r>
      <w:r>
        <w:t xml:space="preserve"> jednego</w:t>
      </w:r>
      <w:r w:rsidR="00E62548">
        <w:t xml:space="preserve"> zdania, iż </w:t>
      </w:r>
      <w:r>
        <w:t xml:space="preserve">nie tylko Bóg może być uznawany za </w:t>
      </w:r>
      <w:r w:rsidR="00E62548">
        <w:t>wieczn</w:t>
      </w:r>
      <w:r>
        <w:t>ego</w:t>
      </w:r>
      <w:r w:rsidR="00E62548">
        <w:t xml:space="preserve">, ponieważ sprawiedliwi (czyli, w ujęciu Starego Testamentu, święci) będą żyć na wieki. Należy jednak pamiętać, że owa wieczność jest im udzielana z łaski Tego, który sam od nikogo nie musiał jej zaczerpnąć. </w:t>
      </w:r>
      <w:r w:rsidR="00E62548">
        <w:rPr>
          <w:i/>
          <w:iCs/>
        </w:rPr>
        <w:t xml:space="preserve">Katechizm Kościoła katolickiego </w:t>
      </w:r>
      <w:r w:rsidR="00E62548">
        <w:t>naucza, iż Trójjedyny Pan przekracza nie tylko świat, ale i całą historię, a także nie ma ani początku, ani końca</w:t>
      </w:r>
      <w:r w:rsidR="00E62548">
        <w:rPr>
          <w:rStyle w:val="FootnoteReference"/>
        </w:rPr>
        <w:footnoteReference w:id="14"/>
      </w:r>
      <w:r w:rsidR="00E62548">
        <w:t>. Psalm 102 udziela nam informacji o</w:t>
      </w:r>
      <w:r>
        <w:t> </w:t>
      </w:r>
      <w:r w:rsidR="00E62548">
        <w:t>Jego niezmienności oraz o przemijalności stworzeń z Bożej woli w słowach: „Ty niegdyś założyłeś ziemię/i niebo jest dziełem rąk Twoich./Przeminą one, Ty zaś pozostaniesz. I całe one jak szata się zestarzeją: Ty zmieniasz je jak odzienie i ulegają zmianie,/Ty zaś jesteś zawsze ten sam i lata Twoje nie mają końca” (Ps 102,26-28). Skoro imię Boga to „Jestem”, to znaczy, iż trwa niezmiennie – nie było, nie ma ani nie będzie ani jednego momentu, w</w:t>
      </w:r>
      <w:r>
        <w:t> </w:t>
      </w:r>
      <w:r w:rsidR="00E62548">
        <w:t xml:space="preserve">którym przestałby trwać. Jeśli uznamy Go za wieczność, to stwierdzimy jednocześnie, że jest nieporuszony - to znaczy, że nie podlega żadnym </w:t>
      </w:r>
      <w:r>
        <w:t xml:space="preserve">widocznym </w:t>
      </w:r>
      <w:r w:rsidR="00E62548">
        <w:t>uwarunkowaniom ani zmianom. Co więcej, to On sam jest pierwszą Przyczyną, Poruszycielem i Twórcą wszelkich praw przemijania istot, którym udziela swojej świętości oraz zmienności świata, który wyszedł spod Jego ręki. Wieczność Boża jest zatem ze wszech miar niezbędna dla istnienia przemijalnego stworzenia, lecz owym przemianom i modyfikacjom nie ulega nigdy natura samego Stworzyciela</w:t>
      </w:r>
      <w:r w:rsidR="00E62548">
        <w:rPr>
          <w:rStyle w:val="FootnoteReference"/>
        </w:rPr>
        <w:footnoteReference w:id="15"/>
      </w:r>
      <w:r w:rsidR="00E62548">
        <w:t>.</w:t>
      </w:r>
    </w:p>
    <w:p w14:paraId="78F3DEF0" w14:textId="77777777" w:rsidR="00FD1169" w:rsidRDefault="00E62548" w:rsidP="00C45F5E">
      <w:pPr>
        <w:pStyle w:val="Textbody"/>
        <w:jc w:val="both"/>
      </w:pPr>
      <w:r>
        <w:tab/>
        <w:t xml:space="preserve">Z rozważań Akwinaty wynika również interesujący i wart dalszych </w:t>
      </w:r>
      <w:r w:rsidR="00305A79">
        <w:t>dociekań</w:t>
      </w:r>
      <w:r>
        <w:t xml:space="preserve"> wniosek, że piekła nie może dotyczyć wieczność, lecz raczej czas trwający na wieki</w:t>
      </w:r>
      <w:r>
        <w:rPr>
          <w:rStyle w:val="FootnoteReference"/>
        </w:rPr>
        <w:footnoteReference w:id="16"/>
      </w:r>
      <w:r>
        <w:t>.</w:t>
      </w:r>
    </w:p>
    <w:p w14:paraId="3EBCA256" w14:textId="77777777" w:rsidR="00FD1169" w:rsidRDefault="00E62548" w:rsidP="00C45F5E">
      <w:pPr>
        <w:pStyle w:val="Textbody"/>
        <w:jc w:val="both"/>
      </w:pPr>
      <w:r>
        <w:tab/>
        <w:t>Odpowiadając na trzecie pytanie, można więc uznać, że Bóg, który sam jest naszą wiecznością, obdarza nią człowieka, ale jednocześnie sam znikąd wieczności nie czerpie. Stwórca nie odbiera żadnego czasu jako przeszłości czy przyszłości, ponieważ w</w:t>
      </w:r>
      <w:r w:rsidR="00305A79">
        <w:t> </w:t>
      </w:r>
      <w:r>
        <w:t>przeciwnym razie nie miałby na nie żadnego wpływu, co czyniłoby Jego naturę podobną do ludzkiej. Trzeba zatem stwierdzić, że dla Pana wszystkie czasy istnieją rzeczywiście i</w:t>
      </w:r>
      <w:r w:rsidR="00305A79">
        <w:t> </w:t>
      </w:r>
      <w:r>
        <w:t xml:space="preserve">nieodwołalnie jako nieskończona teraźniejszość. Jedynie człowiek przechodzi z jednego momentu teraźniejszego do następnego – niektórzy określają to jako ruchome trwanie </w:t>
      </w:r>
      <w:r>
        <w:lastRenderedPageBreak/>
        <w:t>wieczne</w:t>
      </w:r>
      <w:r>
        <w:rPr>
          <w:rStyle w:val="FootnoteReference"/>
        </w:rPr>
        <w:footnoteReference w:id="17"/>
      </w:r>
      <w:r>
        <w:t>.</w:t>
      </w:r>
    </w:p>
    <w:p w14:paraId="65AC8E8A" w14:textId="77777777" w:rsidR="00FD1169" w:rsidRPr="0063514D" w:rsidRDefault="00E62548" w:rsidP="0063514D">
      <w:pPr>
        <w:pStyle w:val="Textbody"/>
        <w:ind w:firstLine="709"/>
        <w:rPr>
          <w:b/>
          <w:bCs/>
        </w:rPr>
      </w:pPr>
      <w:r w:rsidRPr="0063514D">
        <w:rPr>
          <w:b/>
          <w:bCs/>
        </w:rPr>
        <w:t>4. Czy wieczność różni się od czasu?</w:t>
      </w:r>
    </w:p>
    <w:p w14:paraId="27E5210C" w14:textId="77777777" w:rsidR="00FD1169" w:rsidRDefault="00E62548" w:rsidP="00C45F5E">
      <w:pPr>
        <w:pStyle w:val="Textbody"/>
        <w:jc w:val="both"/>
      </w:pPr>
      <w:r>
        <w:tab/>
        <w:t>Na początku prób skonstruowania odpowiedzi na to pytanie Tomasz przytacza argumenty „przeciw”. Na sposób logiczny tłumaczy, iż skoro wieczność przekracza czas, wchłania go, nie jest jego częścią i znajduje się ponad nim, to oznacza, że stanowi on część wieczności, a zatem nie różni się od niej</w:t>
      </w:r>
      <w:r>
        <w:rPr>
          <w:rStyle w:val="FootnoteReference"/>
        </w:rPr>
        <w:footnoteReference w:id="18"/>
      </w:r>
      <w:r>
        <w:t>. Wieczność natomiast może być uznawana za miarę istnienia i to każdorazowego.</w:t>
      </w:r>
    </w:p>
    <w:p w14:paraId="1C3185D4" w14:textId="77777777" w:rsidR="00FD1169" w:rsidRDefault="00E62548" w:rsidP="00C45F5E">
      <w:pPr>
        <w:pStyle w:val="Textbody"/>
        <w:jc w:val="both"/>
      </w:pPr>
      <w:r>
        <w:tab/>
        <w:t>Jednocześnie na przekór własnym rozważaniom Akwinata uznaje ostatecznie, że czas i wieczność w żadnym razie nie mogą być uznawane jako to samo, ponieważ w czasie możemy rozróżnić wcześniejsze i późniejsze wydarzenia – w przypadku wieczności istniejącej „naraz” we wiecznym „teraz” nie jesteśmy w stanie na sposób człowieczy wyróżnić poszczególnych momentów.</w:t>
      </w:r>
    </w:p>
    <w:p w14:paraId="32E7DFE5" w14:textId="77777777" w:rsidR="00FD1169" w:rsidRDefault="00E62548" w:rsidP="00C45F5E">
      <w:pPr>
        <w:pStyle w:val="Textbody"/>
        <w:jc w:val="both"/>
      </w:pPr>
      <w:r>
        <w:tab/>
        <w:t>Na czym jeszcze polega zasadnicza różnica między czasem a wiecznością? Otóż: „Jak wieczność jest miarą swoistą i właściwą [stałego i niezmiennego] istnienia, tak czas jest miarą swoistą i właściwą ruchu”</w:t>
      </w:r>
      <w:r>
        <w:rPr>
          <w:rStyle w:val="FootnoteReference"/>
        </w:rPr>
        <w:footnoteReference w:id="19"/>
      </w:r>
      <w:r>
        <w:t>. Tomasz uznaje czas za odpowiednik ruchu i</w:t>
      </w:r>
      <w:r w:rsidR="00305A79">
        <w:t> </w:t>
      </w:r>
      <w:r>
        <w:t>odwrotnie, natomiast wieczność nigdy nie podlega zmianom. Różni się też znacznie pojmowanie „teraz” c</w:t>
      </w:r>
      <w:r w:rsidR="00305A79">
        <w:t xml:space="preserve">zasu i „teraz” wieczności. Wprawdzie czas </w:t>
      </w:r>
      <w:r>
        <w:t>wpisuje się w wieczność, lecz wieczność nie wpisuje się w czas – przekracza go o wielokroć.</w:t>
      </w:r>
    </w:p>
    <w:p w14:paraId="048531C8" w14:textId="77777777" w:rsidR="00FD1169" w:rsidRDefault="00E62548" w:rsidP="00C45F5E">
      <w:pPr>
        <w:pStyle w:val="Textbody"/>
        <w:jc w:val="both"/>
      </w:pPr>
      <w:r>
        <w:tab/>
        <w:t xml:space="preserve">Akwinata zauważa również, że im bardziej coś jest oderwane od stałości, tym mniej dotyczy wieczności i wobec tego musi być mierzone za pomocą czasu – nawet rzeczy, które znajdują się aktualnie w stanie spoczynku, ponieważ mogą </w:t>
      </w:r>
      <w:r w:rsidR="00305A79">
        <w:t xml:space="preserve">jeszcze </w:t>
      </w:r>
      <w:r>
        <w:t>zacząć ulegać prawom ruchu</w:t>
      </w:r>
      <w:r>
        <w:rPr>
          <w:rStyle w:val="FootnoteReference"/>
        </w:rPr>
        <w:footnoteReference w:id="20"/>
      </w:r>
      <w:r>
        <w:t>.</w:t>
      </w:r>
    </w:p>
    <w:p w14:paraId="04D3741E" w14:textId="77777777" w:rsidR="00FD1169" w:rsidRPr="0063514D" w:rsidRDefault="00E62548" w:rsidP="0063514D">
      <w:pPr>
        <w:pStyle w:val="Textbody"/>
        <w:ind w:firstLine="709"/>
        <w:rPr>
          <w:b/>
          <w:bCs/>
        </w:rPr>
      </w:pPr>
      <w:r w:rsidRPr="0063514D">
        <w:rPr>
          <w:b/>
          <w:bCs/>
        </w:rPr>
        <w:t>5. Różnica między wiekuistością a czasem</w:t>
      </w:r>
    </w:p>
    <w:p w14:paraId="3F1A47B0" w14:textId="77777777" w:rsidR="00FD1169" w:rsidRDefault="00E62548" w:rsidP="00C45F5E">
      <w:pPr>
        <w:pStyle w:val="Textbody"/>
        <w:jc w:val="both"/>
      </w:pPr>
      <w:r>
        <w:tab/>
        <w:t xml:space="preserve">Wieczność (łac. </w:t>
      </w:r>
      <w:r>
        <w:rPr>
          <w:i/>
          <w:iCs/>
        </w:rPr>
        <w:t>aeternitas</w:t>
      </w:r>
      <w:r>
        <w:t xml:space="preserve">) i czas (łac. </w:t>
      </w:r>
      <w:r>
        <w:rPr>
          <w:i/>
          <w:iCs/>
        </w:rPr>
        <w:t>tempus</w:t>
      </w:r>
      <w:r>
        <w:t xml:space="preserve">) nie wyczerpują całkowicie tematyki poruszanej w tej części </w:t>
      </w:r>
      <w:r>
        <w:rPr>
          <w:i/>
          <w:iCs/>
        </w:rPr>
        <w:t xml:space="preserve">Summy. </w:t>
      </w:r>
      <w:r>
        <w:t xml:space="preserve">Tomasz opisuje również rzeczywistość nazwaną wiekuistością (łac. </w:t>
      </w:r>
      <w:r>
        <w:rPr>
          <w:i/>
          <w:iCs/>
        </w:rPr>
        <w:t>aevum, aeviternitas</w:t>
      </w:r>
      <w:r>
        <w:t>). Po polemice z tezami św. Augustyna i Boecjusza, teolog XIII w. stwierdza, że wiekuistość różni się w jakiś sposób nie tylko od czasu, ale i</w:t>
      </w:r>
      <w:r w:rsidR="00296F87">
        <w:t> </w:t>
      </w:r>
      <w:r>
        <w:t>od samej wieczności</w:t>
      </w:r>
      <w:r>
        <w:rPr>
          <w:rStyle w:val="FootnoteReference"/>
        </w:rPr>
        <w:footnoteReference w:id="21"/>
      </w:r>
      <w:r>
        <w:t>. Akwinata nie może zgodzić się w pełni z twierdzeniami, w</w:t>
      </w:r>
      <w:r w:rsidR="00296F87">
        <w:t> </w:t>
      </w:r>
      <w:r>
        <w:t>których wiekuistość jest traktowana jako wyłącznie konsekwencja chwil wcześniejszych i późniejszych. Uznaje, że wiekuistość</w:t>
      </w:r>
      <w:r w:rsidR="00F77EA0">
        <w:t>,</w:t>
      </w:r>
      <w:r>
        <w:t xml:space="preserve"> w przeciwieństwie do wieczności</w:t>
      </w:r>
      <w:r w:rsidR="00F77EA0">
        <w:t>,</w:t>
      </w:r>
      <w:r>
        <w:t xml:space="preserve"> nie trwa cała „naraz”, lecz możemy wyróżnić z niej poszczególne momenty. Można więc uznać, że wiekuistość jest rzeczywistością znajdującą się gdzieś pomiędzy czasem a wiecznością.</w:t>
      </w:r>
    </w:p>
    <w:p w14:paraId="6E3D0BE4" w14:textId="77777777" w:rsidR="00FD1169" w:rsidRDefault="00E62548" w:rsidP="00C45F5E">
      <w:pPr>
        <w:pStyle w:val="Textbody"/>
        <w:jc w:val="both"/>
      </w:pPr>
      <w:r>
        <w:tab/>
        <w:t xml:space="preserve">Nie od razu ukształtowało się takie rozumienie tego terminu, jakim posługiwał się św. Tomasz z Akwinu. Zdaje się, że dawniej na określenie wiekuistości używano łacińskiego słowa </w:t>
      </w:r>
      <w:r>
        <w:rPr>
          <w:i/>
          <w:iCs/>
        </w:rPr>
        <w:t xml:space="preserve">saeculum, </w:t>
      </w:r>
      <w:r>
        <w:t xml:space="preserve">które natomiast wywodzi się z greckiego </w:t>
      </w:r>
      <w:r>
        <w:rPr>
          <w:i/>
          <w:iCs/>
        </w:rPr>
        <w:t xml:space="preserve">eon </w:t>
      </w:r>
      <w:r>
        <w:t>kojarzonego z</w:t>
      </w:r>
      <w:r w:rsidR="00296F87">
        <w:t> </w:t>
      </w:r>
      <w:r>
        <w:t>wiecznością, lecz niebędącym nią</w:t>
      </w:r>
      <w:r>
        <w:rPr>
          <w:rStyle w:val="FootnoteReference"/>
        </w:rPr>
        <w:footnoteReference w:id="22"/>
      </w:r>
      <w:r>
        <w:t xml:space="preserve">. Idąc dalej, należy powiedzieć, że znaczenie </w:t>
      </w:r>
      <w:r>
        <w:rPr>
          <w:i/>
          <w:iCs/>
        </w:rPr>
        <w:t xml:space="preserve">saeculum </w:t>
      </w:r>
      <w:r>
        <w:t>ewoluowało przez wieki. W czasach św. Izydora (+636 r.) było równoznaczne z</w:t>
      </w:r>
      <w:r w:rsidR="00296F87">
        <w:t> </w:t>
      </w:r>
      <w:r>
        <w:t>czasem trwania jednego pokolenia żyjącego możliwie najdłużej, czyli ok. stu lat (w</w:t>
      </w:r>
      <w:r w:rsidR="00DE3C1D">
        <w:t xml:space="preserve"> </w:t>
      </w:r>
      <w:r>
        <w:t xml:space="preserve">innym pojmowaniu ok. trzydziestu lat), a jednocześnie z czymś różniącym się od </w:t>
      </w:r>
      <w:r>
        <w:rPr>
          <w:i/>
          <w:iCs/>
        </w:rPr>
        <w:t xml:space="preserve">aeternum </w:t>
      </w:r>
      <w:r>
        <w:lastRenderedPageBreak/>
        <w:t>oznaczającego długi okres niemający ani początku, ani jednoznacznego końca</w:t>
      </w:r>
      <w:r>
        <w:rPr>
          <w:rStyle w:val="FootnoteReference"/>
        </w:rPr>
        <w:footnoteReference w:id="23"/>
      </w:r>
      <w:r>
        <w:t>.</w:t>
      </w:r>
    </w:p>
    <w:p w14:paraId="36FE2BAE" w14:textId="77777777" w:rsidR="00FD1169" w:rsidRDefault="00E62548" w:rsidP="00C45F5E">
      <w:pPr>
        <w:pStyle w:val="Textbody"/>
        <w:jc w:val="both"/>
      </w:pPr>
      <w:r>
        <w:tab/>
        <w:t xml:space="preserve">Akwinata natomiast uznał za stosowne stwierdzić, że </w:t>
      </w:r>
      <w:r>
        <w:rPr>
          <w:i/>
          <w:iCs/>
        </w:rPr>
        <w:t xml:space="preserve">aevum, </w:t>
      </w:r>
      <w:r>
        <w:t>czyli wiekuistość, to przestrzeń, w której trwają aniołowie i inne duchy niebieskie. To twierdzenie ma swoje podstawy w tym, że byty anielskie nie podlegają zmianom ludzkim, natomiast mogą podlegać zmia</w:t>
      </w:r>
      <w:r w:rsidR="00296F87">
        <w:t>nom miejsca, nadto także myśli</w:t>
      </w:r>
      <w:r>
        <w:t>, a zatem trwają w wiekuistości będącej rzeczywistością pomiędzy czasem a wiecznością</w:t>
      </w:r>
      <w:r>
        <w:rPr>
          <w:rStyle w:val="FootnoteReference"/>
        </w:rPr>
        <w:footnoteReference w:id="24"/>
      </w:r>
      <w:r>
        <w:t>.</w:t>
      </w:r>
    </w:p>
    <w:p w14:paraId="4FDE83CF" w14:textId="77777777" w:rsidR="00FD1169" w:rsidRDefault="00E62548" w:rsidP="00C45F5E">
      <w:pPr>
        <w:pStyle w:val="Textbody"/>
        <w:jc w:val="both"/>
      </w:pPr>
      <w:r>
        <w:tab/>
        <w:t xml:space="preserve">Teolog traktuje zatem czas jako konsekwencję chwil minionych i przyszłych (wcześniejszych i późniejszych). Wieczność natomiast wyklucza wszelkie następstwa owych momentów, ponieważ nie podlega prawom zmienności. Wiekuistość według Tomasza </w:t>
      </w:r>
      <w:r w:rsidR="00296F87">
        <w:t xml:space="preserve">nie </w:t>
      </w:r>
      <w:r>
        <w:t xml:space="preserve">nosi </w:t>
      </w:r>
      <w:r w:rsidR="00296F87">
        <w:t>wszystkich znamion</w:t>
      </w:r>
      <w:r>
        <w:t xml:space="preserve"> wieczności, jako że „(...) dopuszcza do siebie następstwo chwil ustępujących i</w:t>
      </w:r>
      <w:r w:rsidR="00296F87">
        <w:t> </w:t>
      </w:r>
      <w:r>
        <w:t>nadchodzących w swoim działaniu”</w:t>
      </w:r>
      <w:r>
        <w:rPr>
          <w:rStyle w:val="FootnoteReference"/>
        </w:rPr>
        <w:footnoteReference w:id="25"/>
      </w:r>
      <w:r>
        <w:t>. Nie może być też postawiona w jednym rzędzie z</w:t>
      </w:r>
      <w:r w:rsidR="00296F87">
        <w:t> </w:t>
      </w:r>
      <w:r>
        <w:t>czasem, gdyż w przeciwieństwie do niego jest nieskończona i nieograniczona nim względnie, a nadto odnosi się do bytu stworzonego jakim jest choćby anioł mający swój początek, lecz trwający bez końca.</w:t>
      </w:r>
    </w:p>
    <w:p w14:paraId="26736E9F" w14:textId="77777777" w:rsidR="00FD1169" w:rsidRPr="0063514D" w:rsidRDefault="00E62548" w:rsidP="0063514D">
      <w:pPr>
        <w:pStyle w:val="Textbody"/>
        <w:ind w:firstLine="709"/>
        <w:rPr>
          <w:b/>
          <w:bCs/>
        </w:rPr>
      </w:pPr>
      <w:r w:rsidRPr="0063514D">
        <w:rPr>
          <w:b/>
          <w:bCs/>
        </w:rPr>
        <w:t>6. Czy istnieje tylko jedna wiekuistość?</w:t>
      </w:r>
    </w:p>
    <w:p w14:paraId="35679C1C" w14:textId="77777777" w:rsidR="00FD1169" w:rsidRDefault="00E62548" w:rsidP="00C45F5E">
      <w:pPr>
        <w:pStyle w:val="Textbody"/>
        <w:jc w:val="both"/>
      </w:pPr>
      <w:r>
        <w:tab/>
        <w:t>Akwinata na początku wywodu na ten temat przytacza słowa z apokryfu Ezdrasza: „W Tobie to, o Panie, kryje się majestat i potęga wszystkich wiekuistości”</w:t>
      </w:r>
      <w:r>
        <w:rPr>
          <w:rStyle w:val="FootnoteReference"/>
        </w:rPr>
        <w:footnoteReference w:id="26"/>
      </w:r>
      <w:r>
        <w:t xml:space="preserve">. Wychodząc od tego </w:t>
      </w:r>
      <w:r w:rsidR="00296F87">
        <w:t>zdania, teolog wysnuwa wniosek</w:t>
      </w:r>
      <w:r>
        <w:t>, iż istnieje kilka wiekuistości, a przynajmniej dwie: takie, do których należą ciała niebieskie oraz duchy niebieskie. Idąc jednak dalej, Tomasz uznaje, iż wiekuistość jest dużo bliższa wieczności niż czas, a zatem skoro istnieje jeden czas (składający się jednak z wielu momentów), to tym bardziej musimy założyć, że jest jedna wiekuistość.</w:t>
      </w:r>
    </w:p>
    <w:p w14:paraId="62DCA98C" w14:textId="77777777" w:rsidR="00FD1169" w:rsidRDefault="00E62548" w:rsidP="00C45F5E">
      <w:pPr>
        <w:pStyle w:val="Textbody"/>
        <w:jc w:val="both"/>
      </w:pPr>
      <w:r>
        <w:tab/>
        <w:t>Aby móc dokładniej odpowiedzieć na zadane w art. 6 pytanie, Do</w:t>
      </w:r>
      <w:r w:rsidR="00296F87">
        <w:t>k</w:t>
      </w:r>
      <w:r>
        <w:t>tor Anielski uzasadnia najpierw jedność czasu. Widzi przyczynę w jedności „pierwszego ruchu”, który pozostaje najbardziej niezłożonym. Tomasz wyjaśnia to w ten sposób:</w:t>
      </w:r>
    </w:p>
    <w:p w14:paraId="466155B9" w14:textId="77777777" w:rsidR="00FD1169" w:rsidRDefault="00E62548" w:rsidP="00C45F5E">
      <w:pPr>
        <w:pStyle w:val="Textbody"/>
        <w:ind w:left="720" w:right="570"/>
        <w:jc w:val="both"/>
      </w:pPr>
      <w:r>
        <w:t>„(...) otóż czas, wobec pierwszego ruchu, zawiera podwójny stosunek: stosunek miary do rzeczy mierzonej oraz stosunek przypadłości do swojego podmiotu; i właśnie od tego drugiego stosunku czas bierze swoją jedność, [gdyż w ogóle przypadłości biorą swoją jedność i wielość od swojego podmiotu]; wobec zaś pozostałych ruchów czas zawiera tylko jeden stosunek: stosunek miary do rzeczy mierzonej; stąd też wielość tychże ruchów nie powoduje wielości czasów, gdyż jedną, już ustaloną miarą, można mierzyć nieskończoną ilość przedmiotów”</w:t>
      </w:r>
      <w:r>
        <w:rPr>
          <w:rStyle w:val="FootnoteReference"/>
        </w:rPr>
        <w:footnoteReference w:id="27"/>
      </w:r>
      <w:r>
        <w:t>.</w:t>
      </w:r>
    </w:p>
    <w:p w14:paraId="1F226955" w14:textId="77777777" w:rsidR="00FD1169" w:rsidRDefault="00E62548" w:rsidP="00C45F5E">
      <w:pPr>
        <w:pStyle w:val="Textbody"/>
        <w:ind w:left="10"/>
        <w:jc w:val="both"/>
      </w:pPr>
      <w:r>
        <w:tab/>
        <w:t>Ostatecznie Akwinata przyjmuje, że najprawdopodobniej istnieje wyłącznie jedna wiekuistość będącą miarą trwania bytów takich jak aniołowie, ponieważ istnienie wszystkich bytów wiekuistych musi być mierzone istnieniem pierwszego bytu wiekuistego, który jest najbardziej niezłożony</w:t>
      </w:r>
      <w:r>
        <w:rPr>
          <w:rStyle w:val="FootnoteReference"/>
        </w:rPr>
        <w:footnoteReference w:id="28"/>
      </w:r>
      <w:r>
        <w:t>.</w:t>
      </w:r>
    </w:p>
    <w:p w14:paraId="062FB487" w14:textId="77777777" w:rsidR="00FD1169" w:rsidRPr="0063514D" w:rsidRDefault="00E62548" w:rsidP="0063514D">
      <w:pPr>
        <w:pStyle w:val="Textbody"/>
        <w:ind w:firstLine="709"/>
        <w:rPr>
          <w:b/>
          <w:bCs/>
        </w:rPr>
      </w:pPr>
      <w:r w:rsidRPr="0063514D">
        <w:rPr>
          <w:b/>
          <w:bCs/>
        </w:rPr>
        <w:t>Zakończenie</w:t>
      </w:r>
    </w:p>
    <w:p w14:paraId="6F2D5FEE" w14:textId="77777777" w:rsidR="00FD1169" w:rsidRDefault="00E62548" w:rsidP="00C45F5E">
      <w:pPr>
        <w:pStyle w:val="Textbody"/>
        <w:ind w:left="10"/>
        <w:jc w:val="both"/>
      </w:pPr>
      <w:r>
        <w:tab/>
        <w:t xml:space="preserve">Analiza zagadnień podjętych przez św. Tomasza z Akwinu pokazuje, że relacja między czasem, wiecznością i wiekuistością nie jest jedynie spekulatywną konstrukcją </w:t>
      </w:r>
      <w:r>
        <w:lastRenderedPageBreak/>
        <w:t>metafizyczną, lecz stanowi klucz do zrozumienia ontologicznej struktury stworzenia oraz miejsca Boga wobec rzeczywistości zmiennej. Czas, związany nierozerwalnie z ruchem i</w:t>
      </w:r>
      <w:r w:rsidR="00296F87">
        <w:t> </w:t>
      </w:r>
      <w:r>
        <w:t>przemijalnością, ukazuje skończoność bytów materialnych, podczas gdy wieczność identyfikowana z Bożym istnieniem odsłania absolutną niezmienność i pełnię. Wiekuistość natomiast, jako porządek charakte</w:t>
      </w:r>
      <w:r w:rsidR="00296F87">
        <w:t>rystyczny dla bytów duchowych, niejako d</w:t>
      </w:r>
      <w:r>
        <w:t xml:space="preserve">opełnia tę triadę, wskazując na zróżnicowane sposoby trwania w zależności od natury bytu. Tomasz, czerpiąc z tradycji platońskiej, arystotelesowskiej i patrystycznej, proponuje syntezę niezwykle spójną, w której metafizyka i teologia wzajemnie się przenikają. Jego ujęcie pozostaje także inspiracją dla współczesnych dyskusji nad temporalnością, transcendencją oraz granicami ludzkiego poznania. Koncepcja Akwinaty ukazuje bowiem w dalszej perspektywie, że refleksja nad czasem i wiecznością może doprowadzić ostatecznie do </w:t>
      </w:r>
      <w:r w:rsidR="00296F87">
        <w:t xml:space="preserve">twórczych </w:t>
      </w:r>
      <w:r>
        <w:t>pytań o naturę Boga i sens stworzenia.</w:t>
      </w:r>
    </w:p>
    <w:p w14:paraId="3AC612D7" w14:textId="77777777" w:rsidR="00FD1169" w:rsidRPr="00DE3C1D" w:rsidRDefault="00FD1169" w:rsidP="00C45F5E">
      <w:pPr>
        <w:pStyle w:val="Textbody"/>
        <w:ind w:left="10"/>
        <w:jc w:val="both"/>
      </w:pPr>
    </w:p>
    <w:p w14:paraId="5BCD92CD" w14:textId="77777777" w:rsidR="00FD1169" w:rsidRDefault="00E62548" w:rsidP="00C45F5E">
      <w:pPr>
        <w:pStyle w:val="Textbody"/>
        <w:jc w:val="both"/>
      </w:pPr>
      <w:r w:rsidRPr="00CF5C67">
        <w:rPr>
          <w:b/>
          <w:bCs/>
        </w:rPr>
        <w:t>Bibliografia</w:t>
      </w:r>
      <w:r w:rsidR="00CF5C67">
        <w:t>:</w:t>
      </w:r>
    </w:p>
    <w:p w14:paraId="7885B45C" w14:textId="77777777" w:rsidR="00FD1169" w:rsidRDefault="00E62548" w:rsidP="00CF5C67">
      <w:pPr>
        <w:ind w:left="1134" w:hanging="1134"/>
      </w:pPr>
      <w:r>
        <w:t xml:space="preserve">Augustyn z Hippony, </w:t>
      </w:r>
      <w:r>
        <w:rPr>
          <w:i/>
          <w:iCs/>
        </w:rPr>
        <w:t>O państwie Bożym,</w:t>
      </w:r>
      <w:r>
        <w:t xml:space="preserve"> tłum. W. Kornatowski, Warszawa 1997.</w:t>
      </w:r>
    </w:p>
    <w:p w14:paraId="3C653139" w14:textId="77777777" w:rsidR="00FD1169" w:rsidRDefault="00E62548" w:rsidP="00CF5C67">
      <w:pPr>
        <w:ind w:left="1134" w:hanging="1134"/>
      </w:pPr>
      <w:r>
        <w:t xml:space="preserve">Augustyn z Hippony, </w:t>
      </w:r>
      <w:r>
        <w:rPr>
          <w:i/>
          <w:iCs/>
        </w:rPr>
        <w:t xml:space="preserve">Wyznania, </w:t>
      </w:r>
      <w:r>
        <w:t>tłum. Z. Kubiak, Warszawa 1992.</w:t>
      </w:r>
    </w:p>
    <w:p w14:paraId="111E1EAB" w14:textId="77777777" w:rsidR="00FD1169" w:rsidRDefault="00E62548" w:rsidP="00CF5C67">
      <w:pPr>
        <w:ind w:left="1134" w:hanging="1134"/>
      </w:pPr>
      <w:r>
        <w:t xml:space="preserve">Boecjusz, </w:t>
      </w:r>
      <w:r>
        <w:rPr>
          <w:i/>
          <w:iCs/>
        </w:rPr>
        <w:t>O pocieszeniu, jakie daje filozofia,</w:t>
      </w:r>
      <w:r>
        <w:t xml:space="preserve"> tłum. W. Olszewski, Warszawa 1962.</w:t>
      </w:r>
    </w:p>
    <w:p w14:paraId="4B8B3A1F" w14:textId="77777777" w:rsidR="00FD1169" w:rsidRDefault="00E62548" w:rsidP="00CF5C67">
      <w:pPr>
        <w:ind w:left="1134" w:hanging="1134"/>
      </w:pPr>
      <w:r>
        <w:t xml:space="preserve">Boecjusz, </w:t>
      </w:r>
      <w:r>
        <w:rPr>
          <w:i/>
          <w:iCs/>
        </w:rPr>
        <w:t xml:space="preserve">Traktaty teologiczne, </w:t>
      </w:r>
      <w:r>
        <w:t>tłum. R. Bielak, A. Kijewska, Kęty 2007.</w:t>
      </w:r>
    </w:p>
    <w:p w14:paraId="37419359" w14:textId="77777777" w:rsidR="00FD1169" w:rsidRPr="00C45F5E" w:rsidRDefault="00E62548" w:rsidP="00CF5C67">
      <w:pPr>
        <w:ind w:left="1134" w:hanging="1134"/>
        <w:rPr>
          <w:lang w:val="en-US"/>
        </w:rPr>
      </w:pPr>
      <w:r w:rsidRPr="00C45F5E">
        <w:rPr>
          <w:lang w:val="en-US"/>
        </w:rPr>
        <w:t xml:space="preserve">Brown P., </w:t>
      </w:r>
      <w:r w:rsidRPr="00C45F5E">
        <w:rPr>
          <w:i/>
          <w:iCs/>
          <w:lang w:val="en-US"/>
        </w:rPr>
        <w:t>St. Thomas’ Doctrine of Necessary Being,</w:t>
      </w:r>
      <w:r w:rsidRPr="00C45F5E">
        <w:rPr>
          <w:lang w:val="en-US"/>
        </w:rPr>
        <w:t xml:space="preserve"> w: </w:t>
      </w:r>
      <w:r w:rsidRPr="00C45F5E">
        <w:rPr>
          <w:i/>
          <w:iCs/>
          <w:lang w:val="en-US"/>
        </w:rPr>
        <w:t>Aquinas. A Collection of Critical Essays</w:t>
      </w:r>
      <w:r w:rsidRPr="00C45F5E">
        <w:rPr>
          <w:lang w:val="en-US"/>
        </w:rPr>
        <w:t>, London 1970.</w:t>
      </w:r>
    </w:p>
    <w:p w14:paraId="69BEA03C" w14:textId="77777777" w:rsidR="00FD1169" w:rsidRDefault="00E62548" w:rsidP="00CF5C67">
      <w:pPr>
        <w:ind w:left="1134" w:hanging="1134"/>
      </w:pPr>
      <w:r>
        <w:t>Cyrek O.,</w:t>
      </w:r>
      <w:r>
        <w:rPr>
          <w:i/>
          <w:iCs/>
        </w:rPr>
        <w:t xml:space="preserve"> Wieczność jako pełnia życia i nieskończoność aktualna w kontekście doświadczenia czasu w ujęciu Boecjusza i Tomasza z Akwinu, </w:t>
      </w:r>
      <w:r>
        <w:t>„Studia Sandomierskie”, 29(2022), s.285-309.</w:t>
      </w:r>
    </w:p>
    <w:p w14:paraId="51161502" w14:textId="77777777" w:rsidR="00FD1169" w:rsidRDefault="00E62548" w:rsidP="00CF5C67">
      <w:pPr>
        <w:ind w:left="1134" w:hanging="1134"/>
      </w:pPr>
      <w:r>
        <w:t xml:space="preserve">Kowalewska M, </w:t>
      </w:r>
      <w:r>
        <w:rPr>
          <w:i/>
          <w:iCs/>
        </w:rPr>
        <w:t xml:space="preserve">Aevum quod est angeli duratio. Wiekuistość, czyli między wiecznością a czasem, </w:t>
      </w:r>
      <w:r>
        <w:t>„Ethos” 25(2012), s.117-133.</w:t>
      </w:r>
    </w:p>
    <w:p w14:paraId="5730C731" w14:textId="77777777" w:rsidR="00FD1169" w:rsidRDefault="00E62548" w:rsidP="00CF5C67">
      <w:pPr>
        <w:ind w:left="1134" w:hanging="1134"/>
      </w:pPr>
      <w:r>
        <w:t>Tomasz z Akwinu, S</w:t>
      </w:r>
      <w:r>
        <w:rPr>
          <w:i/>
          <w:iCs/>
        </w:rPr>
        <w:t xml:space="preserve">umma teologiczna. O Bogu, </w:t>
      </w:r>
      <w:r>
        <w:t>t. I, tłum. P. Bełch, Londyn 1986.</w:t>
      </w:r>
    </w:p>
    <w:p w14:paraId="05567800" w14:textId="77777777" w:rsidR="00FD1169" w:rsidRDefault="00FD1169" w:rsidP="00C45F5E">
      <w:pPr>
        <w:pStyle w:val="Textbody"/>
        <w:jc w:val="both"/>
      </w:pPr>
    </w:p>
    <w:p w14:paraId="61463944" w14:textId="77777777" w:rsidR="00FD1169" w:rsidRDefault="00FD1169" w:rsidP="00C45F5E">
      <w:pPr>
        <w:pStyle w:val="Textbody"/>
        <w:jc w:val="both"/>
      </w:pPr>
    </w:p>
    <w:sectPr w:rsidR="00FD1169">
      <w:pgSz w:w="11906" w:h="16838"/>
      <w:pgMar w:top="1417" w:right="1417"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1FA4" w14:textId="77777777" w:rsidR="00B303C2" w:rsidRDefault="00B303C2">
      <w:r>
        <w:separator/>
      </w:r>
    </w:p>
  </w:endnote>
  <w:endnote w:type="continuationSeparator" w:id="0">
    <w:p w14:paraId="45B9DF4D" w14:textId="77777777" w:rsidR="00B303C2" w:rsidRDefault="00B3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60E1" w14:textId="77777777" w:rsidR="00B303C2" w:rsidRDefault="00B303C2">
      <w:r>
        <w:rPr>
          <w:color w:val="000000"/>
        </w:rPr>
        <w:separator/>
      </w:r>
    </w:p>
  </w:footnote>
  <w:footnote w:type="continuationSeparator" w:id="0">
    <w:p w14:paraId="5E766EE5" w14:textId="77777777" w:rsidR="00B303C2" w:rsidRDefault="00B303C2">
      <w:r>
        <w:continuationSeparator/>
      </w:r>
    </w:p>
  </w:footnote>
  <w:footnote w:id="1">
    <w:p w14:paraId="520939E3" w14:textId="77777777" w:rsidR="00FD1169" w:rsidRDefault="00E62548">
      <w:pPr>
        <w:pStyle w:val="Footnote"/>
      </w:pPr>
      <w:r>
        <w:rPr>
          <w:rStyle w:val="FootnoteReference"/>
        </w:rPr>
        <w:footnoteRef/>
      </w:r>
      <w:r>
        <w:t xml:space="preserve">Por. Augustyn z Hippony, </w:t>
      </w:r>
      <w:r>
        <w:rPr>
          <w:i/>
          <w:iCs/>
        </w:rPr>
        <w:t xml:space="preserve">O państwie Bożym, </w:t>
      </w:r>
      <w:r>
        <w:t>XI, 6, tłum. W. Kornatowski, Warszawa 1997, s.15.</w:t>
      </w:r>
    </w:p>
  </w:footnote>
  <w:footnote w:id="2">
    <w:p w14:paraId="46FE98C6" w14:textId="77777777" w:rsidR="00FD1169" w:rsidRDefault="00E62548">
      <w:pPr>
        <w:pStyle w:val="Footnote"/>
      </w:pPr>
      <w:r>
        <w:rPr>
          <w:rStyle w:val="FootnoteReference"/>
        </w:rPr>
        <w:footnoteRef/>
      </w:r>
      <w:r>
        <w:t xml:space="preserve">Boecjusz, </w:t>
      </w:r>
      <w:r>
        <w:rPr>
          <w:i/>
          <w:iCs/>
        </w:rPr>
        <w:t xml:space="preserve">O pocieszeniu, jakie daje filozofia, </w:t>
      </w:r>
      <w:r>
        <w:t>V, 6, tłum. W. Olszewski, Warszawa 1962, s.141.</w:t>
      </w:r>
    </w:p>
  </w:footnote>
  <w:footnote w:id="3">
    <w:p w14:paraId="3037BF91" w14:textId="77777777" w:rsidR="00FD1169" w:rsidRDefault="00E62548">
      <w:pPr>
        <w:pStyle w:val="Footnote"/>
      </w:pPr>
      <w:r>
        <w:rPr>
          <w:rStyle w:val="FootnoteReference"/>
        </w:rPr>
        <w:footnoteRef/>
      </w:r>
      <w:r>
        <w:t xml:space="preserve">Por. Tomasz z Akwinu, </w:t>
      </w:r>
      <w:r>
        <w:rPr>
          <w:i/>
          <w:iCs/>
        </w:rPr>
        <w:t xml:space="preserve">Suma teologiczna. O Bogu, </w:t>
      </w:r>
      <w:r>
        <w:t>t. I, tłum. P. Bełch, Londyn 1986, s.104.</w:t>
      </w:r>
    </w:p>
  </w:footnote>
  <w:footnote w:id="4">
    <w:p w14:paraId="65BCFD22" w14:textId="77777777" w:rsidR="00FD1169" w:rsidRDefault="00E62548">
      <w:pPr>
        <w:pStyle w:val="Footnote"/>
      </w:pPr>
      <w:r>
        <w:rPr>
          <w:rStyle w:val="FootnoteReference"/>
        </w:rPr>
        <w:footnoteRef/>
      </w:r>
      <w:r>
        <w:t xml:space="preserve">Augustyn z Hippony, </w:t>
      </w:r>
      <w:r>
        <w:rPr>
          <w:i/>
          <w:iCs/>
        </w:rPr>
        <w:t xml:space="preserve">Wyznania, </w:t>
      </w:r>
      <w:r>
        <w:t>XI, 13, tłum. Z. Kubiak, Warszawa 1992, s. 282.</w:t>
      </w:r>
    </w:p>
  </w:footnote>
  <w:footnote w:id="5">
    <w:p w14:paraId="1E47EAEE" w14:textId="77777777" w:rsidR="00FD1169" w:rsidRDefault="00E62548">
      <w:pPr>
        <w:pStyle w:val="Footnote"/>
      </w:pPr>
      <w:r>
        <w:rPr>
          <w:rStyle w:val="FootnoteReference"/>
        </w:rPr>
        <w:footnoteRef/>
      </w:r>
      <w:r>
        <w:t xml:space="preserve">Por. Tomasz z Akwinu, </w:t>
      </w:r>
      <w:r>
        <w:rPr>
          <w:i/>
          <w:iCs/>
        </w:rPr>
        <w:t>Suma teologiczna. O Bogu</w:t>
      </w:r>
      <w:r>
        <w:t>, dz. cyt., s.104.</w:t>
      </w:r>
    </w:p>
  </w:footnote>
  <w:footnote w:id="6">
    <w:p w14:paraId="480C5D50" w14:textId="77777777" w:rsidR="00FD1169" w:rsidRDefault="00E62548">
      <w:pPr>
        <w:pStyle w:val="Footnote"/>
      </w:pPr>
      <w:r>
        <w:rPr>
          <w:rStyle w:val="FootnoteReference"/>
        </w:rPr>
        <w:footnoteRef/>
      </w:r>
      <w:r>
        <w:t>Por. Tamże.</w:t>
      </w:r>
    </w:p>
  </w:footnote>
  <w:footnote w:id="7">
    <w:p w14:paraId="1D64B063" w14:textId="77777777" w:rsidR="00FD1169" w:rsidRDefault="00E62548">
      <w:pPr>
        <w:pStyle w:val="Footnote"/>
      </w:pPr>
      <w:r>
        <w:rPr>
          <w:rStyle w:val="FootnoteReference"/>
        </w:rPr>
        <w:footnoteRef/>
      </w:r>
      <w:r>
        <w:t xml:space="preserve">Por. Boecjusz, </w:t>
      </w:r>
      <w:r>
        <w:rPr>
          <w:i/>
          <w:iCs/>
        </w:rPr>
        <w:t xml:space="preserve">Traktaty teologiczne, </w:t>
      </w:r>
      <w:r>
        <w:t>tłum. R. Bielak, A. Kijewska, Kęty 2007, s.67.</w:t>
      </w:r>
    </w:p>
  </w:footnote>
  <w:footnote w:id="8">
    <w:p w14:paraId="3ACF9624" w14:textId="77777777" w:rsidR="00FD1169" w:rsidRDefault="00E62548">
      <w:pPr>
        <w:pStyle w:val="Footnote"/>
      </w:pPr>
      <w:r>
        <w:rPr>
          <w:rStyle w:val="FootnoteReference"/>
        </w:rPr>
        <w:footnoteRef/>
      </w:r>
      <w:r>
        <w:t xml:space="preserve">Tomasz z Akwinu, </w:t>
      </w:r>
      <w:r>
        <w:rPr>
          <w:i/>
          <w:iCs/>
        </w:rPr>
        <w:t xml:space="preserve">Suma teologiczna..., </w:t>
      </w:r>
      <w:r>
        <w:t>dz. cyt., s.105.</w:t>
      </w:r>
    </w:p>
  </w:footnote>
  <w:footnote w:id="9">
    <w:p w14:paraId="48BFA431" w14:textId="77777777" w:rsidR="00FD1169" w:rsidRDefault="00E62548">
      <w:pPr>
        <w:pStyle w:val="Footnote"/>
      </w:pPr>
      <w:r>
        <w:rPr>
          <w:rStyle w:val="FootnoteReference"/>
        </w:rPr>
        <w:footnoteRef/>
      </w:r>
      <w:r>
        <w:t>Por. Tamże, s. 106.</w:t>
      </w:r>
    </w:p>
  </w:footnote>
  <w:footnote w:id="10">
    <w:p w14:paraId="7B0ABFB8" w14:textId="77777777" w:rsidR="00FD1169" w:rsidRDefault="00E62548">
      <w:pPr>
        <w:pStyle w:val="Footnote"/>
      </w:pPr>
      <w:r>
        <w:rPr>
          <w:rStyle w:val="FootnoteReference"/>
        </w:rPr>
        <w:footnoteRef/>
      </w:r>
      <w:r>
        <w:t xml:space="preserve">Por. Augustyn, </w:t>
      </w:r>
      <w:r>
        <w:rPr>
          <w:i/>
          <w:iCs/>
        </w:rPr>
        <w:t xml:space="preserve">Wyznania, </w:t>
      </w:r>
      <w:r>
        <w:t>dz. cyt., XI, 1, s.335.</w:t>
      </w:r>
    </w:p>
  </w:footnote>
  <w:footnote w:id="11">
    <w:p w14:paraId="6669E077" w14:textId="77777777" w:rsidR="00FD1169" w:rsidRDefault="00E62548">
      <w:pPr>
        <w:pStyle w:val="Footnote"/>
      </w:pPr>
      <w:r>
        <w:rPr>
          <w:rStyle w:val="FootnoteReference"/>
        </w:rPr>
        <w:footnoteRef/>
      </w:r>
      <w:r>
        <w:t xml:space="preserve">Tomasz z Akwinu, </w:t>
      </w:r>
      <w:r>
        <w:rPr>
          <w:i/>
          <w:iCs/>
        </w:rPr>
        <w:t xml:space="preserve">Suma..., </w:t>
      </w:r>
      <w:r>
        <w:t>dz. cyt., s. 106.</w:t>
      </w:r>
    </w:p>
  </w:footnote>
  <w:footnote w:id="12">
    <w:p w14:paraId="06D5215B" w14:textId="77777777" w:rsidR="00FD1169" w:rsidRDefault="00E62548">
      <w:pPr>
        <w:pStyle w:val="Footnote"/>
      </w:pPr>
      <w:r>
        <w:rPr>
          <w:rStyle w:val="FootnoteReference"/>
        </w:rPr>
        <w:footnoteRef/>
      </w:r>
      <w:r>
        <w:t xml:space="preserve">Por. O. Cyrek, </w:t>
      </w:r>
      <w:r>
        <w:rPr>
          <w:i/>
          <w:iCs/>
        </w:rPr>
        <w:t xml:space="preserve">Wieczność jako pełnia życia i nieskończoność aktualna w kontekście doświadczenia czasu w ujęciu Boecjusza i Tomasza z Akwinu, </w:t>
      </w:r>
      <w:r>
        <w:t>„Studia Sandomierskie”, 29(2022), s.300.</w:t>
      </w:r>
    </w:p>
  </w:footnote>
  <w:footnote w:id="13">
    <w:p w14:paraId="396D57A8" w14:textId="77777777" w:rsidR="00FD1169" w:rsidRDefault="00E62548">
      <w:pPr>
        <w:pStyle w:val="Footnote"/>
      </w:pPr>
      <w:r>
        <w:rPr>
          <w:rStyle w:val="FootnoteReference"/>
        </w:rPr>
        <w:footnoteRef/>
      </w:r>
      <w:r>
        <w:t xml:space="preserve">Tomasz z Akwinu, </w:t>
      </w:r>
      <w:r>
        <w:rPr>
          <w:i/>
          <w:iCs/>
        </w:rPr>
        <w:t xml:space="preserve">Suma..., </w:t>
      </w:r>
      <w:r>
        <w:t>dz. cyt., s. 106.</w:t>
      </w:r>
    </w:p>
  </w:footnote>
  <w:footnote w:id="14">
    <w:p w14:paraId="32C89954" w14:textId="77777777" w:rsidR="00FD1169" w:rsidRPr="00C45F5E" w:rsidRDefault="00E62548">
      <w:pPr>
        <w:pStyle w:val="Footnote"/>
        <w:rPr>
          <w:lang w:val="en-US"/>
        </w:rPr>
      </w:pPr>
      <w:r>
        <w:rPr>
          <w:rStyle w:val="FootnoteReference"/>
        </w:rPr>
        <w:footnoteRef/>
      </w:r>
      <w:r w:rsidRPr="00C45F5E">
        <w:rPr>
          <w:lang w:val="en-US"/>
        </w:rPr>
        <w:t>Por. KKK 212.</w:t>
      </w:r>
    </w:p>
  </w:footnote>
  <w:footnote w:id="15">
    <w:p w14:paraId="54AF086D" w14:textId="77777777" w:rsidR="00FD1169" w:rsidRPr="00C45F5E" w:rsidRDefault="00E62548">
      <w:pPr>
        <w:pStyle w:val="Footnote"/>
        <w:rPr>
          <w:lang w:val="en-US"/>
        </w:rPr>
      </w:pPr>
      <w:r>
        <w:rPr>
          <w:rStyle w:val="FootnoteReference"/>
        </w:rPr>
        <w:footnoteRef/>
      </w:r>
      <w:r w:rsidRPr="00C45F5E">
        <w:rPr>
          <w:lang w:val="en-US"/>
        </w:rPr>
        <w:t xml:space="preserve">Por. P. Brown, </w:t>
      </w:r>
      <w:r w:rsidRPr="00C45F5E">
        <w:rPr>
          <w:i/>
          <w:iCs/>
          <w:lang w:val="en-US"/>
        </w:rPr>
        <w:t>St. Thomas’ Doctrine of Necessary Being,</w:t>
      </w:r>
      <w:r w:rsidRPr="00C45F5E">
        <w:rPr>
          <w:lang w:val="en-US"/>
        </w:rPr>
        <w:t xml:space="preserve"> w: </w:t>
      </w:r>
      <w:r w:rsidRPr="00C45F5E">
        <w:rPr>
          <w:i/>
          <w:iCs/>
          <w:lang w:val="en-US"/>
        </w:rPr>
        <w:t>Aquinas. A Collection of Critical Essays</w:t>
      </w:r>
      <w:r w:rsidRPr="00C45F5E">
        <w:rPr>
          <w:lang w:val="en-US"/>
        </w:rPr>
        <w:t>, London 1970.</w:t>
      </w:r>
    </w:p>
  </w:footnote>
  <w:footnote w:id="16">
    <w:p w14:paraId="59E3206D" w14:textId="77777777" w:rsidR="00FD1169" w:rsidRPr="00C45F5E" w:rsidRDefault="00E62548">
      <w:pPr>
        <w:pStyle w:val="Footnote"/>
        <w:rPr>
          <w:lang w:val="en-US"/>
        </w:rPr>
      </w:pPr>
      <w:r>
        <w:rPr>
          <w:rStyle w:val="FootnoteReference"/>
        </w:rPr>
        <w:footnoteRef/>
      </w:r>
      <w:r w:rsidRPr="00C45F5E">
        <w:rPr>
          <w:lang w:val="en-US"/>
        </w:rPr>
        <w:t xml:space="preserve">Por. Tomasz z Akwinu, </w:t>
      </w:r>
      <w:r w:rsidRPr="00C45F5E">
        <w:rPr>
          <w:i/>
          <w:iCs/>
          <w:lang w:val="en-US"/>
        </w:rPr>
        <w:t xml:space="preserve">Suma..., </w:t>
      </w:r>
      <w:r w:rsidRPr="00C45F5E">
        <w:rPr>
          <w:lang w:val="en-US"/>
        </w:rPr>
        <w:t>dz. cyt., s.108.</w:t>
      </w:r>
    </w:p>
  </w:footnote>
  <w:footnote w:id="17">
    <w:p w14:paraId="795FE5D6" w14:textId="77777777" w:rsidR="00FD1169" w:rsidRDefault="00E62548">
      <w:pPr>
        <w:pStyle w:val="Footnote"/>
      </w:pPr>
      <w:r>
        <w:rPr>
          <w:rStyle w:val="FootnoteReference"/>
        </w:rPr>
        <w:footnoteRef/>
      </w:r>
      <w:r>
        <w:t xml:space="preserve">Por. O. Cyrek, </w:t>
      </w:r>
      <w:r>
        <w:rPr>
          <w:i/>
          <w:iCs/>
        </w:rPr>
        <w:t xml:space="preserve">Wieczność jako pełnia życia..., </w:t>
      </w:r>
      <w:r>
        <w:t>art. cyt., s.291.</w:t>
      </w:r>
    </w:p>
  </w:footnote>
  <w:footnote w:id="18">
    <w:p w14:paraId="6F0146B0" w14:textId="77777777" w:rsidR="00FD1169" w:rsidRDefault="00E62548">
      <w:pPr>
        <w:pStyle w:val="Footnote"/>
      </w:pPr>
      <w:r>
        <w:rPr>
          <w:rStyle w:val="FootnoteReference"/>
        </w:rPr>
        <w:footnoteRef/>
      </w:r>
      <w:r>
        <w:t>Por. Tamże.</w:t>
      </w:r>
    </w:p>
  </w:footnote>
  <w:footnote w:id="19">
    <w:p w14:paraId="1F01C932" w14:textId="77777777" w:rsidR="00FD1169" w:rsidRDefault="00E62548">
      <w:pPr>
        <w:pStyle w:val="Footnote"/>
      </w:pPr>
      <w:r>
        <w:rPr>
          <w:rStyle w:val="FootnoteReference"/>
        </w:rPr>
        <w:footnoteRef/>
      </w:r>
      <w:r>
        <w:t>Tamże, s. 109.</w:t>
      </w:r>
    </w:p>
  </w:footnote>
  <w:footnote w:id="20">
    <w:p w14:paraId="2290555D" w14:textId="77777777" w:rsidR="00FD1169" w:rsidRDefault="00E62548">
      <w:pPr>
        <w:pStyle w:val="Footnote"/>
      </w:pPr>
      <w:r>
        <w:rPr>
          <w:rStyle w:val="FootnoteReference"/>
        </w:rPr>
        <w:footnoteRef/>
      </w:r>
      <w:r>
        <w:t>Por. Tamże, s.110.</w:t>
      </w:r>
    </w:p>
  </w:footnote>
  <w:footnote w:id="21">
    <w:p w14:paraId="16278E3B" w14:textId="77777777" w:rsidR="00FD1169" w:rsidRDefault="00E62548">
      <w:pPr>
        <w:pStyle w:val="Footnote"/>
      </w:pPr>
      <w:r>
        <w:rPr>
          <w:rStyle w:val="FootnoteReference"/>
        </w:rPr>
        <w:footnoteRef/>
      </w:r>
      <w:r>
        <w:t>Por. Tamże, s.111.</w:t>
      </w:r>
    </w:p>
  </w:footnote>
  <w:footnote w:id="22">
    <w:p w14:paraId="06881ED1" w14:textId="77777777" w:rsidR="00FD1169" w:rsidRDefault="00E62548">
      <w:pPr>
        <w:pStyle w:val="Footnote"/>
      </w:pPr>
      <w:r>
        <w:rPr>
          <w:rStyle w:val="FootnoteReference"/>
        </w:rPr>
        <w:footnoteRef/>
      </w:r>
      <w:r>
        <w:t xml:space="preserve">Por. M. Kowalewska, </w:t>
      </w:r>
      <w:r>
        <w:rPr>
          <w:i/>
          <w:iCs/>
        </w:rPr>
        <w:t xml:space="preserve">Aevum quod est angeli duratio. Wiekuistość, czyli między wiecznością a czasem, </w:t>
      </w:r>
      <w:r>
        <w:t>„Ethos” 25(2012), s.121.</w:t>
      </w:r>
    </w:p>
  </w:footnote>
  <w:footnote w:id="23">
    <w:p w14:paraId="2F12DFF0" w14:textId="77777777" w:rsidR="00FD1169" w:rsidRDefault="00E62548">
      <w:pPr>
        <w:pStyle w:val="Footnote"/>
      </w:pPr>
      <w:r>
        <w:rPr>
          <w:rStyle w:val="FootnoteReference"/>
        </w:rPr>
        <w:footnoteRef/>
      </w:r>
      <w:r>
        <w:t xml:space="preserve">Por. Isidorus, </w:t>
      </w:r>
      <w:r>
        <w:rPr>
          <w:i/>
          <w:iCs/>
        </w:rPr>
        <w:t xml:space="preserve">Etymologiarum sive originum libri XX, </w:t>
      </w:r>
      <w:r>
        <w:t>lib. V, s.38.</w:t>
      </w:r>
    </w:p>
  </w:footnote>
  <w:footnote w:id="24">
    <w:p w14:paraId="0225D3E1" w14:textId="77777777" w:rsidR="00FD1169" w:rsidRDefault="00E62548">
      <w:pPr>
        <w:pStyle w:val="Footnote"/>
      </w:pPr>
      <w:r>
        <w:rPr>
          <w:rStyle w:val="FootnoteReference"/>
        </w:rPr>
        <w:footnoteRef/>
      </w:r>
      <w:r>
        <w:t xml:space="preserve">Por. Tomasz z Akwinu, </w:t>
      </w:r>
      <w:r>
        <w:rPr>
          <w:i/>
          <w:iCs/>
        </w:rPr>
        <w:t xml:space="preserve">Suma teologiczna, </w:t>
      </w:r>
      <w:r>
        <w:t>dz. cyt., s.112.</w:t>
      </w:r>
    </w:p>
  </w:footnote>
  <w:footnote w:id="25">
    <w:p w14:paraId="003E227A" w14:textId="77777777" w:rsidR="00FD1169" w:rsidRDefault="00E62548">
      <w:pPr>
        <w:pStyle w:val="Footnote"/>
      </w:pPr>
      <w:r>
        <w:rPr>
          <w:rStyle w:val="FootnoteReference"/>
        </w:rPr>
        <w:footnoteRef/>
      </w:r>
      <w:r>
        <w:t>Tamże.</w:t>
      </w:r>
    </w:p>
  </w:footnote>
  <w:footnote w:id="26">
    <w:p w14:paraId="6ABD5D97" w14:textId="77777777" w:rsidR="00FD1169" w:rsidRDefault="00E62548">
      <w:pPr>
        <w:pStyle w:val="Footnote"/>
      </w:pPr>
      <w:r>
        <w:rPr>
          <w:rStyle w:val="FootnoteReference"/>
        </w:rPr>
        <w:footnoteRef/>
      </w:r>
      <w:r>
        <w:t xml:space="preserve">Cyt. za: Tomasz z Akwinu, </w:t>
      </w:r>
      <w:r>
        <w:rPr>
          <w:i/>
          <w:iCs/>
        </w:rPr>
        <w:t xml:space="preserve">Suma teologiczna, </w:t>
      </w:r>
      <w:r>
        <w:t>dz. cyt., s.113.</w:t>
      </w:r>
    </w:p>
  </w:footnote>
  <w:footnote w:id="27">
    <w:p w14:paraId="7DBC4E53" w14:textId="77777777" w:rsidR="00FD1169" w:rsidRDefault="00E62548">
      <w:pPr>
        <w:pStyle w:val="Footnote"/>
      </w:pPr>
      <w:r>
        <w:rPr>
          <w:rStyle w:val="FootnoteReference"/>
        </w:rPr>
        <w:footnoteRef/>
      </w:r>
      <w:r>
        <w:t>Tamże, s.114.</w:t>
      </w:r>
    </w:p>
  </w:footnote>
  <w:footnote w:id="28">
    <w:p w14:paraId="3C15CC59" w14:textId="77777777" w:rsidR="00FD1169" w:rsidRDefault="00E62548">
      <w:pPr>
        <w:pStyle w:val="Footnote"/>
      </w:pPr>
      <w:r>
        <w:rPr>
          <w:rStyle w:val="FootnoteReference"/>
        </w:rPr>
        <w:footnoteRef/>
      </w:r>
      <w:r>
        <w:t>Por. Tamże.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FD1169"/>
    <w:rsid w:val="00012BD2"/>
    <w:rsid w:val="00296F87"/>
    <w:rsid w:val="00305A79"/>
    <w:rsid w:val="00374F39"/>
    <w:rsid w:val="00391E9F"/>
    <w:rsid w:val="003C4169"/>
    <w:rsid w:val="004E60A7"/>
    <w:rsid w:val="0063514D"/>
    <w:rsid w:val="00816C30"/>
    <w:rsid w:val="00834F9F"/>
    <w:rsid w:val="0090066F"/>
    <w:rsid w:val="009D2A69"/>
    <w:rsid w:val="009D697C"/>
    <w:rsid w:val="009F75C5"/>
    <w:rsid w:val="00AB1730"/>
    <w:rsid w:val="00B303C2"/>
    <w:rsid w:val="00BD2D3F"/>
    <w:rsid w:val="00C45F5E"/>
    <w:rsid w:val="00CC09C2"/>
    <w:rsid w:val="00CD0063"/>
    <w:rsid w:val="00CF5C67"/>
    <w:rsid w:val="00DE3C1D"/>
    <w:rsid w:val="00E45A77"/>
    <w:rsid w:val="00E62548"/>
    <w:rsid w:val="00F50C32"/>
    <w:rsid w:val="00F77EA0"/>
    <w:rsid w:val="00FD1169"/>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AD7D"/>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Textbody"/>
    <w:pPr>
      <w:outlineLvl w:val="1"/>
    </w:pPr>
    <w:rPr>
      <w:rFonts w:ascii="Times New Roman" w:eastAsia="SimSu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character" w:styleId="Emphasis">
    <w:name w:val="Emphasis"/>
    <w:rPr>
      <w:i/>
      <w:iCs/>
    </w:rPr>
  </w:style>
  <w:style w:type="character" w:customStyle="1" w:styleId="StrongEmphasis">
    <w:name w:val="Strong Emphasis"/>
    <w:rPr>
      <w:b/>
      <w:bCs/>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styleId="FootnoteReference">
    <w:name w:val="footnote reference"/>
    <w:basedOn w:val="DefaultParagraphFont"/>
    <w:uiPriority w:val="99"/>
    <w:semiHidden/>
    <w:unhideWhenUsed/>
    <w:rPr>
      <w:vertAlign w:val="superscript"/>
    </w:rPr>
  </w:style>
  <w:style w:type="paragraph" w:styleId="NoSpacing">
    <w:name w:val="No Spacing"/>
    <w:aliases w:val="ulubiony"/>
    <w:uiPriority w:val="1"/>
    <w:qFormat/>
    <w:rsid w:val="00CF5C67"/>
    <w:pPr>
      <w:widowControl/>
      <w:suppressAutoHyphens w:val="0"/>
      <w:autoSpaceDN/>
      <w:textAlignment w:val="auto"/>
    </w:pPr>
    <w:rPr>
      <w:rFonts w:eastAsia="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0176-543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2993</Words>
  <Characters>17066</Characters>
  <Application>Microsoft Office Word</Application>
  <DocSecurity>0</DocSecurity>
  <Lines>142</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Bożena Futoma-Kołoch</cp:lastModifiedBy>
  <cp:revision>3</cp:revision>
  <dcterms:created xsi:type="dcterms:W3CDTF">2026-03-20T18:54:00Z</dcterms:created>
  <dcterms:modified xsi:type="dcterms:W3CDTF">2026-07-07T11:50:00Z</dcterms:modified>
</cp:coreProperties>
</file>