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F931" w14:textId="77E4B2B4" w:rsidR="00DF681D" w:rsidRPr="00B26F1F" w:rsidRDefault="00DF681D" w:rsidP="00DF681D">
      <w:pPr>
        <w:pStyle w:val="NoSpacing"/>
        <w:rPr>
          <w:lang w:val="en-US"/>
        </w:rPr>
      </w:pPr>
      <w:r w:rsidRPr="00B26F1F">
        <w:rPr>
          <w:u w:val="single"/>
          <w:lang w:val="en-US"/>
        </w:rPr>
        <w:t>KS. JAROSŁAW M. LIPNIAK</w:t>
      </w:r>
      <w:r w:rsidRPr="00B26F1F">
        <w:rPr>
          <w:u w:val="single"/>
          <w:lang w:val="en-US"/>
        </w:rPr>
        <w:br/>
      </w:r>
      <w:r w:rsidRPr="00B26F1F">
        <w:rPr>
          <w:lang w:val="en-US"/>
        </w:rPr>
        <w:t xml:space="preserve">Pontifical Faculty of Theology in Wroclaw, Poland </w:t>
      </w:r>
      <w:r w:rsidRPr="00B26F1F">
        <w:rPr>
          <w:lang w:val="en-US"/>
        </w:rPr>
        <w:br/>
        <w:t xml:space="preserve">e-mail: </w:t>
      </w:r>
      <w:hyperlink r:id="rId8" w:history="1">
        <w:r w:rsidRPr="00B26F1F">
          <w:rPr>
            <w:rStyle w:val="Hyperlink"/>
            <w:lang w:val="en-US"/>
          </w:rPr>
          <w:t>pallotti@poczta.onet.pl</w:t>
        </w:r>
      </w:hyperlink>
      <w:r w:rsidRPr="00B26F1F">
        <w:rPr>
          <w:lang w:val="en-US"/>
        </w:rPr>
        <w:br/>
        <w:t>ORCID: 0000-0002-3809-1142</w:t>
      </w:r>
      <w:r w:rsidRPr="00B26F1F">
        <w:rPr>
          <w:lang w:val="en-US"/>
        </w:rPr>
        <w:br/>
        <w:t>DOI:</w:t>
      </w:r>
      <w:r w:rsidR="00E27BF7">
        <w:rPr>
          <w:lang w:val="en-US"/>
        </w:rPr>
        <w:t xml:space="preserve"> </w:t>
      </w:r>
      <w:r w:rsidR="00E27BF7" w:rsidRPr="00E27BF7">
        <w:rPr>
          <w:lang w:val="en-US"/>
        </w:rPr>
        <w:t>10.48224/COM-231-2025-86</w:t>
      </w:r>
    </w:p>
    <w:p w14:paraId="4B56B387" w14:textId="77777777" w:rsidR="00DF681D" w:rsidRPr="00B26F1F" w:rsidRDefault="00DF681D" w:rsidP="00DF681D">
      <w:pPr>
        <w:pStyle w:val="NoSpacing"/>
        <w:jc w:val="both"/>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DF681D" w:rsidRPr="00B26F1F" w14:paraId="158F9CD6" w14:textId="77777777" w:rsidTr="00D11A8C">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58321D01" w14:textId="77777777" w:rsidR="00DF681D" w:rsidRPr="00B26F1F" w:rsidRDefault="00DF681D" w:rsidP="00D11A8C">
            <w:pPr>
              <w:pStyle w:val="NoSpacing"/>
              <w:jc w:val="center"/>
              <w:rPr>
                <w:sz w:val="20"/>
                <w:szCs w:val="20"/>
              </w:rPr>
            </w:pPr>
            <w:r w:rsidRPr="00B26F1F">
              <w:rPr>
                <w:sz w:val="20"/>
                <w:szCs w:val="20"/>
                <w:lang w:val="en-US"/>
              </w:rPr>
              <w:br/>
            </w:r>
            <w:r>
              <w:rPr>
                <w:sz w:val="20"/>
                <w:szCs w:val="20"/>
              </w:rPr>
              <w:t>Communio 45(2025)3</w:t>
            </w:r>
            <w:r w:rsidRPr="00B26F1F">
              <w:rPr>
                <w:sz w:val="20"/>
                <w:szCs w:val="20"/>
              </w:rPr>
              <w:t>, s. 2-2</w:t>
            </w:r>
          </w:p>
        </w:tc>
      </w:tr>
    </w:tbl>
    <w:p w14:paraId="41807FAE" w14:textId="77777777" w:rsidR="00DF681D" w:rsidRPr="00B26F1F" w:rsidRDefault="00DF681D" w:rsidP="00DF681D">
      <w:pPr>
        <w:pStyle w:val="NoSpacing"/>
        <w:jc w:val="both"/>
        <w:rPr>
          <w:b/>
        </w:rPr>
      </w:pPr>
    </w:p>
    <w:p w14:paraId="79AF0A0D" w14:textId="77777777" w:rsidR="00983B51" w:rsidRDefault="00983B51" w:rsidP="00983B51">
      <w:pPr>
        <w:jc w:val="both"/>
        <w:rPr>
          <w:rFonts w:ascii="Arial" w:eastAsia="Times New Roman" w:hAnsi="Arial" w:cs="Arial"/>
          <w:color w:val="0A0A0A"/>
          <w:lang w:eastAsia="pl-PL"/>
        </w:rPr>
      </w:pPr>
    </w:p>
    <w:p w14:paraId="4B219EBD" w14:textId="77777777" w:rsidR="00983B51" w:rsidRDefault="00983B51" w:rsidP="00983B51">
      <w:pPr>
        <w:jc w:val="center"/>
        <w:rPr>
          <w:rFonts w:eastAsia="Times New Roman"/>
          <w:b/>
          <w:bCs/>
          <w:color w:val="0A0A0A"/>
          <w:lang w:eastAsia="pl-PL"/>
        </w:rPr>
      </w:pPr>
      <w:r w:rsidRPr="00983B51">
        <w:rPr>
          <w:rFonts w:eastAsia="Times New Roman"/>
          <w:b/>
          <w:bCs/>
          <w:color w:val="0A0A0A"/>
          <w:lang w:eastAsia="pl-PL"/>
        </w:rPr>
        <w:t>Pięć skutków łaski w teologii Tomasza z Akwinu</w:t>
      </w:r>
    </w:p>
    <w:p w14:paraId="63D3A8FA" w14:textId="77777777" w:rsidR="002E0C1B" w:rsidRPr="002E0C1B" w:rsidRDefault="002E0C1B" w:rsidP="002E0C1B">
      <w:pPr>
        <w:jc w:val="center"/>
        <w:rPr>
          <w:b/>
          <w:lang w:val="en-US"/>
        </w:rPr>
      </w:pPr>
      <w:r w:rsidRPr="002E0C1B">
        <w:rPr>
          <w:b/>
          <w:lang w:val="en-US"/>
        </w:rPr>
        <w:t>The Five Effects of Grace in t</w:t>
      </w:r>
      <w:r>
        <w:rPr>
          <w:b/>
          <w:lang w:val="en-US"/>
        </w:rPr>
        <w:t>he Theology of Thomas Aquinas</w:t>
      </w:r>
      <w:r w:rsidRPr="002E0C1B">
        <w:rPr>
          <w:b/>
          <w:lang w:val="en-US"/>
        </w:rPr>
        <w:t xml:space="preserve"> </w:t>
      </w:r>
    </w:p>
    <w:p w14:paraId="4A066360" w14:textId="77777777" w:rsidR="002E0C1B" w:rsidRPr="002E0C1B" w:rsidRDefault="002E0C1B" w:rsidP="002E0C1B">
      <w:pPr>
        <w:spacing w:line="240" w:lineRule="auto"/>
        <w:jc w:val="center"/>
        <w:rPr>
          <w:b/>
          <w:sz w:val="20"/>
          <w:szCs w:val="20"/>
          <w:lang w:val="en-US"/>
        </w:rPr>
      </w:pPr>
      <w:r w:rsidRPr="002E0C1B">
        <w:rPr>
          <w:b/>
          <w:sz w:val="20"/>
          <w:szCs w:val="20"/>
          <w:lang w:val="en-US"/>
        </w:rPr>
        <w:t xml:space="preserve">Abstract   </w:t>
      </w:r>
    </w:p>
    <w:p w14:paraId="721F2A92" w14:textId="77777777" w:rsidR="002E0C1B" w:rsidRPr="002E0C1B" w:rsidRDefault="002E0C1B" w:rsidP="002E0C1B">
      <w:pPr>
        <w:spacing w:line="240" w:lineRule="auto"/>
        <w:jc w:val="both"/>
        <w:rPr>
          <w:bCs/>
          <w:sz w:val="20"/>
          <w:szCs w:val="20"/>
          <w:lang w:val="en-US"/>
        </w:rPr>
      </w:pPr>
      <w:r w:rsidRPr="002E0C1B">
        <w:rPr>
          <w:bCs/>
          <w:sz w:val="20"/>
          <w:szCs w:val="20"/>
          <w:lang w:val="en-US"/>
        </w:rPr>
        <w:t xml:space="preserve">In the theology of Thomas Aquinas, grace perfects nature. It does not destroy it, but elevates it to a higher, supernatural level, enabling a person to love God and their neighbor. Aquinas recognizes five fundamental effects that grace accomplishes over time. These are: the healing of the soul, the movement toward good actions, the effective performance of good deeds, perseverance in good, and the attainment of heavenly glory. From these basic effects of grace, Thomas derives numerous other resulting effects. The effects described by the Angelic Doctor perfectly illustrate the path of spiritual development for humanity. Each of these stages reveals not only the transformation that grace brings into our lives, but also the dynamics of our relationship with God and our neighbors. The Church Doctor presents a complex and beautiful journey of spiritual growth that leads from healing to eternal glory. Each of these stages is essential to fully understand the value of grace in our lives and the power of divine love, which empowers us to shape a better world and discover the depths of our relationship with God.  </w:t>
      </w:r>
    </w:p>
    <w:p w14:paraId="30B114EE" w14:textId="77777777" w:rsidR="002E0C1B" w:rsidRPr="002E0C1B" w:rsidRDefault="002E0C1B" w:rsidP="002E0C1B">
      <w:pPr>
        <w:spacing w:line="240" w:lineRule="auto"/>
        <w:jc w:val="both"/>
        <w:rPr>
          <w:bCs/>
          <w:sz w:val="20"/>
          <w:szCs w:val="20"/>
          <w:lang w:val="en-US"/>
        </w:rPr>
      </w:pPr>
      <w:r w:rsidRPr="002E0C1B">
        <w:rPr>
          <w:b/>
          <w:sz w:val="20"/>
          <w:szCs w:val="20"/>
          <w:lang w:val="en-US"/>
        </w:rPr>
        <w:t>Keywords:</w:t>
      </w:r>
      <w:r w:rsidRPr="002E0C1B">
        <w:rPr>
          <w:bCs/>
          <w:sz w:val="20"/>
          <w:szCs w:val="20"/>
          <w:lang w:val="en-US"/>
        </w:rPr>
        <w:t xml:space="preserve"> Grace – Thomas Aquinas – Justification – Soul – Healing – Good – Heaven</w:t>
      </w:r>
    </w:p>
    <w:p w14:paraId="147CCBE6" w14:textId="77777777" w:rsidR="00DF681D" w:rsidRPr="002E0C1B" w:rsidRDefault="00DF681D" w:rsidP="002E0C1B">
      <w:pPr>
        <w:spacing w:line="240" w:lineRule="auto"/>
        <w:jc w:val="center"/>
        <w:rPr>
          <w:b/>
          <w:sz w:val="20"/>
          <w:szCs w:val="20"/>
        </w:rPr>
      </w:pPr>
      <w:r w:rsidRPr="002E0C1B">
        <w:rPr>
          <w:b/>
          <w:sz w:val="20"/>
          <w:szCs w:val="20"/>
        </w:rPr>
        <w:t>Streszczenie</w:t>
      </w:r>
    </w:p>
    <w:p w14:paraId="12A6FD71" w14:textId="77777777" w:rsidR="00DF681D" w:rsidRPr="002E0C1B" w:rsidRDefault="00DF681D" w:rsidP="002E0C1B">
      <w:pPr>
        <w:pStyle w:val="NoSpacing"/>
        <w:ind w:firstLine="709"/>
        <w:jc w:val="both"/>
        <w:rPr>
          <w:color w:val="09090B"/>
          <w:sz w:val="20"/>
          <w:szCs w:val="20"/>
          <w:shd w:val="clear" w:color="auto" w:fill="FFFFFF"/>
        </w:rPr>
      </w:pPr>
      <w:r w:rsidRPr="002E0C1B">
        <w:rPr>
          <w:bCs/>
          <w:sz w:val="20"/>
          <w:szCs w:val="20"/>
        </w:rPr>
        <w:t>W teologii Tomasza z Akwinu łaska doskonali naturę</w:t>
      </w:r>
      <w:r w:rsidRPr="002E0C1B">
        <w:rPr>
          <w:rFonts w:eastAsia="Times New Roman"/>
          <w:bCs/>
          <w:color w:val="0A0A0A"/>
          <w:sz w:val="20"/>
          <w:szCs w:val="20"/>
          <w:lang w:eastAsia="pl-PL"/>
        </w:rPr>
        <w:t xml:space="preserve">. Nie niszczy </w:t>
      </w:r>
      <w:proofErr w:type="gramStart"/>
      <w:r w:rsidRPr="002E0C1B">
        <w:rPr>
          <w:rFonts w:eastAsia="Times New Roman"/>
          <w:bCs/>
          <w:color w:val="0A0A0A"/>
          <w:sz w:val="20"/>
          <w:szCs w:val="20"/>
          <w:lang w:eastAsia="pl-PL"/>
        </w:rPr>
        <w:t>jej</w:t>
      </w:r>
      <w:proofErr w:type="gramEnd"/>
      <w:r w:rsidRPr="002E0C1B">
        <w:rPr>
          <w:rFonts w:eastAsia="Times New Roman"/>
          <w:bCs/>
          <w:color w:val="0A0A0A"/>
          <w:sz w:val="20"/>
          <w:szCs w:val="20"/>
          <w:lang w:eastAsia="pl-PL"/>
        </w:rPr>
        <w:t xml:space="preserve"> lecz podnosi ją do wyższego, nadprzyrodzonego poziomu, uzdalniając do miłości Boga i bliźniego. Akwinata</w:t>
      </w:r>
      <w:r w:rsidRPr="002E0C1B">
        <w:rPr>
          <w:rStyle w:val="Teksttreci"/>
          <w:rFonts w:ascii="Times New Roman" w:hAnsi="Times New Roman" w:cs="Times New Roman"/>
          <w:bCs/>
          <w:sz w:val="20"/>
          <w:szCs w:val="20"/>
        </w:rPr>
        <w:t xml:space="preserve"> przyjmuje pięć pod</w:t>
      </w:r>
      <w:r w:rsidRPr="002E0C1B">
        <w:rPr>
          <w:rStyle w:val="Teksttreci"/>
          <w:rFonts w:ascii="Times New Roman" w:hAnsi="Times New Roman" w:cs="Times New Roman"/>
          <w:bCs/>
          <w:sz w:val="20"/>
          <w:szCs w:val="20"/>
        </w:rPr>
        <w:softHyphen/>
        <w:t xml:space="preserve">stawowych skutków, jakich łaska dokonuje w czasie. Są to: uzdrowienie duszy, poruszenie do dobrego działania, skuteczne wykonanie dobrego czynu, wytrwanie w dobrym i osiągnięcie chwały nieba. Z tych podstawowych skutków łaski Tomasz wyprowadza liczne inne z nich wynikające. Opisane przez Doktora Anielskiego skutki </w:t>
      </w:r>
      <w:r w:rsidRPr="002E0C1B">
        <w:rPr>
          <w:color w:val="09090B"/>
          <w:sz w:val="20"/>
          <w:szCs w:val="20"/>
          <w:shd w:val="clear" w:color="auto" w:fill="FFFFFF"/>
        </w:rPr>
        <w:t>doskonale ilustrują drogę duchowego rozwoju człowieka. Każdy z tych etapów ukazuje nie tylko przemianę, jaką łaska wprowadza w nasze życie, ale także dynamikę naszej relacji z Bogiem i naszymi bliźnimi. Doktor Kościoła ukazuje złożoną i piękną drogę duchowego rozwoju, która prowadzi od uzdrowienia do wiecznej chwały. Każdy z tych etapów jest niezbędny, aby w pełni zrozumieć wartość łaski w naszym życiu oraz potęgę Bożej miłości, która uzdalnia nas do lepienia lepszego świata i odkrywania głębi naszej relacji z Bogiem.</w:t>
      </w:r>
    </w:p>
    <w:p w14:paraId="2B558516" w14:textId="77777777" w:rsidR="00DF681D" w:rsidRPr="002E0C1B" w:rsidRDefault="00DF681D" w:rsidP="002E0C1B">
      <w:pPr>
        <w:pStyle w:val="NoSpacing"/>
        <w:jc w:val="both"/>
        <w:rPr>
          <w:color w:val="09090B"/>
          <w:sz w:val="20"/>
          <w:szCs w:val="20"/>
          <w:shd w:val="clear" w:color="auto" w:fill="FFFFFF"/>
        </w:rPr>
      </w:pPr>
    </w:p>
    <w:p w14:paraId="0ADF56D7" w14:textId="77777777" w:rsidR="00DF681D" w:rsidRPr="002E0C1B" w:rsidRDefault="00DF681D" w:rsidP="002E0C1B">
      <w:pPr>
        <w:pStyle w:val="NoSpacing"/>
        <w:jc w:val="both"/>
        <w:rPr>
          <w:sz w:val="20"/>
          <w:szCs w:val="20"/>
          <w:lang w:eastAsia="pl-PL"/>
        </w:rPr>
      </w:pPr>
      <w:r w:rsidRPr="002E0C1B">
        <w:rPr>
          <w:b/>
          <w:bCs/>
          <w:color w:val="09090B"/>
          <w:sz w:val="20"/>
          <w:szCs w:val="20"/>
          <w:shd w:val="clear" w:color="auto" w:fill="FFFFFF"/>
        </w:rPr>
        <w:t>Słowa kluczowe:</w:t>
      </w:r>
      <w:r w:rsidRPr="002E0C1B">
        <w:rPr>
          <w:color w:val="09090B"/>
          <w:sz w:val="20"/>
          <w:szCs w:val="20"/>
          <w:shd w:val="clear" w:color="auto" w:fill="FFFFFF"/>
        </w:rPr>
        <w:t xml:space="preserve"> Łaska – Tomasz z Akwinu – usprawiedliwienie – dusza – uzdrowienie – dobro - niebo</w:t>
      </w:r>
    </w:p>
    <w:p w14:paraId="35133246" w14:textId="77777777" w:rsidR="00DF681D" w:rsidRPr="00983B51" w:rsidRDefault="00DF681D" w:rsidP="00983B51">
      <w:pPr>
        <w:jc w:val="center"/>
        <w:rPr>
          <w:b/>
          <w:bCs/>
        </w:rPr>
      </w:pPr>
    </w:p>
    <w:p w14:paraId="3C7C7BCD" w14:textId="77777777" w:rsidR="008501BC" w:rsidRDefault="001D4C27" w:rsidP="00B83B12">
      <w:pPr>
        <w:spacing w:after="0" w:line="240" w:lineRule="auto"/>
        <w:ind w:firstLine="708"/>
        <w:jc w:val="both"/>
        <w:rPr>
          <w:bCs/>
        </w:rPr>
      </w:pPr>
      <w:r w:rsidRPr="001D4C27">
        <w:rPr>
          <w:bCs/>
        </w:rPr>
        <w:t>W łasce, która usprawiedliwia grzesznika, skupiają się wszystkie ważne tematy chrześcijańskiej teologii. Kluczowymi elementami religii chrześcijańskiej są Bóg, człowiek i ich wzajemne spotkanie. Całe życie chrześcijanina to życie w doświadczaniu łaski, a teologia jest uprawiana w świetle tego, jak tę łaskę rozumiemy. Dlatego najważniejsza w nauce o łasce jest transformacja grzesznika w świętego, która stanowi centralny punkt tego zagadnienia</w:t>
      </w:r>
      <w:r>
        <w:rPr>
          <w:rStyle w:val="FootnoteReference"/>
          <w:bCs/>
        </w:rPr>
        <w:footnoteReference w:id="1"/>
      </w:r>
      <w:r w:rsidRPr="001D4C27">
        <w:rPr>
          <w:bCs/>
        </w:rPr>
        <w:t>.</w:t>
      </w:r>
      <w:r>
        <w:rPr>
          <w:bCs/>
        </w:rPr>
        <w:t xml:space="preserve"> </w:t>
      </w:r>
      <w:r w:rsidRPr="001D4C27">
        <w:rPr>
          <w:bCs/>
        </w:rPr>
        <w:t xml:space="preserve">Podobnego zdania był św. Tomasz z Akwinu, który w </w:t>
      </w:r>
      <w:r w:rsidRPr="001D4C27">
        <w:rPr>
          <w:bCs/>
          <w:i/>
        </w:rPr>
        <w:t>Sumie Teologicznej</w:t>
      </w:r>
      <w:r w:rsidRPr="001D4C27">
        <w:rPr>
          <w:bCs/>
        </w:rPr>
        <w:t xml:space="preserve"> stwierdza, że: „usprawiedliwienie grzesznika, które ma na celu wieczne dobro uczestnictwa w Bogu, jest </w:t>
      </w:r>
      <w:r w:rsidRPr="001D4C27">
        <w:rPr>
          <w:bCs/>
        </w:rPr>
        <w:lastRenderedPageBreak/>
        <w:t>dziełem większym niż stworzenie nieba i ziemi, zmierzające do dobra przemijającej natury”</w:t>
      </w:r>
      <w:r w:rsidRPr="001D4C27">
        <w:rPr>
          <w:rStyle w:val="FootnoteReference"/>
          <w:bCs/>
        </w:rPr>
        <w:footnoteReference w:id="2"/>
      </w:r>
      <w:r w:rsidRPr="001D4C27">
        <w:rPr>
          <w:bCs/>
        </w:rPr>
        <w:t>.</w:t>
      </w:r>
      <w:r w:rsidR="00983B51">
        <w:rPr>
          <w:bCs/>
        </w:rPr>
        <w:t xml:space="preserve"> W niniejszym artykule omówimy pięć skutków łaski, które ukazuje Doktor Anielski w swojej teologii.</w:t>
      </w:r>
    </w:p>
    <w:p w14:paraId="0EA62F2F" w14:textId="77777777" w:rsidR="00271B96" w:rsidRDefault="00B83B12" w:rsidP="00271B96">
      <w:pPr>
        <w:spacing w:after="0" w:line="240" w:lineRule="auto"/>
        <w:ind w:firstLine="708"/>
        <w:jc w:val="both"/>
        <w:rPr>
          <w:bCs/>
        </w:rPr>
      </w:pPr>
      <w:r>
        <w:rPr>
          <w:bCs/>
        </w:rPr>
        <w:t>Tomasz z Akwinu</w:t>
      </w:r>
      <w:r w:rsidR="00BB73FB">
        <w:rPr>
          <w:bCs/>
        </w:rPr>
        <w:t>,</w:t>
      </w:r>
      <w:r>
        <w:rPr>
          <w:bCs/>
        </w:rPr>
        <w:t xml:space="preserve"> w odróżnieniu do szkoły franciszkańskiej, w swojej refleksji nad teologią łaski kładzie akcent na jej stronę ontologiczną.</w:t>
      </w:r>
      <w:r w:rsidRPr="00B83B12">
        <w:t xml:space="preserve"> </w:t>
      </w:r>
      <w:r>
        <w:t>Doktor Anielski</w:t>
      </w:r>
      <w:r w:rsidRPr="00B83B12">
        <w:rPr>
          <w:bCs/>
        </w:rPr>
        <w:t xml:space="preserve"> podejmuje się stworzenia systematycznej syntezy dorobku tradycji augustiańskiej i arystotelesowskiej, który gromadzono od XIII wieku. Dzięki nowemu spojrzeniu na filozofię Arystotelesa oraz wprowadzeniu ontologicznych kategorii do teologii, w myśli Tomasza pojawia się interesujący proces, który moż</w:t>
      </w:r>
      <w:r>
        <w:rPr>
          <w:bCs/>
        </w:rPr>
        <w:t>na określić jako „ontologizacja”</w:t>
      </w:r>
      <w:r w:rsidRPr="00B83B12">
        <w:rPr>
          <w:bCs/>
        </w:rPr>
        <w:t>. Oznacza to, że łaskę zaczyna się opisywać za pomocą arystotelesowskich kategorii dotyczących bytu. W ten sposób Tomasz łączy różne tradycje myślowe, co wzbogaca jego teologię i nadaje jej nowy kierunek.</w:t>
      </w:r>
      <w:r>
        <w:rPr>
          <w:bCs/>
        </w:rPr>
        <w:t xml:space="preserve"> Zgodnie ze schematem „materia – forma” w łasce widzi się nadprzyrodzoną formę, doskonalącą materię ludzkiej natury. Łaska jest więc trwałym stanem (</w:t>
      </w:r>
      <w:r w:rsidRPr="00B83B12">
        <w:rPr>
          <w:bCs/>
          <w:i/>
          <w:iCs/>
        </w:rPr>
        <w:t>habitus</w:t>
      </w:r>
      <w:r>
        <w:rPr>
          <w:bCs/>
        </w:rPr>
        <w:t>), który w ludzkiej duszy stanowi nową jakość (</w:t>
      </w:r>
      <w:r w:rsidRPr="00B83B12">
        <w:rPr>
          <w:bCs/>
          <w:i/>
          <w:iCs/>
        </w:rPr>
        <w:t>qualitas</w:t>
      </w:r>
      <w:r>
        <w:rPr>
          <w:bCs/>
        </w:rPr>
        <w:t>), dochodzącą do niej z zewnątrz właściwość (</w:t>
      </w:r>
      <w:r w:rsidRPr="00B83B12">
        <w:rPr>
          <w:bCs/>
          <w:i/>
          <w:iCs/>
        </w:rPr>
        <w:t>accidens</w:t>
      </w:r>
      <w:r>
        <w:rPr>
          <w:bCs/>
        </w:rPr>
        <w:t>)</w:t>
      </w:r>
      <w:r>
        <w:rPr>
          <w:rStyle w:val="FootnoteReference"/>
          <w:bCs/>
        </w:rPr>
        <w:footnoteReference w:id="3"/>
      </w:r>
      <w:r>
        <w:rPr>
          <w:bCs/>
        </w:rPr>
        <w:t>.</w:t>
      </w:r>
      <w:r w:rsidR="00271B96">
        <w:rPr>
          <w:bCs/>
        </w:rPr>
        <w:t xml:space="preserve"> </w:t>
      </w:r>
    </w:p>
    <w:p w14:paraId="186CCB09" w14:textId="77777777" w:rsidR="00271B96" w:rsidRPr="00271B96" w:rsidRDefault="00271B96" w:rsidP="00D56289">
      <w:pPr>
        <w:pStyle w:val="Teksttreci0"/>
        <w:spacing w:after="120" w:line="240" w:lineRule="auto"/>
        <w:ind w:firstLine="708"/>
        <w:jc w:val="both"/>
        <w:rPr>
          <w:rFonts w:ascii="Times New Roman" w:hAnsi="Times New Roman" w:cs="Times New Roman"/>
          <w:bCs/>
          <w:sz w:val="24"/>
          <w:szCs w:val="24"/>
        </w:rPr>
      </w:pPr>
      <w:r w:rsidRPr="00271B96">
        <w:rPr>
          <w:rFonts w:ascii="Times New Roman" w:hAnsi="Times New Roman" w:cs="Times New Roman"/>
          <w:bCs/>
          <w:sz w:val="24"/>
          <w:szCs w:val="24"/>
        </w:rPr>
        <w:t>W teologii Tomasza ł</w:t>
      </w:r>
      <w:r w:rsidR="00983B51" w:rsidRPr="00271B96">
        <w:rPr>
          <w:rFonts w:ascii="Times New Roman" w:hAnsi="Times New Roman" w:cs="Times New Roman"/>
          <w:bCs/>
          <w:sz w:val="24"/>
          <w:szCs w:val="24"/>
        </w:rPr>
        <w:t>aska doskonali naturę</w:t>
      </w:r>
      <w:r w:rsidRPr="00271B96">
        <w:rPr>
          <w:rFonts w:ascii="Times New Roman" w:hAnsi="Times New Roman" w:cs="Times New Roman"/>
          <w:bCs/>
          <w:sz w:val="24"/>
          <w:szCs w:val="24"/>
        </w:rPr>
        <w:t xml:space="preserve"> </w:t>
      </w:r>
      <w:r w:rsidR="00983B51" w:rsidRPr="00271B96">
        <w:rPr>
          <w:rFonts w:ascii="Times New Roman" w:eastAsia="Times New Roman" w:hAnsi="Times New Roman" w:cs="Times New Roman"/>
          <w:bCs/>
          <w:color w:val="0A0A0A"/>
          <w:sz w:val="24"/>
          <w:szCs w:val="24"/>
          <w:lang w:eastAsia="pl-PL"/>
        </w:rPr>
        <w:t>(</w:t>
      </w:r>
      <w:r w:rsidR="00983B51" w:rsidRPr="00271B96">
        <w:rPr>
          <w:rFonts w:ascii="Times New Roman" w:eastAsia="Times New Roman" w:hAnsi="Times New Roman" w:cs="Times New Roman"/>
          <w:bCs/>
          <w:i/>
          <w:iCs/>
          <w:color w:val="0A0A0A"/>
          <w:sz w:val="24"/>
          <w:szCs w:val="24"/>
          <w:lang w:eastAsia="pl-PL"/>
        </w:rPr>
        <w:t>Gratia non tollit naturam, sed perficit</w:t>
      </w:r>
      <w:r w:rsidR="00983B51" w:rsidRPr="00271B96">
        <w:rPr>
          <w:rFonts w:ascii="Times New Roman" w:eastAsia="Times New Roman" w:hAnsi="Times New Roman" w:cs="Times New Roman"/>
          <w:bCs/>
          <w:color w:val="0A0A0A"/>
          <w:sz w:val="24"/>
          <w:szCs w:val="24"/>
          <w:lang w:eastAsia="pl-PL"/>
        </w:rPr>
        <w:t>)</w:t>
      </w:r>
      <w:r w:rsidR="00C5173A">
        <w:rPr>
          <w:rStyle w:val="FootnoteReference"/>
          <w:rFonts w:ascii="Times New Roman" w:eastAsia="Times New Roman" w:hAnsi="Times New Roman" w:cs="Times New Roman"/>
          <w:bCs/>
          <w:color w:val="0A0A0A"/>
          <w:sz w:val="24"/>
          <w:szCs w:val="24"/>
          <w:lang w:eastAsia="pl-PL"/>
        </w:rPr>
        <w:footnoteReference w:id="4"/>
      </w:r>
      <w:r w:rsidRPr="00271B96">
        <w:rPr>
          <w:rFonts w:ascii="Times New Roman" w:eastAsia="Times New Roman" w:hAnsi="Times New Roman" w:cs="Times New Roman"/>
          <w:bCs/>
          <w:color w:val="0A0A0A"/>
          <w:sz w:val="24"/>
          <w:szCs w:val="24"/>
          <w:lang w:eastAsia="pl-PL"/>
        </w:rPr>
        <w:t xml:space="preserve">. Nie </w:t>
      </w:r>
      <w:r w:rsidR="00983B51" w:rsidRPr="00271B96">
        <w:rPr>
          <w:rFonts w:ascii="Times New Roman" w:eastAsia="Times New Roman" w:hAnsi="Times New Roman" w:cs="Times New Roman"/>
          <w:bCs/>
          <w:color w:val="0A0A0A"/>
          <w:sz w:val="24"/>
          <w:szCs w:val="24"/>
          <w:lang w:eastAsia="pl-PL"/>
        </w:rPr>
        <w:t xml:space="preserve">niszczy </w:t>
      </w:r>
      <w:proofErr w:type="gramStart"/>
      <w:r w:rsidRPr="00271B96">
        <w:rPr>
          <w:rFonts w:ascii="Times New Roman" w:eastAsia="Times New Roman" w:hAnsi="Times New Roman" w:cs="Times New Roman"/>
          <w:bCs/>
          <w:color w:val="0A0A0A"/>
          <w:sz w:val="24"/>
          <w:szCs w:val="24"/>
          <w:lang w:eastAsia="pl-PL"/>
        </w:rPr>
        <w:t>jej</w:t>
      </w:r>
      <w:proofErr w:type="gramEnd"/>
      <w:r w:rsidRPr="00271B96">
        <w:rPr>
          <w:rFonts w:ascii="Times New Roman" w:eastAsia="Times New Roman" w:hAnsi="Times New Roman" w:cs="Times New Roman"/>
          <w:bCs/>
          <w:color w:val="0A0A0A"/>
          <w:sz w:val="24"/>
          <w:szCs w:val="24"/>
          <w:lang w:eastAsia="pl-PL"/>
        </w:rPr>
        <w:t xml:space="preserve"> </w:t>
      </w:r>
      <w:r w:rsidR="00983B51" w:rsidRPr="00271B96">
        <w:rPr>
          <w:rFonts w:ascii="Times New Roman" w:eastAsia="Times New Roman" w:hAnsi="Times New Roman" w:cs="Times New Roman"/>
          <w:bCs/>
          <w:color w:val="0A0A0A"/>
          <w:sz w:val="24"/>
          <w:szCs w:val="24"/>
          <w:lang w:eastAsia="pl-PL"/>
        </w:rPr>
        <w:t>lecz podnosi ją do wyższego, nadprzyrodzonego poziomu, uzdalniając do miłości Boga i bliźniego.</w:t>
      </w:r>
      <w:r w:rsidRPr="00271B96">
        <w:rPr>
          <w:rFonts w:ascii="Times New Roman" w:eastAsia="Times New Roman" w:hAnsi="Times New Roman" w:cs="Times New Roman"/>
          <w:bCs/>
          <w:color w:val="0A0A0A"/>
          <w:sz w:val="24"/>
          <w:szCs w:val="24"/>
          <w:lang w:eastAsia="pl-PL"/>
        </w:rPr>
        <w:t xml:space="preserve"> </w:t>
      </w:r>
      <w:r w:rsidR="00D56289">
        <w:rPr>
          <w:rFonts w:ascii="Times New Roman" w:eastAsia="Times New Roman" w:hAnsi="Times New Roman" w:cs="Times New Roman"/>
          <w:bCs/>
          <w:color w:val="0A0A0A"/>
          <w:sz w:val="24"/>
          <w:szCs w:val="24"/>
          <w:lang w:eastAsia="pl-PL"/>
        </w:rPr>
        <w:t>Akwinata</w:t>
      </w:r>
      <w:r w:rsidRPr="00271B96">
        <w:rPr>
          <w:rStyle w:val="Teksttreci"/>
          <w:rFonts w:ascii="Times New Roman" w:hAnsi="Times New Roman" w:cs="Times New Roman"/>
          <w:bCs/>
          <w:sz w:val="24"/>
          <w:szCs w:val="24"/>
        </w:rPr>
        <w:t xml:space="preserve"> przyjmuje </w:t>
      </w:r>
      <w:r w:rsidRPr="00D56289">
        <w:rPr>
          <w:rStyle w:val="Teksttreci"/>
          <w:rFonts w:ascii="Times New Roman" w:hAnsi="Times New Roman" w:cs="Times New Roman"/>
          <w:bCs/>
          <w:sz w:val="24"/>
          <w:szCs w:val="24"/>
        </w:rPr>
        <w:t>pięć pod</w:t>
      </w:r>
      <w:r w:rsidRPr="00D56289">
        <w:rPr>
          <w:rStyle w:val="Teksttreci"/>
          <w:rFonts w:ascii="Times New Roman" w:hAnsi="Times New Roman" w:cs="Times New Roman"/>
          <w:bCs/>
          <w:sz w:val="24"/>
          <w:szCs w:val="24"/>
        </w:rPr>
        <w:softHyphen/>
        <w:t>stawowych</w:t>
      </w:r>
      <w:r w:rsidR="00D56289">
        <w:rPr>
          <w:rStyle w:val="Teksttreci"/>
          <w:rFonts w:ascii="Times New Roman" w:hAnsi="Times New Roman" w:cs="Times New Roman"/>
          <w:bCs/>
          <w:sz w:val="24"/>
          <w:szCs w:val="24"/>
        </w:rPr>
        <w:t xml:space="preserve"> skutków, jakich ł</w:t>
      </w:r>
      <w:r w:rsidRPr="00271B96">
        <w:rPr>
          <w:rStyle w:val="Teksttreci"/>
          <w:rFonts w:ascii="Times New Roman" w:hAnsi="Times New Roman" w:cs="Times New Roman"/>
          <w:bCs/>
          <w:sz w:val="24"/>
          <w:szCs w:val="24"/>
        </w:rPr>
        <w:t>aska dok</w:t>
      </w:r>
      <w:r w:rsidR="00D56289">
        <w:rPr>
          <w:rStyle w:val="Teksttreci"/>
          <w:rFonts w:ascii="Times New Roman" w:hAnsi="Times New Roman" w:cs="Times New Roman"/>
          <w:bCs/>
          <w:sz w:val="24"/>
          <w:szCs w:val="24"/>
        </w:rPr>
        <w:t>onuje w czasie. Są to: uzdrowienie</w:t>
      </w:r>
      <w:r w:rsidRPr="00271B96">
        <w:rPr>
          <w:rStyle w:val="Teksttreci"/>
          <w:rFonts w:ascii="Times New Roman" w:hAnsi="Times New Roman" w:cs="Times New Roman"/>
          <w:bCs/>
          <w:sz w:val="24"/>
          <w:szCs w:val="24"/>
        </w:rPr>
        <w:t xml:space="preserve"> duszy, poruszenie do dobrego</w:t>
      </w:r>
      <w:r w:rsidR="00D56289">
        <w:rPr>
          <w:rStyle w:val="Teksttreci"/>
          <w:rFonts w:ascii="Times New Roman" w:hAnsi="Times New Roman" w:cs="Times New Roman"/>
          <w:bCs/>
          <w:sz w:val="24"/>
          <w:szCs w:val="24"/>
        </w:rPr>
        <w:t xml:space="preserve"> działania</w:t>
      </w:r>
      <w:r w:rsidRPr="00271B96">
        <w:rPr>
          <w:rStyle w:val="Teksttreci"/>
          <w:rFonts w:ascii="Times New Roman" w:hAnsi="Times New Roman" w:cs="Times New Roman"/>
          <w:bCs/>
          <w:sz w:val="24"/>
          <w:szCs w:val="24"/>
        </w:rPr>
        <w:t xml:space="preserve">, </w:t>
      </w:r>
      <w:r w:rsidR="00D56289">
        <w:rPr>
          <w:rStyle w:val="Teksttreci"/>
          <w:rFonts w:ascii="Times New Roman" w:hAnsi="Times New Roman" w:cs="Times New Roman"/>
          <w:bCs/>
          <w:sz w:val="24"/>
          <w:szCs w:val="24"/>
        </w:rPr>
        <w:t xml:space="preserve">skuteczne </w:t>
      </w:r>
      <w:r w:rsidRPr="00271B96">
        <w:rPr>
          <w:rStyle w:val="Teksttreci"/>
          <w:rFonts w:ascii="Times New Roman" w:hAnsi="Times New Roman" w:cs="Times New Roman"/>
          <w:bCs/>
          <w:sz w:val="24"/>
          <w:szCs w:val="24"/>
        </w:rPr>
        <w:t>wykonanie dobrego czynu, wytrwanie w dobrym i osiągnięcie chwały</w:t>
      </w:r>
      <w:r w:rsidR="009F30F6">
        <w:rPr>
          <w:rStyle w:val="Teksttreci"/>
          <w:rFonts w:ascii="Times New Roman" w:hAnsi="Times New Roman" w:cs="Times New Roman"/>
          <w:bCs/>
          <w:sz w:val="24"/>
          <w:szCs w:val="24"/>
        </w:rPr>
        <w:t xml:space="preserve"> nieba</w:t>
      </w:r>
      <w:r w:rsidRPr="00271B96">
        <w:rPr>
          <w:rStyle w:val="Teksttreci"/>
          <w:rFonts w:ascii="Times New Roman" w:hAnsi="Times New Roman" w:cs="Times New Roman"/>
          <w:bCs/>
          <w:sz w:val="24"/>
          <w:szCs w:val="24"/>
        </w:rPr>
        <w:t>. Z tych podstawowych skutków łaski Tomasz wyprowadza liczne inne z nich wynikające.</w:t>
      </w:r>
    </w:p>
    <w:p w14:paraId="20B5CB26" w14:textId="77777777" w:rsidR="00983B51" w:rsidRDefault="00983B51" w:rsidP="00983B51">
      <w:pPr>
        <w:pStyle w:val="ListParagraph"/>
        <w:ind w:left="1068"/>
        <w:jc w:val="both"/>
        <w:rPr>
          <w:b/>
        </w:rPr>
      </w:pPr>
    </w:p>
    <w:p w14:paraId="793F3117" w14:textId="77777777" w:rsidR="00983B51" w:rsidRDefault="00983B51" w:rsidP="001D4C27">
      <w:pPr>
        <w:pStyle w:val="ListParagraph"/>
        <w:numPr>
          <w:ilvl w:val="0"/>
          <w:numId w:val="1"/>
        </w:numPr>
        <w:jc w:val="both"/>
        <w:rPr>
          <w:b/>
        </w:rPr>
      </w:pPr>
      <w:r>
        <w:rPr>
          <w:b/>
        </w:rPr>
        <w:t>Łaska uzdrawia duszę</w:t>
      </w:r>
      <w:r w:rsidR="004428B7">
        <w:rPr>
          <w:b/>
        </w:rPr>
        <w:t xml:space="preserve"> (</w:t>
      </w:r>
      <w:r w:rsidR="004428B7" w:rsidRPr="004428B7">
        <w:rPr>
          <w:b/>
          <w:i/>
          <w:iCs/>
        </w:rPr>
        <w:t>sanatio</w:t>
      </w:r>
      <w:r w:rsidR="004428B7">
        <w:rPr>
          <w:b/>
        </w:rPr>
        <w:t>)</w:t>
      </w:r>
    </w:p>
    <w:p w14:paraId="084B39B8" w14:textId="77777777" w:rsidR="004428B7" w:rsidRDefault="004428B7" w:rsidP="004428B7">
      <w:pPr>
        <w:pStyle w:val="NoSpacing"/>
        <w:ind w:firstLine="708"/>
        <w:jc w:val="both"/>
        <w:rPr>
          <w:lang w:eastAsia="pl-PL"/>
        </w:rPr>
      </w:pPr>
      <w:r w:rsidRPr="004428B7">
        <w:rPr>
          <w:lang w:eastAsia="pl-PL"/>
        </w:rPr>
        <w:t>W sercu leczącego działania łaski kryje się fundamentalny proces, który objawia się poprzez usprawiedliwienie grzesznika</w:t>
      </w:r>
      <w:r>
        <w:rPr>
          <w:lang w:eastAsia="pl-PL"/>
        </w:rPr>
        <w:t xml:space="preserve"> (</w:t>
      </w:r>
      <w:r w:rsidRPr="004428B7">
        <w:rPr>
          <w:i/>
          <w:iCs/>
          <w:lang w:eastAsia="pl-PL"/>
        </w:rPr>
        <w:t>iustificatio</w:t>
      </w:r>
      <w:r>
        <w:rPr>
          <w:lang w:eastAsia="pl-PL"/>
        </w:rPr>
        <w:t>)</w:t>
      </w:r>
      <w:r w:rsidR="006C0F79">
        <w:rPr>
          <w:rStyle w:val="FootnoteReference"/>
          <w:lang w:eastAsia="pl-PL"/>
        </w:rPr>
        <w:footnoteReference w:id="5"/>
      </w:r>
      <w:r w:rsidRPr="004428B7">
        <w:rPr>
          <w:lang w:eastAsia="pl-PL"/>
        </w:rPr>
        <w:t>. Ta niezwykle ważna funkcja usprawiedliwienia ma na celu uzdrowienie, czyli naprawę ludzkiej natury, która została osłabiona i zraniona przez grzech Adama</w:t>
      </w:r>
      <w:r>
        <w:rPr>
          <w:lang w:eastAsia="pl-PL"/>
        </w:rPr>
        <w:t xml:space="preserve">, co w teologii określamy jako </w:t>
      </w:r>
      <w:r w:rsidRPr="004428B7">
        <w:rPr>
          <w:i/>
          <w:iCs/>
          <w:lang w:eastAsia="pl-PL"/>
        </w:rPr>
        <w:t>natura corrupta</w:t>
      </w:r>
      <w:r w:rsidR="006C0F79">
        <w:rPr>
          <w:rStyle w:val="FootnoteReference"/>
          <w:i/>
          <w:iCs/>
          <w:lang w:eastAsia="pl-PL"/>
        </w:rPr>
        <w:footnoteReference w:id="6"/>
      </w:r>
      <w:r w:rsidRPr="004428B7">
        <w:rPr>
          <w:lang w:eastAsia="pl-PL"/>
        </w:rPr>
        <w:t xml:space="preserve">. </w:t>
      </w:r>
      <w:proofErr w:type="gramStart"/>
      <w:r w:rsidRPr="004428B7">
        <w:rPr>
          <w:lang w:eastAsia="pl-PL"/>
        </w:rPr>
        <w:t>Łaska,</w:t>
      </w:r>
      <w:proofErr w:type="gramEnd"/>
      <w:r w:rsidRPr="004428B7">
        <w:rPr>
          <w:lang w:eastAsia="pl-PL"/>
        </w:rPr>
        <w:t xml:space="preserve"> jako dar od Boga, ma moc przywracania integralności człowieka, dążąc do tego, by szkody dokonane przez grzech mogły zostać wyleczone. </w:t>
      </w:r>
    </w:p>
    <w:p w14:paraId="48F1ECC8" w14:textId="77777777" w:rsidR="004428B7" w:rsidRDefault="004428B7" w:rsidP="004428B7">
      <w:pPr>
        <w:pStyle w:val="NoSpacing"/>
        <w:ind w:firstLine="708"/>
        <w:jc w:val="both"/>
        <w:rPr>
          <w:lang w:eastAsia="pl-PL"/>
        </w:rPr>
      </w:pPr>
      <w:r w:rsidRPr="004428B7">
        <w:rPr>
          <w:lang w:eastAsia="pl-PL"/>
        </w:rPr>
        <w:t>Kiedy grzechy są odpuszczane w procesie usprawiedliwienia, następuje głęboka przemiana – „przemiana ze stanu niesprawiedliwości w stan sprawiedliwości”</w:t>
      </w:r>
      <w:r>
        <w:rPr>
          <w:rStyle w:val="FootnoteReference"/>
          <w:lang w:eastAsia="pl-PL"/>
        </w:rPr>
        <w:footnoteReference w:id="7"/>
      </w:r>
      <w:r w:rsidRPr="004428B7">
        <w:rPr>
          <w:lang w:eastAsia="pl-PL"/>
        </w:rPr>
        <w:t>. To oznacza, że Bóg interweni</w:t>
      </w:r>
      <w:r w:rsidR="00BB73FB">
        <w:rPr>
          <w:lang w:eastAsia="pl-PL"/>
        </w:rPr>
        <w:t>uje w życie duszy, prowadząc ją</w:t>
      </w:r>
      <w:r w:rsidRPr="004428B7">
        <w:rPr>
          <w:lang w:eastAsia="pl-PL"/>
        </w:rPr>
        <w:t xml:space="preserve"> do pełni życia. W ten sposób usprawiedliwienie staje się nie tylko formalnym aktem, ale istotną zmianą, która przekształca duchową kondycję człowieka. Możemy to ująć inaczej: usprawiedliwienie to proces, w którym Bóg, w swoim miłosierdziu, unosi duszę z ciężaru winy i prowadzi ją ku nowemu, sprawiedliwemu życiu. </w:t>
      </w:r>
    </w:p>
    <w:p w14:paraId="0415A38E" w14:textId="77777777" w:rsidR="00983B51" w:rsidRPr="004428B7" w:rsidRDefault="004428B7" w:rsidP="004428B7">
      <w:pPr>
        <w:pStyle w:val="NoSpacing"/>
        <w:ind w:firstLine="708"/>
        <w:jc w:val="both"/>
        <w:rPr>
          <w:lang w:eastAsia="pl-PL"/>
        </w:rPr>
      </w:pPr>
      <w:r w:rsidRPr="004428B7">
        <w:rPr>
          <w:lang w:eastAsia="pl-PL"/>
        </w:rPr>
        <w:t xml:space="preserve">W ten sposób łaska działa jak uzdrawiająca moc, oferując każdemu z nas szansę na nowy początek i nawiązanie głębszej relacji z Bogiem. To piękne przesłanie nadziei i odnowy, które przypomina nam, że każdy z nas może być odnaleziony w miłości i </w:t>
      </w:r>
      <w:r w:rsidRPr="004428B7">
        <w:rPr>
          <w:lang w:eastAsia="pl-PL"/>
        </w:rPr>
        <w:lastRenderedPageBreak/>
        <w:t xml:space="preserve">sprawiedliwości Bożej. </w:t>
      </w:r>
      <w:r w:rsidRPr="004428B7">
        <w:rPr>
          <w:rStyle w:val="Teksttreci"/>
          <w:rFonts w:ascii="Times New Roman" w:hAnsi="Times New Roman" w:cs="Times New Roman"/>
          <w:sz w:val="24"/>
          <w:szCs w:val="24"/>
        </w:rPr>
        <w:t>„Usprawiedliwienie jest zmianą, polegającą na tym, że Bóg przeprowadza duszę ze stanu winy w stan sprawiedliwo</w:t>
      </w:r>
      <w:r w:rsidRPr="004428B7">
        <w:rPr>
          <w:rStyle w:val="Teksttreci"/>
          <w:rFonts w:ascii="Times New Roman" w:hAnsi="Times New Roman" w:cs="Times New Roman"/>
          <w:sz w:val="24"/>
          <w:szCs w:val="24"/>
        </w:rPr>
        <w:softHyphen/>
        <w:t>ści”</w:t>
      </w:r>
      <w:r>
        <w:rPr>
          <w:rStyle w:val="FootnoteReference"/>
          <w:rFonts w:eastAsia="Cambria"/>
        </w:rPr>
        <w:footnoteReference w:id="8"/>
      </w:r>
      <w:r w:rsidRPr="004428B7">
        <w:rPr>
          <w:rStyle w:val="Teksttreci"/>
          <w:rFonts w:ascii="Times New Roman" w:hAnsi="Times New Roman" w:cs="Times New Roman"/>
          <w:sz w:val="24"/>
          <w:szCs w:val="24"/>
        </w:rPr>
        <w:t>.</w:t>
      </w:r>
    </w:p>
    <w:p w14:paraId="4D302B78" w14:textId="77777777" w:rsidR="00983B51" w:rsidRDefault="00983B51" w:rsidP="00983B51">
      <w:pPr>
        <w:pStyle w:val="ListParagraph"/>
        <w:ind w:left="1068"/>
        <w:jc w:val="both"/>
        <w:rPr>
          <w:b/>
        </w:rPr>
      </w:pPr>
    </w:p>
    <w:p w14:paraId="4C006CDD" w14:textId="77777777" w:rsidR="00983B51" w:rsidRDefault="00D56289" w:rsidP="001D4C27">
      <w:pPr>
        <w:pStyle w:val="ListParagraph"/>
        <w:numPr>
          <w:ilvl w:val="0"/>
          <w:numId w:val="1"/>
        </w:numPr>
        <w:jc w:val="both"/>
        <w:rPr>
          <w:b/>
        </w:rPr>
      </w:pPr>
      <w:r>
        <w:rPr>
          <w:b/>
        </w:rPr>
        <w:t>Łaska wzbudza pragnienie dobrego działania</w:t>
      </w:r>
      <w:r w:rsidR="004428B7">
        <w:rPr>
          <w:b/>
        </w:rPr>
        <w:t xml:space="preserve"> </w:t>
      </w:r>
      <w:r w:rsidR="004428B7" w:rsidRPr="004428B7">
        <w:rPr>
          <w:rFonts w:eastAsia="Times New Roman"/>
          <w:b/>
          <w:bCs/>
          <w:color w:val="0A0A0A"/>
          <w:lang w:eastAsia="pl-PL"/>
        </w:rPr>
        <w:t>(</w:t>
      </w:r>
      <w:r w:rsidR="004428B7" w:rsidRPr="00F30F6B">
        <w:rPr>
          <w:rFonts w:eastAsia="Times New Roman"/>
          <w:b/>
          <w:bCs/>
          <w:i/>
          <w:iCs/>
          <w:color w:val="0A0A0A"/>
          <w:lang w:eastAsia="pl-PL"/>
        </w:rPr>
        <w:t>velle bonum</w:t>
      </w:r>
      <w:r w:rsidR="004428B7" w:rsidRPr="004428B7">
        <w:rPr>
          <w:rFonts w:eastAsia="Times New Roman"/>
          <w:b/>
          <w:bCs/>
          <w:color w:val="0A0A0A"/>
          <w:lang w:eastAsia="pl-PL"/>
        </w:rPr>
        <w:t>)</w:t>
      </w:r>
    </w:p>
    <w:p w14:paraId="475D450F" w14:textId="77777777" w:rsidR="00F30F6B" w:rsidRPr="00F30F6B" w:rsidRDefault="00F30F6B" w:rsidP="00F30F6B">
      <w:pPr>
        <w:pStyle w:val="NoSpacing"/>
        <w:ind w:firstLine="708"/>
        <w:jc w:val="both"/>
      </w:pPr>
      <w:r w:rsidRPr="00F30F6B">
        <w:t>Łaska, która inspiruje nas do dobrego działania, odnosi się do fundamentalnych aspektów naszego życia, związanych z rozumem i wolą. Działa ona jako wewnętrzne poruszenie, które prowadzi nasz rozum do odkrywania prawdy, a w naszej woli kształtuje pragnienie czynienia dobra</w:t>
      </w:r>
      <w:r w:rsidR="00D7299E">
        <w:rPr>
          <w:rStyle w:val="FootnoteReference"/>
        </w:rPr>
        <w:footnoteReference w:id="9"/>
      </w:r>
      <w:r w:rsidRPr="00F30F6B">
        <w:t>. To wewnętrzne ożywienie, jakie niesie ze sobą łaska, sprawia, że stajemy się otwarci na Boże wezwanie, co z kolei staje się podstawą naszego zwrócenia się do Boga.</w:t>
      </w:r>
    </w:p>
    <w:p w14:paraId="602F2411" w14:textId="77777777" w:rsidR="00F30F6B" w:rsidRPr="00F30F6B" w:rsidRDefault="00F30F6B" w:rsidP="00F30F6B">
      <w:pPr>
        <w:pStyle w:val="NoSpacing"/>
        <w:ind w:firstLine="708"/>
        <w:jc w:val="both"/>
      </w:pPr>
      <w:r w:rsidRPr="00F30F6B">
        <w:t>Nawrócenie, które tak często jest tematem naszych rozważań, w rzeczywistości nie może się wydarzyć bez działającej łaski Bożej. Jak słusznie zauważono, „nawrócenie człowieka do Boga może nastąpić tylko wtedy, jeśli Bóg go do siebie nawróci”</w:t>
      </w:r>
      <w:r>
        <w:rPr>
          <w:rStyle w:val="FootnoteReference"/>
        </w:rPr>
        <w:footnoteReference w:id="10"/>
      </w:r>
      <w:r w:rsidRPr="00F30F6B">
        <w:t xml:space="preserve">. Oznacza to, że nasza zdolność do zmiany zależy od Bożego działania w naszym życiu. </w:t>
      </w:r>
    </w:p>
    <w:p w14:paraId="0B87954B" w14:textId="77777777" w:rsidR="00F30F6B" w:rsidRPr="00F30F6B" w:rsidRDefault="00F30F6B" w:rsidP="00F30F6B">
      <w:pPr>
        <w:pStyle w:val="NoSpacing"/>
        <w:jc w:val="both"/>
      </w:pPr>
      <w:r>
        <w:tab/>
      </w:r>
      <w:r w:rsidRPr="00F30F6B">
        <w:t>W kontekście zrozumienia, że „kiedy człowiek czyni co może, Bóg łaski nie odmawia”, Tomasz z Akwinu podkreśla, że wędrując przez życie, nawet nasze najszlachetniejsze działania są skutkiem Bożego poruszenia. Mówiąc inaczej, wszystko, co osiągamy, jest możliwe dzięki łasce, która nas prowadzi i insp</w:t>
      </w:r>
      <w:r>
        <w:t>iruje. „Człowiek czyni, co może”</w:t>
      </w:r>
      <w:r w:rsidRPr="00F30F6B">
        <w:t xml:space="preserve"> w takim sensie, że to, co jest w jego mocy, zostało wcześniej uformowane przez Boże zaprosz</w:t>
      </w:r>
      <w:r>
        <w:t>e</w:t>
      </w:r>
      <w:r w:rsidRPr="00F30F6B">
        <w:t xml:space="preserve">nie do zaufania i działania. </w:t>
      </w:r>
    </w:p>
    <w:p w14:paraId="6B770E0C" w14:textId="77777777" w:rsidR="00983B51" w:rsidRDefault="00F30F6B" w:rsidP="00F30F6B">
      <w:pPr>
        <w:pStyle w:val="NoSpacing"/>
        <w:ind w:firstLine="708"/>
        <w:jc w:val="both"/>
      </w:pPr>
      <w:r w:rsidRPr="00F30F6B">
        <w:t>Dzięki tej perspektywie dostrzegamy, jak ważne jest, aby być otwartym na działanie Bożej łaski w naszym życiu, aby pozwolić Mu prowadzić nas ku dobrym uczynkom, które nie tylko uszczęśliwiają nas samych, ale także mają moc przemieniania świata wokół nas</w:t>
      </w:r>
      <w:r w:rsidR="00FF3E75">
        <w:rPr>
          <w:rStyle w:val="FootnoteReference"/>
        </w:rPr>
        <w:footnoteReference w:id="11"/>
      </w:r>
      <w:r w:rsidRPr="00F30F6B">
        <w:t>. To ciągła interakcja między naszą wolą a Bożą łaską tworzy ścieżkę nawrócenia i duchowego wzrostu, na której możemy kroczyć z nadzieją i radością</w:t>
      </w:r>
      <w:r w:rsidR="004F40C8">
        <w:rPr>
          <w:rStyle w:val="FootnoteReference"/>
        </w:rPr>
        <w:footnoteReference w:id="12"/>
      </w:r>
      <w:r w:rsidRPr="00F30F6B">
        <w:t>.</w:t>
      </w:r>
    </w:p>
    <w:p w14:paraId="5162DE37" w14:textId="77777777" w:rsidR="00F30F6B" w:rsidRPr="00F30F6B" w:rsidRDefault="00F30F6B" w:rsidP="00F30F6B">
      <w:pPr>
        <w:pStyle w:val="NoSpacing"/>
        <w:ind w:firstLine="708"/>
        <w:jc w:val="both"/>
      </w:pPr>
    </w:p>
    <w:p w14:paraId="58F3C78F" w14:textId="77777777" w:rsidR="00983B51" w:rsidRPr="00F30F6B" w:rsidRDefault="00983B51" w:rsidP="001D4C27">
      <w:pPr>
        <w:pStyle w:val="ListParagraph"/>
        <w:numPr>
          <w:ilvl w:val="0"/>
          <w:numId w:val="1"/>
        </w:numPr>
        <w:jc w:val="both"/>
        <w:rPr>
          <w:b/>
        </w:rPr>
      </w:pPr>
      <w:r w:rsidRPr="00F30F6B">
        <w:rPr>
          <w:b/>
        </w:rPr>
        <w:t xml:space="preserve">Łaska </w:t>
      </w:r>
      <w:r w:rsidRPr="00F30F6B">
        <w:rPr>
          <w:rFonts w:eastAsia="Times New Roman"/>
          <w:b/>
          <w:color w:val="0A0A0A"/>
          <w:lang w:eastAsia="pl-PL"/>
        </w:rPr>
        <w:t>umożliwia skuteczne wykonanie dobra</w:t>
      </w:r>
      <w:r w:rsidR="00F30F6B">
        <w:rPr>
          <w:rFonts w:eastAsia="Times New Roman"/>
          <w:b/>
          <w:color w:val="0A0A0A"/>
          <w:lang w:eastAsia="pl-PL"/>
        </w:rPr>
        <w:t xml:space="preserve"> </w:t>
      </w:r>
      <w:r w:rsidR="00F30F6B" w:rsidRPr="00F30F6B">
        <w:rPr>
          <w:rFonts w:eastAsia="Times New Roman"/>
          <w:b/>
          <w:bCs/>
          <w:color w:val="0A0A0A"/>
          <w:lang w:eastAsia="pl-PL"/>
        </w:rPr>
        <w:t>(</w:t>
      </w:r>
      <w:r w:rsidR="00F30F6B" w:rsidRPr="00F30F6B">
        <w:rPr>
          <w:rFonts w:eastAsia="Times New Roman"/>
          <w:b/>
          <w:bCs/>
          <w:i/>
          <w:iCs/>
          <w:color w:val="0A0A0A"/>
          <w:lang w:eastAsia="pl-PL"/>
        </w:rPr>
        <w:t>operatio boni</w:t>
      </w:r>
      <w:r w:rsidR="00F30F6B" w:rsidRPr="00F30F6B">
        <w:rPr>
          <w:rFonts w:eastAsia="Times New Roman"/>
          <w:b/>
          <w:bCs/>
          <w:color w:val="0A0A0A"/>
          <w:lang w:eastAsia="pl-PL"/>
        </w:rPr>
        <w:t>):</w:t>
      </w:r>
      <w:r w:rsidR="00F30F6B" w:rsidRPr="00F30F6B">
        <w:rPr>
          <w:rFonts w:eastAsia="Times New Roman"/>
          <w:color w:val="0A0A0A"/>
          <w:lang w:eastAsia="pl-PL"/>
        </w:rPr>
        <w:t> </w:t>
      </w:r>
    </w:p>
    <w:p w14:paraId="1B3BA227" w14:textId="77777777" w:rsidR="00F30F6B" w:rsidRPr="00F30F6B" w:rsidRDefault="00F30F6B" w:rsidP="00F30F6B">
      <w:pPr>
        <w:pStyle w:val="NoSpacing"/>
        <w:ind w:firstLine="709"/>
        <w:jc w:val="both"/>
      </w:pPr>
      <w:r w:rsidRPr="00F30F6B">
        <w:t>Działanie łaski, które umacnia nas w dążeniu do czynienia dobra, ma kluczowe znaczenie, zwłaszcza kiedy stawiamy pytanie o to, czy człowiek, w swojej własnej mocy, jest w stanie wypełnić wszystkie Boże przykazania i uniknąć grzechu. W obliczu upadłej natury, z jaką się mierzymy, okazuje się, że sami nie jesteśmy w stanie zachować wsz</w:t>
      </w:r>
      <w:r w:rsidR="005C20CF">
        <w:t>ystkich przepisów prawa. Ludzie</w:t>
      </w:r>
      <w:r w:rsidRPr="00F30F6B">
        <w:t xml:space="preserve"> w</w:t>
      </w:r>
      <w:r w:rsidR="005C20CF">
        <w:t xml:space="preserve"> swojej słabości</w:t>
      </w:r>
      <w:r w:rsidRPr="00F30F6B">
        <w:t xml:space="preserve"> potrzebują wsparcia Boga, który nieustannie zachęca i porusza nasze serca, prowadząc nas do realizacji tych wysokich ideałów.</w:t>
      </w:r>
    </w:p>
    <w:p w14:paraId="59C8668B" w14:textId="77777777" w:rsidR="00F30F6B" w:rsidRPr="00F30F6B" w:rsidRDefault="00F30F6B" w:rsidP="00F30F6B">
      <w:pPr>
        <w:pStyle w:val="NoSpacing"/>
        <w:ind w:firstLine="709"/>
        <w:jc w:val="both"/>
      </w:pPr>
      <w:r w:rsidRPr="00F30F6B">
        <w:t>Zrozumienie tego faktu jest kluczowe. Próba podniesienia się z grzechu na własną rękę, w myśl samousprawiedliwienia, jest skazana na niepowodzenie. Oznaczałoby to, że człowiek byłby w stanie przejść z winy do stanu sprawiedliwości tylko dzięki włas</w:t>
      </w:r>
      <w:r>
        <w:t>nym siłom, co jest niemożliwe: „</w:t>
      </w:r>
      <w:r w:rsidRPr="00F30F6B">
        <w:t>Bez pomocy łaski, swoją własną mocą człowiek w żaden spo</w:t>
      </w:r>
      <w:r>
        <w:t>sób nie może powstać z grzechu”</w:t>
      </w:r>
      <w:r>
        <w:rPr>
          <w:rStyle w:val="FootnoteReference"/>
        </w:rPr>
        <w:footnoteReference w:id="13"/>
      </w:r>
      <w:r>
        <w:t>.</w:t>
      </w:r>
      <w:r w:rsidRPr="00F30F6B">
        <w:t xml:space="preserve"> </w:t>
      </w:r>
    </w:p>
    <w:p w14:paraId="7812BB0F" w14:textId="77777777" w:rsidR="00F30F6B" w:rsidRPr="00F30F6B" w:rsidRDefault="00F30F6B" w:rsidP="00F30F6B">
      <w:pPr>
        <w:pStyle w:val="NoSpacing"/>
        <w:ind w:firstLine="709"/>
        <w:jc w:val="both"/>
      </w:pPr>
      <w:r w:rsidRPr="00F30F6B">
        <w:t xml:space="preserve">To stwierdzenie pokazuje, jak ważna jest dla nas łaska. Jest ona nie tylko zewnętrznym wsparciem, ale także wewnętrzną mocą, która uzdalnia nas do działania. Bez tej Bożej pomocy nie ma mowy o prawdziwej przemianie. Każdy krok w kierunku dobroci, </w:t>
      </w:r>
      <w:r w:rsidRPr="00F30F6B">
        <w:lastRenderedPageBreak/>
        <w:t xml:space="preserve">każda decyzja o unikaniu grzechu, staje się procesem, w którym to Bóg odnawia nasze siły i daje nam nowe życie. </w:t>
      </w:r>
    </w:p>
    <w:p w14:paraId="019F231E" w14:textId="77777777" w:rsidR="00983B51" w:rsidRDefault="00F30F6B" w:rsidP="00F30F6B">
      <w:pPr>
        <w:pStyle w:val="NoSpacing"/>
        <w:ind w:firstLine="709"/>
        <w:jc w:val="both"/>
      </w:pPr>
      <w:r w:rsidRPr="00F30F6B">
        <w:t xml:space="preserve">Zatem łaska nie jest jedynie teologicznym konceptem, ale realnym działaniem Bożej miłości, które przenika nasze życie. Dzięki niej możemy z nadzieją stawiać czoła trudnościom, które napotykamy na drodze do pełniejszego wypełniania przykazania miłości i sprawiedliwości. </w:t>
      </w:r>
      <w:r w:rsidR="00577652">
        <w:t>Potrzeba je</w:t>
      </w:r>
      <w:r w:rsidR="005C20CF">
        <w:t>st więc współpraca łaski z naszą</w:t>
      </w:r>
      <w:r w:rsidR="00577652">
        <w:t xml:space="preserve"> wolną wolą. </w:t>
      </w:r>
      <w:r w:rsidRPr="00F30F6B">
        <w:t xml:space="preserve">Możemy </w:t>
      </w:r>
      <w:r w:rsidR="00577652">
        <w:t xml:space="preserve">wówczas </w:t>
      </w:r>
      <w:r w:rsidRPr="00F30F6B">
        <w:t>z ufnością podążać ku lepszemu jutru, wiedząc, że nie jesteśmy w tym sami – Bóg jest z nami, wspierając nas w każdym kroku, pomagając nam wzrastać w dobroci i sprawiedliwości.</w:t>
      </w:r>
    </w:p>
    <w:p w14:paraId="5112E255" w14:textId="77777777" w:rsidR="00983B51" w:rsidRDefault="00983B51" w:rsidP="00983B51">
      <w:pPr>
        <w:pStyle w:val="ListParagraph"/>
        <w:ind w:left="1068"/>
        <w:jc w:val="both"/>
        <w:rPr>
          <w:b/>
        </w:rPr>
      </w:pPr>
    </w:p>
    <w:p w14:paraId="5C81A5B4" w14:textId="77777777" w:rsidR="00983B51" w:rsidRDefault="00983B51" w:rsidP="001D4C27">
      <w:pPr>
        <w:pStyle w:val="ListParagraph"/>
        <w:numPr>
          <w:ilvl w:val="0"/>
          <w:numId w:val="1"/>
        </w:numPr>
        <w:jc w:val="both"/>
        <w:rPr>
          <w:b/>
        </w:rPr>
      </w:pPr>
      <w:r>
        <w:rPr>
          <w:b/>
        </w:rPr>
        <w:t>Łaska pozwala trwać w dobru</w:t>
      </w:r>
      <w:r w:rsidR="00577652">
        <w:rPr>
          <w:b/>
        </w:rPr>
        <w:t xml:space="preserve"> </w:t>
      </w:r>
      <w:r w:rsidR="00577652" w:rsidRPr="00577652">
        <w:rPr>
          <w:rFonts w:eastAsia="Times New Roman"/>
          <w:b/>
          <w:bCs/>
          <w:color w:val="0A0A0A"/>
          <w:lang w:eastAsia="pl-PL"/>
        </w:rPr>
        <w:t>(</w:t>
      </w:r>
      <w:r w:rsidR="00577652" w:rsidRPr="00577652">
        <w:rPr>
          <w:rFonts w:eastAsia="Times New Roman"/>
          <w:b/>
          <w:bCs/>
          <w:i/>
          <w:iCs/>
          <w:color w:val="0A0A0A"/>
          <w:lang w:eastAsia="pl-PL"/>
        </w:rPr>
        <w:t>perseverantia</w:t>
      </w:r>
      <w:r w:rsidR="00577652" w:rsidRPr="00577652">
        <w:rPr>
          <w:rFonts w:eastAsia="Times New Roman"/>
          <w:b/>
          <w:bCs/>
          <w:color w:val="0A0A0A"/>
          <w:lang w:eastAsia="pl-PL"/>
        </w:rPr>
        <w:t>)</w:t>
      </w:r>
    </w:p>
    <w:p w14:paraId="74BED2FD" w14:textId="77777777" w:rsidR="00577652" w:rsidRPr="00577652" w:rsidRDefault="00577652" w:rsidP="00577652">
      <w:pPr>
        <w:pStyle w:val="NoSpacing"/>
        <w:ind w:firstLine="709"/>
        <w:jc w:val="both"/>
        <w:rPr>
          <w:lang w:eastAsia="pl-PL"/>
        </w:rPr>
      </w:pPr>
      <w:r w:rsidRPr="00577652">
        <w:rPr>
          <w:lang w:eastAsia="pl-PL"/>
        </w:rPr>
        <w:t>Działanie łaski, które wspiera nas w wytrwaniu w dobrym, jest niezwykle istotne, gdyż pokazuje, że człowiek samodzielnie nie jest w stanie uniknąć grzechu bez Bożego wsparcia. To nie tylko teoria, ale prawda, która odnosi się również do osób, które już zostały usprawiedliwione. Jak mówi jedno z ważnych stwierdzeń: „Dar łaski uświęcającej nie jest nam udzielany po to, żebyśmy, dzięki posiadaniu go, nie potrze</w:t>
      </w:r>
      <w:r>
        <w:rPr>
          <w:lang w:eastAsia="pl-PL"/>
        </w:rPr>
        <w:t>bowali już dalszej Bożej pomocy</w:t>
      </w:r>
      <w:r w:rsidRPr="00577652">
        <w:rPr>
          <w:lang w:eastAsia="pl-PL"/>
        </w:rPr>
        <w:t>”</w:t>
      </w:r>
      <w:r>
        <w:rPr>
          <w:rStyle w:val="FootnoteReference"/>
          <w:lang w:eastAsia="pl-PL"/>
        </w:rPr>
        <w:footnoteReference w:id="14"/>
      </w:r>
      <w:r>
        <w:rPr>
          <w:lang w:eastAsia="pl-PL"/>
        </w:rPr>
        <w:t>.</w:t>
      </w:r>
      <w:r w:rsidRPr="00577652">
        <w:rPr>
          <w:lang w:eastAsia="pl-PL"/>
        </w:rPr>
        <w:t xml:space="preserve"> To podkreśla, że nawet w stanie łaski, każdy z nas nadal potrzebuje ciągłego wsparcia Boga, aby móc zachować dobro, które od Niego otrzymaliśmy.</w:t>
      </w:r>
    </w:p>
    <w:p w14:paraId="57B123A1" w14:textId="77777777" w:rsidR="00577652" w:rsidRPr="00577652" w:rsidRDefault="00577652" w:rsidP="00577652">
      <w:pPr>
        <w:pStyle w:val="NoSpacing"/>
        <w:ind w:firstLine="709"/>
        <w:jc w:val="both"/>
        <w:rPr>
          <w:lang w:eastAsia="pl-PL"/>
        </w:rPr>
      </w:pPr>
      <w:r w:rsidRPr="00577652">
        <w:rPr>
          <w:lang w:eastAsia="pl-PL"/>
        </w:rPr>
        <w:t>Osoba usprawiedliwiona nie ma wystarczającej siły, by samodzielnie trwać w dobrym do końca życia. Potrzebuje specjalnej Bożej pomocy, która prowadzi ją przez życie, kierując jej krokami i chroniąc przed pokusami, które mogą odciągnąć ją od właściwej drogi. To niezwykle ważne, abyśmy zrozumieli, że wytrwałość w czynieniu dobra nie jest tylko kwestią osobistej determinacji, ale głęboko zakorzenionym procesem współpracy z Bożą łaską</w:t>
      </w:r>
      <w:r w:rsidR="00E868E3">
        <w:rPr>
          <w:rStyle w:val="FootnoteReference"/>
          <w:lang w:eastAsia="pl-PL"/>
        </w:rPr>
        <w:footnoteReference w:id="15"/>
      </w:r>
      <w:r w:rsidRPr="00577652">
        <w:rPr>
          <w:lang w:eastAsia="pl-PL"/>
        </w:rPr>
        <w:t>.</w:t>
      </w:r>
    </w:p>
    <w:p w14:paraId="41B0AABC" w14:textId="77777777" w:rsidR="00577652" w:rsidRPr="00577652" w:rsidRDefault="00577652" w:rsidP="00577652">
      <w:pPr>
        <w:pStyle w:val="NoSpacing"/>
        <w:ind w:firstLine="709"/>
        <w:jc w:val="both"/>
        <w:rPr>
          <w:lang w:eastAsia="pl-PL"/>
        </w:rPr>
      </w:pPr>
      <w:r w:rsidRPr="00577652">
        <w:rPr>
          <w:lang w:eastAsia="pl-PL"/>
        </w:rPr>
        <w:t>Przykład ten ma również wymiar praktyczny. W codziennym życiu, stawiając czoła różnorodnym wyzwaniom oraz pokusom, często odczuwamy osłabienie i frustrację. W takich momentach przyjęcie postawy pełnej zaufania do Boga i Jego łaski może stanowić klucz do znalezienia wewnętrznej siły, która pomoże nam iść dalej. To nie tylko przypomnienie o naszej słabości, ale także o Bożej mocy, która działa w naszym życiu.</w:t>
      </w:r>
      <w:r w:rsidR="009F30F6">
        <w:rPr>
          <w:lang w:eastAsia="pl-PL"/>
        </w:rPr>
        <w:t xml:space="preserve"> Potrzebujemy więc „specjalnej pomocy Bożej, która by nim kierowała i chroniła go przed atakami pokus”</w:t>
      </w:r>
      <w:r w:rsidR="009F30F6">
        <w:rPr>
          <w:rStyle w:val="FootnoteReference"/>
          <w:lang w:eastAsia="pl-PL"/>
        </w:rPr>
        <w:footnoteReference w:id="16"/>
      </w:r>
      <w:r w:rsidR="009F30F6">
        <w:rPr>
          <w:lang w:eastAsia="pl-PL"/>
        </w:rPr>
        <w:t>.</w:t>
      </w:r>
    </w:p>
    <w:p w14:paraId="3192C092" w14:textId="77777777" w:rsidR="00577652" w:rsidRPr="00577652" w:rsidRDefault="00577652" w:rsidP="00577652">
      <w:pPr>
        <w:pStyle w:val="NoSpacing"/>
        <w:ind w:firstLine="709"/>
        <w:jc w:val="both"/>
        <w:rPr>
          <w:lang w:eastAsia="pl-PL"/>
        </w:rPr>
      </w:pPr>
      <w:r w:rsidRPr="00577652">
        <w:rPr>
          <w:lang w:eastAsia="pl-PL"/>
        </w:rPr>
        <w:t>W związku z tym, łaska staje się nie tylko teologiczną koncepcją, ale realnym wsparciem, które towarzyszy nam na każdym etapie naszej duchowej podróży. Czerpiąc z tej łaski, możemy na nowo odnajdywać sens w naszych działaniach i dążyć do dobra w sposób, który nie jest obciążony ciężarem samodzielnych wysiłków, ale osadzony w głębokim zaufaniu, że Bóg jest z nami, prowadząc nas przez życie pełne wyzwań i piękna.</w:t>
      </w:r>
    </w:p>
    <w:p w14:paraId="65F26572" w14:textId="77777777" w:rsidR="00983B51" w:rsidRDefault="00983B51" w:rsidP="00983B51">
      <w:pPr>
        <w:pStyle w:val="ListParagraph"/>
        <w:ind w:left="1068"/>
        <w:jc w:val="both"/>
        <w:rPr>
          <w:b/>
        </w:rPr>
      </w:pPr>
    </w:p>
    <w:p w14:paraId="1F2AC066" w14:textId="77777777" w:rsidR="00983B51" w:rsidRDefault="00983B51" w:rsidP="001D4C27">
      <w:pPr>
        <w:pStyle w:val="ListParagraph"/>
        <w:numPr>
          <w:ilvl w:val="0"/>
          <w:numId w:val="1"/>
        </w:numPr>
        <w:jc w:val="both"/>
        <w:rPr>
          <w:b/>
        </w:rPr>
      </w:pPr>
      <w:r>
        <w:rPr>
          <w:b/>
        </w:rPr>
        <w:t>Łaska prowadzi do chwały nieba</w:t>
      </w:r>
      <w:r w:rsidR="00DF681D">
        <w:rPr>
          <w:b/>
        </w:rPr>
        <w:t xml:space="preserve"> </w:t>
      </w:r>
      <w:r w:rsidR="00DF681D" w:rsidRPr="00DF681D">
        <w:rPr>
          <w:rFonts w:eastAsia="Times New Roman"/>
          <w:b/>
          <w:bCs/>
          <w:color w:val="0A0A0A"/>
          <w:lang w:eastAsia="pl-PL"/>
        </w:rPr>
        <w:t>(</w:t>
      </w:r>
      <w:r w:rsidR="00DF681D" w:rsidRPr="00DF681D">
        <w:rPr>
          <w:rFonts w:eastAsia="Times New Roman"/>
          <w:b/>
          <w:bCs/>
          <w:i/>
          <w:iCs/>
          <w:color w:val="0A0A0A"/>
          <w:lang w:eastAsia="pl-PL"/>
        </w:rPr>
        <w:t>pervenire ad gloriam</w:t>
      </w:r>
      <w:r w:rsidR="00DF681D" w:rsidRPr="00DF681D">
        <w:rPr>
          <w:rFonts w:eastAsia="Times New Roman"/>
          <w:b/>
          <w:bCs/>
          <w:color w:val="0A0A0A"/>
          <w:lang w:eastAsia="pl-PL"/>
        </w:rPr>
        <w:t>)</w:t>
      </w:r>
    </w:p>
    <w:p w14:paraId="4623D7CE" w14:textId="77777777" w:rsidR="009F30F6" w:rsidRPr="009F30F6" w:rsidRDefault="009F30F6" w:rsidP="009F30F6">
      <w:pPr>
        <w:pStyle w:val="NoSpacing"/>
        <w:ind w:firstLine="709"/>
        <w:jc w:val="both"/>
        <w:rPr>
          <w:lang w:eastAsia="pl-PL"/>
        </w:rPr>
      </w:pPr>
      <w:r w:rsidRPr="009F30F6">
        <w:rPr>
          <w:lang w:eastAsia="pl-PL"/>
        </w:rPr>
        <w:t>Działanie łaski, które wspiera nas w dążeniu do osiągnięcia chwały, stawia przed nami istotne pytanie: czy człowiek może samodzielnie zasłużyć na życie wieczne? Odpowiedź na to pytanie jest jasna: w zasadzie jest to niemożliwe. Życie wieczne przekracza bowiem granice naszej ludzkiej natury i naszych ludzkich zdolności. „</w:t>
      </w:r>
      <w:r>
        <w:rPr>
          <w:lang w:eastAsia="pl-PL"/>
        </w:rPr>
        <w:t xml:space="preserve">Dlatego </w:t>
      </w:r>
      <w:r w:rsidRPr="009F30F6">
        <w:rPr>
          <w:lang w:eastAsia="pl-PL"/>
        </w:rPr>
        <w:t>człowiek mocą swych przyrodzonych zdolności nie może wykonywać uczynków zasługujących, które byłyby współmierne z życiem wiecznym</w:t>
      </w:r>
      <w:r>
        <w:rPr>
          <w:lang w:eastAsia="pl-PL"/>
        </w:rPr>
        <w:t>; konieczna jest do tego moc wyższa, a mianowicie moc łaski</w:t>
      </w:r>
      <w:r w:rsidRPr="009F30F6">
        <w:rPr>
          <w:lang w:eastAsia="pl-PL"/>
        </w:rPr>
        <w:t>”</w:t>
      </w:r>
      <w:r>
        <w:rPr>
          <w:rStyle w:val="FootnoteReference"/>
          <w:lang w:eastAsia="pl-PL"/>
        </w:rPr>
        <w:footnoteReference w:id="17"/>
      </w:r>
      <w:r w:rsidRPr="009F30F6">
        <w:rPr>
          <w:lang w:eastAsia="pl-PL"/>
        </w:rPr>
        <w:t>. To oznacza, że same ludzkie wysiłki są niewystarczające, aby uzyskać tę najwyższą nagrodę</w:t>
      </w:r>
      <w:r w:rsidR="00E868E3">
        <w:rPr>
          <w:rStyle w:val="FootnoteReference"/>
          <w:lang w:eastAsia="pl-PL"/>
        </w:rPr>
        <w:footnoteReference w:id="18"/>
      </w:r>
      <w:r w:rsidRPr="009F30F6">
        <w:rPr>
          <w:lang w:eastAsia="pl-PL"/>
        </w:rPr>
        <w:t xml:space="preserve">. </w:t>
      </w:r>
    </w:p>
    <w:p w14:paraId="681AD000" w14:textId="77777777" w:rsidR="009F30F6" w:rsidRPr="009F30F6" w:rsidRDefault="009F30F6" w:rsidP="009F30F6">
      <w:pPr>
        <w:pStyle w:val="NoSpacing"/>
        <w:ind w:firstLine="709"/>
        <w:jc w:val="both"/>
        <w:rPr>
          <w:lang w:eastAsia="pl-PL"/>
        </w:rPr>
      </w:pPr>
      <w:r w:rsidRPr="009F30F6">
        <w:rPr>
          <w:lang w:eastAsia="pl-PL"/>
        </w:rPr>
        <w:lastRenderedPageBreak/>
        <w:t>Właśnie dlatego niezbędne jest działanie mocniejszej siły – mocy łaski, która przychodzi z zewnątrz i wzmacnia nas w dążeniu do dobra. Bez łaski, nasza ludzka natura, osłabiona przez grzech, nie mogłaby w pełni rozwinąć swojego potencjału do czynów zasługujących na życie wieczne. Wiele osób może myśleć, że są w stanie osiągnąć raj jedynie przez własne dobre uczynki, ale rzeczywistość jest inna – potrzebujemy Bożego wsparcia, które pozwala nam w pełni realizować nasze powołanie.</w:t>
      </w:r>
    </w:p>
    <w:p w14:paraId="67AA8BDB" w14:textId="77777777" w:rsidR="009F30F6" w:rsidRPr="009F30F6" w:rsidRDefault="009F30F6" w:rsidP="009F30F6">
      <w:pPr>
        <w:pStyle w:val="NoSpacing"/>
        <w:ind w:firstLine="709"/>
        <w:jc w:val="both"/>
        <w:rPr>
          <w:lang w:eastAsia="pl-PL"/>
        </w:rPr>
      </w:pPr>
      <w:r w:rsidRPr="009F30F6">
        <w:rPr>
          <w:lang w:eastAsia="pl-PL"/>
        </w:rPr>
        <w:t>Z drugiej strony jednak, działania dobra, które podejmuje osoba usprawiedliwiona, mają charakter zasługujący. To wspaniała perspektywa, ponieważ dzięki łasce uświęcającej, która uzdrawia naszą ludzką naturę poprzez usprawiedliwienie, jes</w:t>
      </w:r>
      <w:r w:rsidR="003B436A">
        <w:rPr>
          <w:lang w:eastAsia="pl-PL"/>
        </w:rPr>
        <w:t>teśmy w stanie „wykonywać czyny zasługujące</w:t>
      </w:r>
      <w:r w:rsidRPr="009F30F6">
        <w:rPr>
          <w:lang w:eastAsia="pl-PL"/>
        </w:rPr>
        <w:t xml:space="preserve"> na życie wieczne</w:t>
      </w:r>
      <w:r w:rsidR="00DF681D">
        <w:rPr>
          <w:lang w:eastAsia="pl-PL"/>
        </w:rPr>
        <w:t xml:space="preserve">, a </w:t>
      </w:r>
      <w:r w:rsidR="003B436A">
        <w:rPr>
          <w:lang w:eastAsia="pl-PL"/>
        </w:rPr>
        <w:t>przewyższające</w:t>
      </w:r>
      <w:r w:rsidR="00DF681D">
        <w:rPr>
          <w:lang w:eastAsia="pl-PL"/>
        </w:rPr>
        <w:t xml:space="preserve"> możliwości natury</w:t>
      </w:r>
      <w:r w:rsidRPr="009F30F6">
        <w:rPr>
          <w:lang w:eastAsia="pl-PL"/>
        </w:rPr>
        <w:t>”</w:t>
      </w:r>
      <w:r w:rsidR="00DF681D">
        <w:rPr>
          <w:rStyle w:val="FootnoteReference"/>
          <w:lang w:eastAsia="pl-PL"/>
        </w:rPr>
        <w:footnoteReference w:id="19"/>
      </w:r>
      <w:r w:rsidRPr="009F30F6">
        <w:rPr>
          <w:lang w:eastAsia="pl-PL"/>
        </w:rPr>
        <w:t>. Łaska podnosi nas ponad nasze naturalne ograniczenia, uzdalniając nas do działania w sposób, który przewyższa nasze ludzkie możliwości.</w:t>
      </w:r>
    </w:p>
    <w:p w14:paraId="14C43411" w14:textId="77777777" w:rsidR="009F30F6" w:rsidRPr="009F30F6" w:rsidRDefault="009F30F6" w:rsidP="009F30F6">
      <w:pPr>
        <w:pStyle w:val="NoSpacing"/>
        <w:ind w:firstLine="709"/>
        <w:jc w:val="both"/>
        <w:rPr>
          <w:lang w:eastAsia="pl-PL"/>
        </w:rPr>
      </w:pPr>
      <w:r w:rsidRPr="009F30F6">
        <w:rPr>
          <w:lang w:eastAsia="pl-PL"/>
        </w:rPr>
        <w:t>To w pełni demaskuje prawdę, że nasze dobre uczynki mają sens tylko wtedy, gdy są wytworem współpracy z łaską Bożą. Każde nasze działanie, które przynosi chwałę Bogu, staje się nie tylko wyrazem naszej wiary, ale także przykładem niezwykłej prawdy o Bożym miłosierdziu, które działa w nas. Dzięki łasce, możemy posuwać się ku wieczności w nadziei, że nasze życie jest kształtowane przez coś większego – przez Bożą moc, która nieustannie nas wspiera i prowadzi.</w:t>
      </w:r>
    </w:p>
    <w:p w14:paraId="460E2C0B" w14:textId="77777777" w:rsidR="009F30F6" w:rsidRDefault="009F30F6" w:rsidP="009F30F6">
      <w:pPr>
        <w:pStyle w:val="NoSpacing"/>
        <w:ind w:firstLine="709"/>
        <w:jc w:val="both"/>
        <w:rPr>
          <w:lang w:eastAsia="pl-PL"/>
        </w:rPr>
      </w:pPr>
      <w:r w:rsidRPr="009F30F6">
        <w:rPr>
          <w:lang w:eastAsia="pl-PL"/>
        </w:rPr>
        <w:t>W końcu, to właśnie ta obietnica życia wiecznego, obdarzonego chwałą, staje się naszym celem i motywacją do działania. W punktach zwrotnych życia, które mogą być trudne i związane z wyzwaniami, warto pamiętać, że nie jesteśmy sami. Boża łaska zawsze jest dostępna, by umacniać nas w dążeniu do dobra i prowadzić nas ku ostatecznemu spełnieniu w Jego wiecznej chwale.</w:t>
      </w:r>
    </w:p>
    <w:p w14:paraId="28BC80DB" w14:textId="77777777" w:rsidR="00DF681D" w:rsidRDefault="00DF681D" w:rsidP="009F30F6">
      <w:pPr>
        <w:pStyle w:val="NoSpacing"/>
        <w:ind w:firstLine="709"/>
        <w:jc w:val="both"/>
        <w:rPr>
          <w:lang w:eastAsia="pl-PL"/>
        </w:rPr>
      </w:pPr>
    </w:p>
    <w:p w14:paraId="62A829BF" w14:textId="77777777" w:rsidR="00DF681D" w:rsidRPr="00DF681D" w:rsidRDefault="00DF681D" w:rsidP="009F30F6">
      <w:pPr>
        <w:pStyle w:val="NoSpacing"/>
        <w:ind w:firstLine="709"/>
        <w:jc w:val="both"/>
        <w:rPr>
          <w:b/>
          <w:bCs/>
          <w:lang w:eastAsia="pl-PL"/>
        </w:rPr>
      </w:pPr>
      <w:r w:rsidRPr="00DF681D">
        <w:rPr>
          <w:b/>
          <w:bCs/>
          <w:lang w:eastAsia="pl-PL"/>
        </w:rPr>
        <w:t>Podsumowanie</w:t>
      </w:r>
    </w:p>
    <w:p w14:paraId="68567C92" w14:textId="77777777" w:rsidR="00DF681D" w:rsidRDefault="00DF681D" w:rsidP="009F30F6">
      <w:pPr>
        <w:pStyle w:val="NoSpacing"/>
        <w:ind w:firstLine="709"/>
        <w:jc w:val="both"/>
        <w:rPr>
          <w:lang w:eastAsia="pl-PL"/>
        </w:rPr>
      </w:pPr>
    </w:p>
    <w:p w14:paraId="58F5D45D" w14:textId="77777777" w:rsidR="00DF681D" w:rsidRPr="00DF681D" w:rsidRDefault="00DF681D" w:rsidP="00DF681D">
      <w:pPr>
        <w:pStyle w:val="NoSpacing"/>
        <w:ind w:firstLine="709"/>
        <w:jc w:val="both"/>
        <w:rPr>
          <w:lang w:eastAsia="pl-PL"/>
        </w:rPr>
      </w:pPr>
      <w:r w:rsidRPr="00DF681D">
        <w:rPr>
          <w:color w:val="09090B"/>
          <w:shd w:val="clear" w:color="auto" w:fill="FFFFFF"/>
        </w:rPr>
        <w:t xml:space="preserve">Pięć skutków łaski, które opisuje Tomasz z Akwinu, doskonale ilustruje drogę duchowego rozwoju człowieka. Każdy z tych etapów ukazuje nie tylko przemianę, jaką łaska wprowadza w nasze życie, ale także dynamikę naszej relacji z Bogiem i naszymi bliźnimi. </w:t>
      </w:r>
      <w:r>
        <w:rPr>
          <w:color w:val="09090B"/>
          <w:shd w:val="clear" w:color="auto" w:fill="FFFFFF"/>
        </w:rPr>
        <w:t>Akwinata</w:t>
      </w:r>
      <w:r w:rsidRPr="00DF681D">
        <w:rPr>
          <w:color w:val="09090B"/>
          <w:shd w:val="clear" w:color="auto" w:fill="FFFFFF"/>
        </w:rPr>
        <w:t xml:space="preserve"> ukazuje złożoną i piękną drogę duchowego rozwoju, która prowadzi od uzdrowienia do wiecznej chwały. Każdy z tych etapów jest niezbędny, aby w pełni zrozumieć wartość łaski w naszym życiu oraz potęgę Bożej miłości, która uzdalnia nas do lepienia lepszego świata i odkrywania głębi naszej relacji z Bogiem.</w:t>
      </w:r>
    </w:p>
    <w:p w14:paraId="69E0E021" w14:textId="77777777" w:rsidR="001B0F9C" w:rsidRDefault="001B0F9C" w:rsidP="001B0F9C">
      <w:pPr>
        <w:jc w:val="both"/>
        <w:rPr>
          <w:b/>
        </w:rPr>
      </w:pPr>
    </w:p>
    <w:p w14:paraId="730344DA" w14:textId="77777777" w:rsidR="002E0C1B" w:rsidRPr="002C7D95" w:rsidRDefault="002E0C1B" w:rsidP="002E0C1B">
      <w:pPr>
        <w:pStyle w:val="NoSpacing"/>
        <w:ind w:firstLine="708"/>
        <w:jc w:val="both"/>
      </w:pPr>
      <w:r w:rsidRPr="002C7D95">
        <w:rPr>
          <w:b/>
          <w:bCs/>
        </w:rPr>
        <w:t>Nota o Autorze:</w:t>
      </w:r>
      <w:r w:rsidRPr="002C7D95">
        <w:t xml:space="preserve"> Jarosław M. Lipniak: urodzony 2 lutego 1973 roku w Oławie, prezbiter Diecezji Świdnickiej, doktor habilitowany teologii dogmatycznej, Redaktor Naczelny Międzynarodowego Przeglądu Teologicznego „Communio”, Kierownik Katedry Eklezjologii i Ekumenizmu Papieskiego Wydziału Teologicznego we Wrocławiu, Prezes Dolnośląskiego Instytutu Dialogu i Tolerancji, przedstawiciel Biskupa Świdnickiego do spraw Ekumenizmu i Dialogu Międzyreligijnego, Proboszcz parafii pw. Nawiedzenia NMP w Witoszowie Dolnym.</w:t>
      </w:r>
    </w:p>
    <w:p w14:paraId="5F754A7E" w14:textId="77777777" w:rsidR="002E0C1B" w:rsidRPr="0026128E" w:rsidRDefault="002E0C1B" w:rsidP="002E0C1B">
      <w:pPr>
        <w:pStyle w:val="NoSpacing"/>
        <w:jc w:val="both"/>
      </w:pPr>
    </w:p>
    <w:p w14:paraId="31B7A1CF" w14:textId="77777777" w:rsidR="002E0C1B" w:rsidRPr="00E27BF7" w:rsidRDefault="002E0C1B" w:rsidP="002E0C1B">
      <w:pPr>
        <w:pStyle w:val="NoSpacing"/>
        <w:jc w:val="both"/>
        <w:rPr>
          <w:b/>
          <w:bCs/>
          <w:lang w:val="en-GB"/>
        </w:rPr>
      </w:pPr>
      <w:r w:rsidRPr="00E27BF7">
        <w:rPr>
          <w:b/>
          <w:bCs/>
          <w:lang w:val="en-GB"/>
        </w:rPr>
        <w:t>Bibliografia:</w:t>
      </w:r>
    </w:p>
    <w:p w14:paraId="6CC75A76" w14:textId="77777777" w:rsidR="00E868E3" w:rsidRPr="00E868E3" w:rsidRDefault="00E868E3" w:rsidP="00E868E3">
      <w:pPr>
        <w:pStyle w:val="NoSpacing"/>
        <w:ind w:left="1134" w:hanging="1134"/>
        <w:rPr>
          <w:lang w:val="en-US" w:eastAsia="pl-PL"/>
        </w:rPr>
      </w:pPr>
      <w:r w:rsidRPr="00E868E3">
        <w:rPr>
          <w:lang w:val="en-US" w:eastAsia="pl-PL"/>
        </w:rPr>
        <w:t>Anderson</w:t>
      </w:r>
      <w:r>
        <w:rPr>
          <w:lang w:val="en-US" w:eastAsia="pl-PL"/>
        </w:rPr>
        <w:t xml:space="preserve"> </w:t>
      </w:r>
      <w:r w:rsidRPr="00E868E3">
        <w:rPr>
          <w:lang w:val="en-US" w:eastAsia="pl-PL"/>
        </w:rPr>
        <w:t xml:space="preserve">J.M., </w:t>
      </w:r>
      <w:r w:rsidRPr="00E868E3">
        <w:rPr>
          <w:i/>
          <w:iCs/>
          <w:lang w:val="en-US" w:eastAsia="pl-PL"/>
        </w:rPr>
        <w:t>Virtue and Grace in the Theology of Thomas Aquinas</w:t>
      </w:r>
      <w:r w:rsidRPr="00E868E3">
        <w:rPr>
          <w:lang w:val="en-US" w:eastAsia="pl-PL"/>
        </w:rPr>
        <w:t xml:space="preserve">, </w:t>
      </w:r>
      <w:r w:rsidRPr="00E868E3">
        <w:rPr>
          <w:shd w:val="clear" w:color="auto" w:fill="FFFFFF"/>
          <w:lang w:val="en-US"/>
        </w:rPr>
        <w:t>Cambridge 2020.</w:t>
      </w:r>
    </w:p>
    <w:p w14:paraId="36E66005" w14:textId="77777777" w:rsidR="00FF3E75" w:rsidRPr="00FF3E75" w:rsidRDefault="00FF3E75" w:rsidP="00E868E3">
      <w:pPr>
        <w:pStyle w:val="NoSpacing"/>
        <w:ind w:left="1134" w:hanging="1134"/>
        <w:jc w:val="both"/>
      </w:pPr>
      <w:r>
        <w:t xml:space="preserve">Biffi I., </w:t>
      </w:r>
      <w:r w:rsidRPr="00FF3E75">
        <w:rPr>
          <w:i/>
          <w:iCs/>
        </w:rPr>
        <w:t>Roztropność w refleksji św. Tomasza z Akwinu</w:t>
      </w:r>
      <w:r>
        <w:t xml:space="preserve">, w: </w:t>
      </w:r>
      <w:r w:rsidRPr="00FF3E75">
        <w:rPr>
          <w:i/>
          <w:iCs/>
        </w:rPr>
        <w:t>Communio</w:t>
      </w:r>
      <w:r>
        <w:t xml:space="preserve"> 18(1988)5, s. 56-71.</w:t>
      </w:r>
    </w:p>
    <w:p w14:paraId="3EFE8319" w14:textId="77777777" w:rsidR="00E868E3" w:rsidRPr="00E868E3" w:rsidRDefault="00E868E3" w:rsidP="00E868E3">
      <w:pPr>
        <w:pStyle w:val="NoSpacing"/>
        <w:ind w:left="1134" w:hanging="1134"/>
        <w:jc w:val="both"/>
        <w:rPr>
          <w:lang w:val="en-US"/>
        </w:rPr>
      </w:pPr>
      <w:r w:rsidRPr="00E868E3">
        <w:rPr>
          <w:lang w:val="en-US"/>
        </w:rPr>
        <w:t>Dierks</w:t>
      </w:r>
      <w:r>
        <w:rPr>
          <w:lang w:val="en-US"/>
        </w:rPr>
        <w:t xml:space="preserve"> </w:t>
      </w:r>
      <w:r w:rsidRPr="00E868E3">
        <w:rPr>
          <w:lang w:val="en-US"/>
        </w:rPr>
        <w:t xml:space="preserve">T., </w:t>
      </w:r>
      <w:r w:rsidRPr="00E868E3">
        <w:rPr>
          <w:i/>
          <w:iCs/>
          <w:lang w:val="en-US"/>
        </w:rPr>
        <w:t>The Doctrine of Justification According to Thomas Aquinas</w:t>
      </w:r>
      <w:r w:rsidRPr="00E868E3">
        <w:rPr>
          <w:lang w:val="en-US"/>
        </w:rPr>
        <w:t xml:space="preserve">, w: </w:t>
      </w:r>
      <w:r w:rsidRPr="00E868E3">
        <w:rPr>
          <w:i/>
          <w:iCs/>
          <w:lang w:val="en-US"/>
        </w:rPr>
        <w:t>Concordia Theological Monthly</w:t>
      </w:r>
      <w:r w:rsidRPr="00E868E3">
        <w:rPr>
          <w:lang w:val="en-US"/>
        </w:rPr>
        <w:t xml:space="preserve"> 9(1938)2, s. 114-123.</w:t>
      </w:r>
    </w:p>
    <w:p w14:paraId="44F82368" w14:textId="77777777" w:rsidR="00E868E3" w:rsidRPr="00E868E3" w:rsidRDefault="00E868E3" w:rsidP="00E868E3">
      <w:pPr>
        <w:pStyle w:val="NoSpacing"/>
        <w:ind w:left="1134" w:hanging="1134"/>
        <w:jc w:val="both"/>
        <w:rPr>
          <w:lang w:val="de-AT" w:eastAsia="pl-PL"/>
        </w:rPr>
      </w:pPr>
      <w:r w:rsidRPr="00E868E3">
        <w:rPr>
          <w:lang w:val="de-AT"/>
        </w:rPr>
        <w:lastRenderedPageBreak/>
        <w:t>Herms</w:t>
      </w:r>
      <w:r>
        <w:rPr>
          <w:lang w:val="de-AT"/>
        </w:rPr>
        <w:t xml:space="preserve"> </w:t>
      </w:r>
      <w:r w:rsidRPr="00E868E3">
        <w:rPr>
          <w:lang w:val="de-AT"/>
        </w:rPr>
        <w:t xml:space="preserve">E., </w:t>
      </w:r>
      <w:r w:rsidRPr="00E868E3">
        <w:rPr>
          <w:i/>
          <w:iCs/>
          <w:lang w:val="de-AT" w:eastAsia="pl-PL"/>
        </w:rPr>
        <w:t>'Natura corrupta': Die kanonisch gewordene Fehlrezeption von Luthers Anthropologie</w:t>
      </w:r>
      <w:r w:rsidRPr="00E868E3">
        <w:rPr>
          <w:lang w:val="de-AT" w:eastAsia="pl-PL"/>
        </w:rPr>
        <w:t xml:space="preserve">, w: </w:t>
      </w:r>
      <w:r w:rsidRPr="00E868E3">
        <w:rPr>
          <w:i/>
          <w:iCs/>
          <w:lang w:val="de-AT" w:eastAsia="pl-PL"/>
        </w:rPr>
        <w:t>Lutherjahrbuch</w:t>
      </w:r>
      <w:r w:rsidRPr="00E868E3">
        <w:rPr>
          <w:lang w:val="de-AT" w:eastAsia="pl-PL"/>
        </w:rPr>
        <w:t xml:space="preserve"> 92(2025), s. 71-110.</w:t>
      </w:r>
    </w:p>
    <w:p w14:paraId="7E733800" w14:textId="77777777" w:rsidR="00E868E3" w:rsidRPr="00E868E3" w:rsidRDefault="00E868E3" w:rsidP="00E868E3">
      <w:pPr>
        <w:shd w:val="clear" w:color="auto" w:fill="FFFFFF"/>
        <w:spacing w:after="0" w:line="240" w:lineRule="auto"/>
        <w:ind w:left="1134" w:hanging="1134"/>
        <w:rPr>
          <w:rFonts w:eastAsia="Times New Roman"/>
          <w:color w:val="55585D"/>
          <w:lang w:val="en-US" w:eastAsia="pl-PL"/>
        </w:rPr>
      </w:pPr>
      <w:r w:rsidRPr="00E868E3">
        <w:rPr>
          <w:lang w:val="en-US"/>
        </w:rPr>
        <w:t xml:space="preserve">Janson R.W., </w:t>
      </w:r>
      <w:r w:rsidRPr="00E868E3">
        <w:rPr>
          <w:rFonts w:eastAsia="Times New Roman"/>
          <w:i/>
          <w:iCs/>
          <w:lang w:val="en-US" w:eastAsia="pl-PL"/>
        </w:rPr>
        <w:t xml:space="preserve">Gratia non tollit naturam sed perficit, </w:t>
      </w:r>
      <w:r w:rsidRPr="00E868E3">
        <w:rPr>
          <w:rFonts w:eastAsia="Times New Roman"/>
          <w:lang w:val="en-US" w:eastAsia="pl-PL"/>
        </w:rPr>
        <w:t xml:space="preserve">w: </w:t>
      </w:r>
      <w:r w:rsidRPr="00E868E3">
        <w:rPr>
          <w:rFonts w:eastAsia="Times New Roman"/>
          <w:i/>
          <w:iCs/>
          <w:lang w:val="en-US" w:eastAsia="pl-PL"/>
        </w:rPr>
        <w:t>Pro Ecclesia</w:t>
      </w:r>
      <w:r w:rsidRPr="00E868E3">
        <w:rPr>
          <w:rFonts w:eastAsia="Times New Roman"/>
          <w:lang w:val="en-US" w:eastAsia="pl-PL"/>
        </w:rPr>
        <w:t xml:space="preserve"> </w:t>
      </w:r>
      <w:r w:rsidRPr="00E868E3">
        <w:rPr>
          <w:shd w:val="clear" w:color="auto" w:fill="FFFFFF"/>
          <w:lang w:val="en-US"/>
        </w:rPr>
        <w:t>24(2015)1, s. 115-123.</w:t>
      </w:r>
    </w:p>
    <w:p w14:paraId="2538556F" w14:textId="77777777" w:rsidR="00E868E3" w:rsidRPr="00E868E3" w:rsidRDefault="00E868E3" w:rsidP="00E868E3">
      <w:pPr>
        <w:pStyle w:val="FootnoteText"/>
        <w:ind w:left="1134" w:hanging="1134"/>
        <w:rPr>
          <w:sz w:val="24"/>
          <w:szCs w:val="24"/>
        </w:rPr>
      </w:pPr>
      <w:r w:rsidRPr="00E868E3">
        <w:rPr>
          <w:sz w:val="24"/>
          <w:szCs w:val="24"/>
        </w:rPr>
        <w:t>Kraus</w:t>
      </w:r>
      <w:r>
        <w:rPr>
          <w:sz w:val="24"/>
          <w:szCs w:val="24"/>
        </w:rPr>
        <w:t xml:space="preserve"> G.</w:t>
      </w:r>
      <w:r w:rsidRPr="00E868E3">
        <w:rPr>
          <w:sz w:val="24"/>
          <w:szCs w:val="24"/>
        </w:rPr>
        <w:t xml:space="preserve">, </w:t>
      </w:r>
      <w:r>
        <w:rPr>
          <w:i/>
          <w:iCs/>
          <w:sz w:val="24"/>
          <w:szCs w:val="24"/>
        </w:rPr>
        <w:t>N</w:t>
      </w:r>
      <w:r w:rsidRPr="00E868E3">
        <w:rPr>
          <w:i/>
          <w:iCs/>
          <w:sz w:val="24"/>
          <w:szCs w:val="24"/>
        </w:rPr>
        <w:t>auka o łasce – Zbawienie jako łaska</w:t>
      </w:r>
      <w:r w:rsidRPr="00E868E3">
        <w:rPr>
          <w:sz w:val="24"/>
          <w:szCs w:val="24"/>
        </w:rPr>
        <w:t xml:space="preserve">, Kraków </w:t>
      </w:r>
      <w:r>
        <w:rPr>
          <w:sz w:val="24"/>
          <w:szCs w:val="24"/>
        </w:rPr>
        <w:t>1999</w:t>
      </w:r>
      <w:r w:rsidRPr="00E868E3">
        <w:rPr>
          <w:sz w:val="24"/>
          <w:szCs w:val="24"/>
        </w:rPr>
        <w:t>.</w:t>
      </w:r>
    </w:p>
    <w:p w14:paraId="7D32397E" w14:textId="77777777" w:rsidR="00E868E3" w:rsidRPr="00E868E3" w:rsidRDefault="00E868E3" w:rsidP="00E868E3">
      <w:pPr>
        <w:pStyle w:val="FootnoteText"/>
        <w:ind w:left="1134" w:hanging="1134"/>
        <w:jc w:val="both"/>
        <w:rPr>
          <w:sz w:val="24"/>
          <w:szCs w:val="24"/>
        </w:rPr>
      </w:pPr>
      <w:r w:rsidRPr="00E868E3">
        <w:rPr>
          <w:sz w:val="24"/>
          <w:szCs w:val="24"/>
        </w:rPr>
        <w:t>Lipniak</w:t>
      </w:r>
      <w:r>
        <w:rPr>
          <w:sz w:val="24"/>
          <w:szCs w:val="24"/>
        </w:rPr>
        <w:t xml:space="preserve"> </w:t>
      </w:r>
      <w:r w:rsidRPr="00E868E3">
        <w:rPr>
          <w:sz w:val="24"/>
          <w:szCs w:val="24"/>
        </w:rPr>
        <w:t xml:space="preserve">J.M., </w:t>
      </w:r>
      <w:r w:rsidRPr="00E868E3">
        <w:rPr>
          <w:i/>
          <w:iCs/>
          <w:sz w:val="24"/>
          <w:szCs w:val="24"/>
        </w:rPr>
        <w:t>Ekumeniczne usprawiedliwienie podzielonych grzeszników</w:t>
      </w:r>
      <w:r>
        <w:rPr>
          <w:sz w:val="24"/>
          <w:szCs w:val="24"/>
        </w:rPr>
        <w:t>.</w:t>
      </w:r>
      <w:r w:rsidRPr="00E868E3">
        <w:rPr>
          <w:sz w:val="24"/>
          <w:szCs w:val="24"/>
        </w:rPr>
        <w:t xml:space="preserve"> </w:t>
      </w:r>
      <w:r w:rsidRPr="00E868E3">
        <w:rPr>
          <w:i/>
          <w:iCs/>
          <w:sz w:val="24"/>
          <w:szCs w:val="24"/>
        </w:rPr>
        <w:t>Recepcja „Wspólnej deklaracji w sprawie nauki o usprawiedliwieniu” w teologii katolickiej</w:t>
      </w:r>
      <w:r w:rsidRPr="00E868E3">
        <w:rPr>
          <w:sz w:val="24"/>
          <w:szCs w:val="24"/>
        </w:rPr>
        <w:t>, Świdnica 2006.</w:t>
      </w:r>
    </w:p>
    <w:p w14:paraId="0AD4A37E" w14:textId="77777777" w:rsidR="00E868E3" w:rsidRPr="00E868E3" w:rsidRDefault="00E868E3" w:rsidP="00E868E3">
      <w:pPr>
        <w:pStyle w:val="FootnoteText"/>
        <w:ind w:left="1134" w:hanging="1134"/>
        <w:rPr>
          <w:sz w:val="24"/>
          <w:szCs w:val="24"/>
        </w:rPr>
      </w:pPr>
      <w:r w:rsidRPr="00E868E3">
        <w:rPr>
          <w:sz w:val="24"/>
          <w:szCs w:val="24"/>
        </w:rPr>
        <w:t>Penczek</w:t>
      </w:r>
      <w:r>
        <w:rPr>
          <w:sz w:val="24"/>
          <w:szCs w:val="24"/>
        </w:rPr>
        <w:t xml:space="preserve"> </w:t>
      </w:r>
      <w:r w:rsidRPr="00E868E3">
        <w:rPr>
          <w:sz w:val="24"/>
          <w:szCs w:val="24"/>
        </w:rPr>
        <w:t xml:space="preserve">M., </w:t>
      </w:r>
      <w:r w:rsidRPr="00E868E3">
        <w:rPr>
          <w:i/>
          <w:iCs/>
          <w:sz w:val="24"/>
          <w:szCs w:val="24"/>
        </w:rPr>
        <w:t>Wola i intelekt w filozofii Tomasza z Akwinu</w:t>
      </w:r>
      <w:r w:rsidRPr="00E868E3">
        <w:rPr>
          <w:sz w:val="24"/>
          <w:szCs w:val="24"/>
        </w:rPr>
        <w:t>, Kraków 2012.</w:t>
      </w:r>
    </w:p>
    <w:p w14:paraId="1A90D10C" w14:textId="77777777" w:rsidR="00E868E3" w:rsidRPr="00E868E3" w:rsidRDefault="00E868E3" w:rsidP="00E868E3">
      <w:pPr>
        <w:pStyle w:val="FootnoteText"/>
        <w:ind w:left="1134" w:hanging="1134"/>
        <w:rPr>
          <w:sz w:val="24"/>
          <w:szCs w:val="24"/>
        </w:rPr>
      </w:pPr>
      <w:r w:rsidRPr="00E868E3">
        <w:rPr>
          <w:sz w:val="24"/>
          <w:szCs w:val="24"/>
        </w:rPr>
        <w:t xml:space="preserve">Tomasz z Akwinu, </w:t>
      </w:r>
      <w:r w:rsidRPr="00E868E3">
        <w:rPr>
          <w:i/>
          <w:sz w:val="24"/>
          <w:szCs w:val="24"/>
        </w:rPr>
        <w:t>Suma Teologiczna</w:t>
      </w:r>
      <w:r w:rsidRPr="00E868E3">
        <w:rPr>
          <w:sz w:val="24"/>
          <w:szCs w:val="24"/>
        </w:rPr>
        <w:t>,</w:t>
      </w:r>
      <w:r>
        <w:rPr>
          <w:sz w:val="24"/>
          <w:szCs w:val="24"/>
        </w:rPr>
        <w:t xml:space="preserve"> London 1962-1986</w:t>
      </w:r>
      <w:r w:rsidRPr="00E868E3">
        <w:rPr>
          <w:sz w:val="24"/>
          <w:szCs w:val="24"/>
        </w:rPr>
        <w:t>.</w:t>
      </w:r>
    </w:p>
    <w:p w14:paraId="40B07CA5" w14:textId="77777777" w:rsidR="00E868E3" w:rsidRPr="00E868E3" w:rsidRDefault="00E868E3" w:rsidP="00E868E3">
      <w:pPr>
        <w:spacing w:after="0"/>
        <w:ind w:left="1134" w:hanging="1134"/>
        <w:rPr>
          <w:lang w:val="en-US"/>
        </w:rPr>
      </w:pPr>
      <w:r w:rsidRPr="00E868E3">
        <w:rPr>
          <w:lang w:val="en-US"/>
        </w:rPr>
        <w:t>Waddell</w:t>
      </w:r>
      <w:r>
        <w:rPr>
          <w:lang w:val="en-US"/>
        </w:rPr>
        <w:t xml:space="preserve"> </w:t>
      </w:r>
      <w:r w:rsidRPr="00E868E3">
        <w:rPr>
          <w:lang w:val="en-US"/>
        </w:rPr>
        <w:t xml:space="preserve">M.M., </w:t>
      </w:r>
      <w:r w:rsidRPr="00E868E3">
        <w:rPr>
          <w:i/>
          <w:iCs/>
          <w:lang w:val="en-US"/>
        </w:rPr>
        <w:t>Aquinas on the light of glory</w:t>
      </w:r>
      <w:r w:rsidRPr="00E868E3">
        <w:rPr>
          <w:lang w:val="en-US"/>
        </w:rPr>
        <w:t xml:space="preserve">, w: </w:t>
      </w:r>
      <w:r w:rsidRPr="00E868E3">
        <w:rPr>
          <w:i/>
          <w:iCs/>
          <w:lang w:val="en-US"/>
        </w:rPr>
        <w:t>Tópicos Revista de Filosofia</w:t>
      </w:r>
      <w:r w:rsidRPr="00E868E3">
        <w:rPr>
          <w:lang w:val="en-US"/>
        </w:rPr>
        <w:t xml:space="preserve"> 40(2013)1, s. 105-132.</w:t>
      </w:r>
    </w:p>
    <w:p w14:paraId="4DAAA420" w14:textId="77777777" w:rsidR="00E868E3" w:rsidRPr="00E868E3" w:rsidRDefault="00E868E3" w:rsidP="00E868E3">
      <w:pPr>
        <w:spacing w:after="0"/>
        <w:ind w:left="1134" w:hanging="1134"/>
      </w:pPr>
      <w:r w:rsidRPr="00E868E3">
        <w:t>Wiśniewski</w:t>
      </w:r>
      <w:r>
        <w:t xml:space="preserve"> </w:t>
      </w:r>
      <w:r w:rsidRPr="00E868E3">
        <w:t xml:space="preserve">H., </w:t>
      </w:r>
      <w:r w:rsidRPr="00E868E3">
        <w:rPr>
          <w:i/>
          <w:iCs/>
        </w:rPr>
        <w:t>Św. Tomasza z Akwinu charakterystyka aktów woli</w:t>
      </w:r>
      <w:r w:rsidRPr="00E868E3">
        <w:t xml:space="preserve">, w: </w:t>
      </w:r>
      <w:r w:rsidRPr="00E868E3">
        <w:rPr>
          <w:i/>
          <w:iCs/>
        </w:rPr>
        <w:t xml:space="preserve">Studia Gilsoniana </w:t>
      </w:r>
      <w:r w:rsidRPr="00E868E3">
        <w:t>4:2(April–June 2015), s. 149–163.</w:t>
      </w:r>
    </w:p>
    <w:p w14:paraId="266745D4" w14:textId="77777777" w:rsidR="002E0C1B" w:rsidRPr="00E27BF7" w:rsidRDefault="002E0C1B" w:rsidP="001B0F9C">
      <w:pPr>
        <w:jc w:val="both"/>
        <w:rPr>
          <w:b/>
        </w:rPr>
      </w:pPr>
    </w:p>
    <w:p w14:paraId="62EEA690" w14:textId="77777777" w:rsidR="00DF681D" w:rsidRPr="00E27BF7" w:rsidRDefault="00DF681D" w:rsidP="00DF681D">
      <w:pPr>
        <w:pStyle w:val="Teksttreci0"/>
        <w:spacing w:after="120" w:line="240" w:lineRule="auto"/>
        <w:ind w:firstLine="0"/>
        <w:jc w:val="both"/>
        <w:rPr>
          <w:rFonts w:ascii="Times New Roman" w:hAnsi="Times New Roman" w:cs="Times New Roman"/>
          <w:bCs/>
          <w:sz w:val="24"/>
          <w:szCs w:val="24"/>
        </w:rPr>
      </w:pPr>
    </w:p>
    <w:p w14:paraId="7878C644" w14:textId="77777777" w:rsidR="00DF681D" w:rsidRPr="00E27BF7" w:rsidRDefault="00DF681D" w:rsidP="001B0F9C">
      <w:pPr>
        <w:jc w:val="both"/>
        <w:rPr>
          <w:b/>
        </w:rPr>
      </w:pPr>
    </w:p>
    <w:sectPr w:rsidR="00DF681D" w:rsidRPr="00E27B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2EBF" w14:textId="77777777" w:rsidR="00FD6676" w:rsidRDefault="00FD6676" w:rsidP="001D4C27">
      <w:pPr>
        <w:spacing w:after="0" w:line="240" w:lineRule="auto"/>
      </w:pPr>
      <w:r>
        <w:separator/>
      </w:r>
    </w:p>
  </w:endnote>
  <w:endnote w:type="continuationSeparator" w:id="0">
    <w:p w14:paraId="753F3B8F" w14:textId="77777777" w:rsidR="00FD6676" w:rsidRDefault="00FD6676" w:rsidP="001D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4A58F" w14:textId="77777777" w:rsidR="00FD6676" w:rsidRDefault="00FD6676" w:rsidP="001D4C27">
      <w:pPr>
        <w:spacing w:after="0" w:line="240" w:lineRule="auto"/>
      </w:pPr>
      <w:r>
        <w:separator/>
      </w:r>
    </w:p>
  </w:footnote>
  <w:footnote w:type="continuationSeparator" w:id="0">
    <w:p w14:paraId="10AFDF36" w14:textId="77777777" w:rsidR="00FD6676" w:rsidRDefault="00FD6676" w:rsidP="001D4C27">
      <w:pPr>
        <w:spacing w:after="0" w:line="240" w:lineRule="auto"/>
      </w:pPr>
      <w:r>
        <w:continuationSeparator/>
      </w:r>
    </w:p>
  </w:footnote>
  <w:footnote w:id="1">
    <w:p w14:paraId="4CF3E84B" w14:textId="77777777" w:rsidR="001D4C27" w:rsidRDefault="001D4C27">
      <w:pPr>
        <w:pStyle w:val="FootnoteText"/>
      </w:pPr>
      <w:r>
        <w:rPr>
          <w:rStyle w:val="FootnoteReference"/>
        </w:rPr>
        <w:footnoteRef/>
      </w:r>
      <w:r>
        <w:t xml:space="preserve"> J.M. Lipniak, </w:t>
      </w:r>
      <w:r w:rsidRPr="001D4C27">
        <w:rPr>
          <w:i/>
          <w:iCs/>
        </w:rPr>
        <w:t>Ekumeniczne usprawiedliwienie podzielonych grzeszników</w:t>
      </w:r>
      <w:r>
        <w:t xml:space="preserve">, </w:t>
      </w:r>
    </w:p>
  </w:footnote>
  <w:footnote w:id="2">
    <w:p w14:paraId="44236993" w14:textId="77777777" w:rsidR="001D4C27" w:rsidRPr="00B16B0D" w:rsidRDefault="001D4C27" w:rsidP="001D4C27">
      <w:pPr>
        <w:pStyle w:val="FootnoteText"/>
      </w:pPr>
      <w:r w:rsidRPr="00B16B0D">
        <w:rPr>
          <w:rStyle w:val="FootnoteReference"/>
        </w:rPr>
        <w:footnoteRef/>
      </w:r>
      <w:r w:rsidR="00932ABB">
        <w:t xml:space="preserve"> </w:t>
      </w:r>
      <w:r w:rsidRPr="00B16B0D">
        <w:t xml:space="preserve">Tomasz z Akwinu, </w:t>
      </w:r>
      <w:r w:rsidRPr="00B16B0D">
        <w:rPr>
          <w:i/>
        </w:rPr>
        <w:t>Suma Teologiczna</w:t>
      </w:r>
      <w:r w:rsidRPr="00B16B0D">
        <w:t>,</w:t>
      </w:r>
      <w:r>
        <w:t xml:space="preserve"> </w:t>
      </w:r>
      <w:r w:rsidRPr="00B16B0D">
        <w:t>t. I-II, q. 113, a 9.</w:t>
      </w:r>
    </w:p>
  </w:footnote>
  <w:footnote w:id="3">
    <w:p w14:paraId="1D960E90" w14:textId="77777777" w:rsidR="00B83B12" w:rsidRDefault="00B83B12">
      <w:pPr>
        <w:pStyle w:val="FootnoteText"/>
      </w:pPr>
      <w:r>
        <w:rPr>
          <w:rStyle w:val="FootnoteReference"/>
        </w:rPr>
        <w:footnoteRef/>
      </w:r>
      <w:r>
        <w:t xml:space="preserve"> </w:t>
      </w:r>
      <w:r w:rsidR="00271B96">
        <w:t xml:space="preserve">G. Kraus, </w:t>
      </w:r>
      <w:r w:rsidR="00E868E3">
        <w:rPr>
          <w:i/>
          <w:iCs/>
        </w:rPr>
        <w:t>N</w:t>
      </w:r>
      <w:r w:rsidR="00271B96" w:rsidRPr="00271B96">
        <w:rPr>
          <w:i/>
          <w:iCs/>
        </w:rPr>
        <w:t>auka o łasce – Zbawienie jako łaska</w:t>
      </w:r>
      <w:r w:rsidR="00271B96">
        <w:t>, Kraków 1999, s. 141.</w:t>
      </w:r>
    </w:p>
  </w:footnote>
  <w:footnote w:id="4">
    <w:p w14:paraId="20B95BD8" w14:textId="77777777" w:rsidR="00C5173A" w:rsidRPr="00E27BF7" w:rsidRDefault="00C5173A" w:rsidP="00C5173A">
      <w:pPr>
        <w:shd w:val="clear" w:color="auto" w:fill="FFFFFF"/>
        <w:spacing w:after="0" w:line="240" w:lineRule="auto"/>
        <w:rPr>
          <w:rFonts w:eastAsia="Times New Roman"/>
          <w:color w:val="55585D"/>
          <w:sz w:val="20"/>
          <w:szCs w:val="20"/>
          <w:lang w:val="en-GB" w:eastAsia="pl-PL"/>
        </w:rPr>
      </w:pPr>
      <w:r w:rsidRPr="00C5173A">
        <w:rPr>
          <w:rStyle w:val="FootnoteReference"/>
          <w:sz w:val="20"/>
          <w:szCs w:val="20"/>
        </w:rPr>
        <w:footnoteRef/>
      </w:r>
      <w:r w:rsidRPr="00E27BF7">
        <w:rPr>
          <w:sz w:val="20"/>
          <w:szCs w:val="20"/>
          <w:lang w:val="en-GB"/>
        </w:rPr>
        <w:t xml:space="preserve"> R.W. Janson, </w:t>
      </w:r>
      <w:r w:rsidRPr="00E27BF7">
        <w:rPr>
          <w:rFonts w:eastAsia="Times New Roman"/>
          <w:i/>
          <w:iCs/>
          <w:sz w:val="20"/>
          <w:szCs w:val="20"/>
          <w:lang w:val="en-GB" w:eastAsia="pl-PL"/>
        </w:rPr>
        <w:t xml:space="preserve">Gratia non tollit naturam sed perficit, </w:t>
      </w:r>
      <w:r w:rsidRPr="00E27BF7">
        <w:rPr>
          <w:rFonts w:eastAsia="Times New Roman"/>
          <w:sz w:val="20"/>
          <w:szCs w:val="20"/>
          <w:lang w:val="en-GB" w:eastAsia="pl-PL"/>
        </w:rPr>
        <w:t xml:space="preserve">w: </w:t>
      </w:r>
      <w:r w:rsidRPr="00E27BF7">
        <w:rPr>
          <w:rFonts w:eastAsia="Times New Roman"/>
          <w:i/>
          <w:iCs/>
          <w:sz w:val="20"/>
          <w:szCs w:val="20"/>
          <w:lang w:val="en-GB" w:eastAsia="pl-PL"/>
        </w:rPr>
        <w:t>Pro Ecclesia</w:t>
      </w:r>
      <w:r w:rsidRPr="00E27BF7">
        <w:rPr>
          <w:rFonts w:eastAsia="Times New Roman"/>
          <w:sz w:val="20"/>
          <w:szCs w:val="20"/>
          <w:lang w:val="en-GB" w:eastAsia="pl-PL"/>
        </w:rPr>
        <w:t xml:space="preserve"> </w:t>
      </w:r>
      <w:r w:rsidRPr="00E27BF7">
        <w:rPr>
          <w:sz w:val="20"/>
          <w:szCs w:val="20"/>
          <w:shd w:val="clear" w:color="auto" w:fill="FFFFFF"/>
          <w:lang w:val="en-GB"/>
        </w:rPr>
        <w:t>24(2015)1, s. 115-123.</w:t>
      </w:r>
    </w:p>
  </w:footnote>
  <w:footnote w:id="5">
    <w:p w14:paraId="0205236C" w14:textId="77777777" w:rsidR="006C0F79" w:rsidRPr="006C0F79" w:rsidRDefault="006C0F79" w:rsidP="006C0F79">
      <w:pPr>
        <w:pStyle w:val="NoSpacing"/>
        <w:jc w:val="both"/>
        <w:rPr>
          <w:sz w:val="20"/>
          <w:szCs w:val="20"/>
          <w:lang w:val="en-US"/>
        </w:rPr>
      </w:pPr>
      <w:r w:rsidRPr="006C0F79">
        <w:rPr>
          <w:rStyle w:val="FootnoteReference"/>
          <w:sz w:val="20"/>
          <w:szCs w:val="20"/>
        </w:rPr>
        <w:footnoteRef/>
      </w:r>
      <w:r w:rsidRPr="006C0F79">
        <w:rPr>
          <w:sz w:val="20"/>
          <w:szCs w:val="20"/>
          <w:vertAlign w:val="superscript"/>
          <w:lang w:val="en-US"/>
        </w:rPr>
        <w:t xml:space="preserve"> </w:t>
      </w:r>
      <w:r w:rsidRPr="00150F44">
        <w:rPr>
          <w:sz w:val="20"/>
          <w:szCs w:val="20"/>
          <w:lang w:val="en-US"/>
        </w:rPr>
        <w:t xml:space="preserve">T. Dierks, </w:t>
      </w:r>
      <w:r w:rsidRPr="006C0F79">
        <w:rPr>
          <w:i/>
          <w:iCs/>
          <w:sz w:val="20"/>
          <w:szCs w:val="20"/>
          <w:lang w:val="en-US"/>
        </w:rPr>
        <w:t>The Doctrine of Justification According to Thomas Aquinas</w:t>
      </w:r>
      <w:r w:rsidRPr="00150F44">
        <w:rPr>
          <w:sz w:val="20"/>
          <w:szCs w:val="20"/>
          <w:lang w:val="en-US"/>
        </w:rPr>
        <w:t xml:space="preserve">, w: </w:t>
      </w:r>
      <w:r w:rsidRPr="006C0F79">
        <w:rPr>
          <w:i/>
          <w:iCs/>
          <w:sz w:val="20"/>
          <w:szCs w:val="20"/>
          <w:lang w:val="en-US"/>
        </w:rPr>
        <w:t>Concordia Theological Monthly</w:t>
      </w:r>
      <w:r w:rsidRPr="00150F44">
        <w:rPr>
          <w:sz w:val="20"/>
          <w:szCs w:val="20"/>
          <w:lang w:val="en-US"/>
        </w:rPr>
        <w:t xml:space="preserve"> 9(1938)2, s. 114-123.</w:t>
      </w:r>
    </w:p>
  </w:footnote>
  <w:footnote w:id="6">
    <w:p w14:paraId="1A2C9152" w14:textId="77777777" w:rsidR="006C0F79" w:rsidRPr="006C0F79" w:rsidRDefault="006C0F79" w:rsidP="006C0F79">
      <w:pPr>
        <w:pStyle w:val="NoSpacing"/>
        <w:jc w:val="both"/>
        <w:rPr>
          <w:sz w:val="20"/>
          <w:szCs w:val="20"/>
          <w:lang w:val="de-AT" w:eastAsia="pl-PL"/>
        </w:rPr>
      </w:pPr>
      <w:r w:rsidRPr="006C0F79">
        <w:rPr>
          <w:rStyle w:val="FootnoteReference"/>
          <w:sz w:val="20"/>
          <w:szCs w:val="20"/>
        </w:rPr>
        <w:footnoteRef/>
      </w:r>
      <w:r w:rsidRPr="006C0F79">
        <w:rPr>
          <w:sz w:val="20"/>
          <w:szCs w:val="20"/>
          <w:lang w:val="de-AT"/>
        </w:rPr>
        <w:t xml:space="preserve"> E. Herms, </w:t>
      </w:r>
      <w:r w:rsidRPr="006C0F79">
        <w:rPr>
          <w:i/>
          <w:iCs/>
          <w:sz w:val="20"/>
          <w:szCs w:val="20"/>
          <w:lang w:val="de-AT" w:eastAsia="pl-PL"/>
        </w:rPr>
        <w:t>'Natura corrupta': Die kanonisch gewordene Fehlrezeption von Luthers Anthropologie</w:t>
      </w:r>
      <w:r w:rsidRPr="006C0F79">
        <w:rPr>
          <w:sz w:val="20"/>
          <w:szCs w:val="20"/>
          <w:lang w:val="de-AT" w:eastAsia="pl-PL"/>
        </w:rPr>
        <w:t xml:space="preserve">, w: </w:t>
      </w:r>
      <w:r w:rsidRPr="006C0F79">
        <w:rPr>
          <w:i/>
          <w:iCs/>
          <w:sz w:val="20"/>
          <w:szCs w:val="20"/>
          <w:lang w:val="de-AT" w:eastAsia="pl-PL"/>
        </w:rPr>
        <w:t>Lutherjahrbuch</w:t>
      </w:r>
      <w:r>
        <w:rPr>
          <w:sz w:val="20"/>
          <w:szCs w:val="20"/>
          <w:lang w:val="de-AT" w:eastAsia="pl-PL"/>
        </w:rPr>
        <w:t xml:space="preserve"> 92(2025), s. 71-110.</w:t>
      </w:r>
    </w:p>
  </w:footnote>
  <w:footnote w:id="7">
    <w:p w14:paraId="3ACFBB47" w14:textId="77777777" w:rsidR="004428B7" w:rsidRDefault="004428B7" w:rsidP="004428B7">
      <w:pPr>
        <w:pStyle w:val="FootnoteText"/>
      </w:pPr>
      <w:r>
        <w:rPr>
          <w:rStyle w:val="FootnoteReference"/>
        </w:rPr>
        <w:footnoteRef/>
      </w:r>
      <w:r>
        <w:t xml:space="preserve"> </w:t>
      </w:r>
      <w:r w:rsidRPr="00B16B0D">
        <w:t xml:space="preserve">Tomasz z Akwinu, </w:t>
      </w:r>
      <w:r w:rsidRPr="00B16B0D">
        <w:rPr>
          <w:i/>
        </w:rPr>
        <w:t>Suma Teologiczna</w:t>
      </w:r>
      <w:r w:rsidRPr="00B16B0D">
        <w:t>,</w:t>
      </w:r>
      <w:r>
        <w:t xml:space="preserve"> </w:t>
      </w:r>
      <w:r w:rsidRPr="00B16B0D">
        <w:t>t. I-II, q. 113, a</w:t>
      </w:r>
      <w:r>
        <w:t xml:space="preserve"> 1</w:t>
      </w:r>
      <w:r w:rsidRPr="00B16B0D">
        <w:t>.</w:t>
      </w:r>
    </w:p>
  </w:footnote>
  <w:footnote w:id="8">
    <w:p w14:paraId="4E505E05" w14:textId="77777777" w:rsidR="004428B7" w:rsidRDefault="004428B7" w:rsidP="004428B7">
      <w:pPr>
        <w:pStyle w:val="FootnoteText"/>
      </w:pPr>
      <w:r>
        <w:rPr>
          <w:rStyle w:val="FootnoteReference"/>
        </w:rPr>
        <w:footnoteRef/>
      </w:r>
      <w:r>
        <w:t xml:space="preserve"> </w:t>
      </w:r>
      <w:r w:rsidRPr="00B16B0D">
        <w:t xml:space="preserve">Tomasz z Akwinu, </w:t>
      </w:r>
      <w:r w:rsidRPr="00B16B0D">
        <w:rPr>
          <w:i/>
        </w:rPr>
        <w:t>Suma Teologiczna</w:t>
      </w:r>
      <w:r w:rsidRPr="00B16B0D">
        <w:t>,</w:t>
      </w:r>
      <w:r>
        <w:t xml:space="preserve"> </w:t>
      </w:r>
      <w:r w:rsidRPr="00B16B0D">
        <w:t>t. I-II, q. 113, a</w:t>
      </w:r>
      <w:r>
        <w:t xml:space="preserve"> 6</w:t>
      </w:r>
      <w:r w:rsidRPr="00B16B0D">
        <w:t>.</w:t>
      </w:r>
    </w:p>
  </w:footnote>
  <w:footnote w:id="9">
    <w:p w14:paraId="7C33CDBD" w14:textId="77777777" w:rsidR="00D7299E" w:rsidRPr="00D7299E" w:rsidRDefault="00D7299E" w:rsidP="00D7299E">
      <w:pPr>
        <w:spacing w:after="0"/>
        <w:rPr>
          <w:sz w:val="20"/>
          <w:szCs w:val="20"/>
        </w:rPr>
      </w:pPr>
      <w:r w:rsidRPr="00D7299E">
        <w:rPr>
          <w:rStyle w:val="FootnoteReference"/>
          <w:sz w:val="20"/>
          <w:szCs w:val="20"/>
        </w:rPr>
        <w:footnoteRef/>
      </w:r>
      <w:r w:rsidRPr="00D7299E">
        <w:rPr>
          <w:sz w:val="20"/>
          <w:szCs w:val="20"/>
        </w:rPr>
        <w:t xml:space="preserve"> </w:t>
      </w:r>
      <w:r>
        <w:rPr>
          <w:sz w:val="20"/>
          <w:szCs w:val="20"/>
        </w:rPr>
        <w:t xml:space="preserve">H. </w:t>
      </w:r>
      <w:r w:rsidRPr="00D7299E">
        <w:rPr>
          <w:sz w:val="20"/>
          <w:szCs w:val="20"/>
        </w:rPr>
        <w:t xml:space="preserve">Wiśniewski, </w:t>
      </w:r>
      <w:r w:rsidRPr="00D7299E">
        <w:rPr>
          <w:i/>
          <w:iCs/>
          <w:sz w:val="20"/>
          <w:szCs w:val="20"/>
        </w:rPr>
        <w:t>Św. Tomasza z Akwinu charakterystyka aktów woli</w:t>
      </w:r>
      <w:r w:rsidRPr="00D7299E">
        <w:rPr>
          <w:sz w:val="20"/>
          <w:szCs w:val="20"/>
        </w:rPr>
        <w:t xml:space="preserve">, w: </w:t>
      </w:r>
      <w:r w:rsidRPr="00D7299E">
        <w:rPr>
          <w:i/>
          <w:iCs/>
          <w:sz w:val="20"/>
          <w:szCs w:val="20"/>
        </w:rPr>
        <w:t xml:space="preserve">Studia Gilsoniana </w:t>
      </w:r>
      <w:r>
        <w:rPr>
          <w:sz w:val="20"/>
          <w:szCs w:val="20"/>
        </w:rPr>
        <w:t>4:2(April–June 2015), s.</w:t>
      </w:r>
      <w:r w:rsidRPr="00D7299E">
        <w:rPr>
          <w:sz w:val="20"/>
          <w:szCs w:val="20"/>
        </w:rPr>
        <w:t xml:space="preserve"> 149–163.</w:t>
      </w:r>
    </w:p>
  </w:footnote>
  <w:footnote w:id="10">
    <w:p w14:paraId="6A68C963" w14:textId="77777777" w:rsidR="00F30F6B" w:rsidRDefault="00F30F6B">
      <w:pPr>
        <w:pStyle w:val="FootnoteText"/>
      </w:pPr>
      <w:r>
        <w:rPr>
          <w:rStyle w:val="FootnoteReference"/>
        </w:rPr>
        <w:footnoteRef/>
      </w:r>
      <w:r>
        <w:t xml:space="preserve"> </w:t>
      </w:r>
      <w:r w:rsidRPr="00B16B0D">
        <w:t xml:space="preserve">Tomasz z Akwinu, </w:t>
      </w:r>
      <w:r w:rsidRPr="00B16B0D">
        <w:rPr>
          <w:i/>
        </w:rPr>
        <w:t>Suma Teologiczna</w:t>
      </w:r>
      <w:r w:rsidRPr="00B16B0D">
        <w:t>,</w:t>
      </w:r>
      <w:r>
        <w:t xml:space="preserve"> </w:t>
      </w:r>
      <w:r w:rsidRPr="00B16B0D">
        <w:t>t. I-II, q. 113, a</w:t>
      </w:r>
      <w:r>
        <w:t xml:space="preserve"> 6</w:t>
      </w:r>
      <w:r w:rsidRPr="00B16B0D">
        <w:t>.</w:t>
      </w:r>
    </w:p>
  </w:footnote>
  <w:footnote w:id="11">
    <w:p w14:paraId="5102D360" w14:textId="77777777" w:rsidR="00FF3E75" w:rsidRDefault="00FF3E75">
      <w:pPr>
        <w:pStyle w:val="FootnoteText"/>
      </w:pPr>
      <w:r>
        <w:rPr>
          <w:rStyle w:val="FootnoteReference"/>
        </w:rPr>
        <w:footnoteRef/>
      </w:r>
      <w:r>
        <w:t xml:space="preserve"> I. Biffi, </w:t>
      </w:r>
      <w:r w:rsidRPr="00FF3E75">
        <w:rPr>
          <w:i/>
          <w:iCs/>
        </w:rPr>
        <w:t>Roztropność w refleksji św. Tomasza z Akwinu</w:t>
      </w:r>
      <w:r>
        <w:t xml:space="preserve">, w: </w:t>
      </w:r>
      <w:r w:rsidRPr="00FF3E75">
        <w:rPr>
          <w:i/>
          <w:iCs/>
        </w:rPr>
        <w:t>Communio</w:t>
      </w:r>
      <w:r>
        <w:t xml:space="preserve"> 18(1988)5, s. 56-71, tutaj s. 67-68.</w:t>
      </w:r>
    </w:p>
  </w:footnote>
  <w:footnote w:id="12">
    <w:p w14:paraId="7473DFBD" w14:textId="77777777" w:rsidR="004F40C8" w:rsidRDefault="004F40C8">
      <w:pPr>
        <w:pStyle w:val="FootnoteText"/>
      </w:pPr>
      <w:r>
        <w:rPr>
          <w:rStyle w:val="FootnoteReference"/>
        </w:rPr>
        <w:footnoteRef/>
      </w:r>
      <w:r>
        <w:t xml:space="preserve"> M. Penczek, </w:t>
      </w:r>
      <w:r w:rsidRPr="004F40C8">
        <w:rPr>
          <w:i/>
          <w:iCs/>
        </w:rPr>
        <w:t>Wola i intelekt w filozofii Tomasza z Akwinu</w:t>
      </w:r>
      <w:r>
        <w:t>, Kraków 2012, s. 241.</w:t>
      </w:r>
    </w:p>
  </w:footnote>
  <w:footnote w:id="13">
    <w:p w14:paraId="1C5B5C02" w14:textId="77777777" w:rsidR="00F30F6B" w:rsidRDefault="00F30F6B">
      <w:pPr>
        <w:pStyle w:val="FootnoteText"/>
      </w:pPr>
      <w:r>
        <w:rPr>
          <w:rStyle w:val="FootnoteReference"/>
        </w:rPr>
        <w:footnoteRef/>
      </w:r>
      <w:r>
        <w:t xml:space="preserve"> </w:t>
      </w:r>
      <w:r w:rsidRPr="00B16B0D">
        <w:t xml:space="preserve">Tomasz z Akwinu, </w:t>
      </w:r>
      <w:r w:rsidRPr="00B16B0D">
        <w:rPr>
          <w:i/>
        </w:rPr>
        <w:t>Suma Teologiczna</w:t>
      </w:r>
      <w:r w:rsidRPr="00B16B0D">
        <w:t>,</w:t>
      </w:r>
      <w:r>
        <w:t xml:space="preserve"> t. I-II, q. 109</w:t>
      </w:r>
      <w:r w:rsidRPr="00B16B0D">
        <w:t>, a</w:t>
      </w:r>
      <w:r>
        <w:t xml:space="preserve"> 7</w:t>
      </w:r>
      <w:r w:rsidRPr="00B16B0D">
        <w:t>.</w:t>
      </w:r>
    </w:p>
  </w:footnote>
  <w:footnote w:id="14">
    <w:p w14:paraId="77E5866D" w14:textId="77777777" w:rsidR="00577652" w:rsidRDefault="00577652">
      <w:pPr>
        <w:pStyle w:val="FootnoteText"/>
      </w:pPr>
      <w:r>
        <w:rPr>
          <w:rStyle w:val="FootnoteReference"/>
        </w:rPr>
        <w:footnoteRef/>
      </w:r>
      <w:r>
        <w:t xml:space="preserve"> </w:t>
      </w:r>
      <w:r w:rsidRPr="00B16B0D">
        <w:t xml:space="preserve">Tomasz z Akwinu, </w:t>
      </w:r>
      <w:r w:rsidRPr="00B16B0D">
        <w:rPr>
          <w:i/>
        </w:rPr>
        <w:t>Suma Teologiczna</w:t>
      </w:r>
      <w:r w:rsidRPr="00B16B0D">
        <w:t>,</w:t>
      </w:r>
      <w:r>
        <w:t xml:space="preserve"> t. I-II, q. 109</w:t>
      </w:r>
      <w:r w:rsidRPr="00B16B0D">
        <w:t>, a</w:t>
      </w:r>
      <w:r>
        <w:t>d 1</w:t>
      </w:r>
      <w:r w:rsidRPr="00B16B0D">
        <w:t>.</w:t>
      </w:r>
    </w:p>
  </w:footnote>
  <w:footnote w:id="15">
    <w:p w14:paraId="3B62EB4D" w14:textId="77777777" w:rsidR="00E868E3" w:rsidRPr="00E868E3" w:rsidRDefault="00E868E3" w:rsidP="00E868E3">
      <w:pPr>
        <w:pStyle w:val="NoSpacing"/>
        <w:rPr>
          <w:sz w:val="20"/>
          <w:szCs w:val="20"/>
          <w:lang w:val="en-US" w:eastAsia="pl-PL"/>
        </w:rPr>
      </w:pPr>
      <w:r w:rsidRPr="00E868E3">
        <w:rPr>
          <w:rStyle w:val="FootnoteReference"/>
          <w:sz w:val="20"/>
          <w:szCs w:val="20"/>
        </w:rPr>
        <w:footnoteRef/>
      </w:r>
      <w:r w:rsidRPr="00E868E3">
        <w:rPr>
          <w:lang w:val="en-US"/>
        </w:rPr>
        <w:t xml:space="preserve"> </w:t>
      </w:r>
      <w:r w:rsidRPr="006B5EAA">
        <w:rPr>
          <w:sz w:val="20"/>
          <w:szCs w:val="20"/>
          <w:lang w:val="en-US" w:eastAsia="pl-PL"/>
        </w:rPr>
        <w:t xml:space="preserve">J.M. Anderson, </w:t>
      </w:r>
      <w:r w:rsidRPr="00E868E3">
        <w:rPr>
          <w:i/>
          <w:iCs/>
          <w:sz w:val="20"/>
          <w:szCs w:val="20"/>
          <w:lang w:val="en-US" w:eastAsia="pl-PL"/>
        </w:rPr>
        <w:t>Virtue and Grace in the Theology of Thomas Aquinas</w:t>
      </w:r>
      <w:r w:rsidRPr="006B5EAA">
        <w:rPr>
          <w:sz w:val="20"/>
          <w:szCs w:val="20"/>
          <w:lang w:val="en-US" w:eastAsia="pl-PL"/>
        </w:rPr>
        <w:t xml:space="preserve">, </w:t>
      </w:r>
      <w:r w:rsidRPr="006B5EAA">
        <w:rPr>
          <w:sz w:val="20"/>
          <w:szCs w:val="20"/>
          <w:shd w:val="clear" w:color="auto" w:fill="FFFFFF"/>
          <w:lang w:val="en-US"/>
        </w:rPr>
        <w:t>Cambridge 2020.</w:t>
      </w:r>
    </w:p>
  </w:footnote>
  <w:footnote w:id="16">
    <w:p w14:paraId="5CE9AB6F" w14:textId="77777777" w:rsidR="009F30F6" w:rsidRDefault="009F30F6">
      <w:pPr>
        <w:pStyle w:val="FootnoteText"/>
      </w:pPr>
      <w:r>
        <w:rPr>
          <w:rStyle w:val="FootnoteReference"/>
        </w:rPr>
        <w:footnoteRef/>
      </w:r>
      <w:r>
        <w:t xml:space="preserve"> </w:t>
      </w:r>
      <w:r w:rsidRPr="00B16B0D">
        <w:t xml:space="preserve">Tomasz z Akwinu, </w:t>
      </w:r>
      <w:r w:rsidRPr="00B16B0D">
        <w:rPr>
          <w:i/>
        </w:rPr>
        <w:t>Suma Teologiczna</w:t>
      </w:r>
      <w:r w:rsidRPr="00B16B0D">
        <w:t>,</w:t>
      </w:r>
      <w:r>
        <w:t xml:space="preserve"> t. I-II, q. 109</w:t>
      </w:r>
      <w:r w:rsidRPr="00B16B0D">
        <w:t>, a</w:t>
      </w:r>
      <w:r>
        <w:t xml:space="preserve"> 10</w:t>
      </w:r>
      <w:r w:rsidRPr="00B16B0D">
        <w:t>.</w:t>
      </w:r>
    </w:p>
  </w:footnote>
  <w:footnote w:id="17">
    <w:p w14:paraId="0B629F96" w14:textId="77777777" w:rsidR="009F30F6" w:rsidRDefault="009F30F6">
      <w:pPr>
        <w:pStyle w:val="FootnoteText"/>
      </w:pPr>
      <w:r>
        <w:rPr>
          <w:rStyle w:val="FootnoteReference"/>
        </w:rPr>
        <w:footnoteRef/>
      </w:r>
      <w:r>
        <w:t xml:space="preserve"> </w:t>
      </w:r>
      <w:r w:rsidR="00DF681D" w:rsidRPr="00B16B0D">
        <w:t xml:space="preserve">Tomasz z Akwinu, </w:t>
      </w:r>
      <w:r w:rsidR="00DF681D" w:rsidRPr="00B16B0D">
        <w:rPr>
          <w:i/>
        </w:rPr>
        <w:t>Suma Teologiczna</w:t>
      </w:r>
      <w:r w:rsidR="00DF681D" w:rsidRPr="00B16B0D">
        <w:t>,</w:t>
      </w:r>
      <w:r w:rsidR="00DF681D">
        <w:t xml:space="preserve"> t. I-II, q. 109</w:t>
      </w:r>
      <w:r w:rsidR="00DF681D" w:rsidRPr="00B16B0D">
        <w:t>, a</w:t>
      </w:r>
      <w:r w:rsidR="00DF681D">
        <w:t xml:space="preserve"> 5</w:t>
      </w:r>
      <w:r w:rsidR="00DF681D" w:rsidRPr="00B16B0D">
        <w:t>.</w:t>
      </w:r>
    </w:p>
  </w:footnote>
  <w:footnote w:id="18">
    <w:p w14:paraId="6191044C" w14:textId="77777777" w:rsidR="00E868E3" w:rsidRPr="00E868E3" w:rsidRDefault="00E868E3" w:rsidP="00E868E3">
      <w:pPr>
        <w:spacing w:after="0"/>
        <w:rPr>
          <w:sz w:val="20"/>
          <w:szCs w:val="20"/>
          <w:lang w:val="en-US"/>
        </w:rPr>
      </w:pPr>
      <w:r w:rsidRPr="00E868E3">
        <w:rPr>
          <w:rStyle w:val="FootnoteReference"/>
          <w:sz w:val="20"/>
          <w:szCs w:val="20"/>
        </w:rPr>
        <w:footnoteRef/>
      </w:r>
      <w:r w:rsidRPr="00E868E3">
        <w:rPr>
          <w:sz w:val="20"/>
          <w:szCs w:val="20"/>
          <w:lang w:val="en-US"/>
        </w:rPr>
        <w:t xml:space="preserve"> </w:t>
      </w:r>
      <w:r w:rsidRPr="006B5EAA">
        <w:rPr>
          <w:sz w:val="20"/>
          <w:szCs w:val="20"/>
          <w:lang w:val="en-US"/>
        </w:rPr>
        <w:t xml:space="preserve">M.M. Waddell, </w:t>
      </w:r>
      <w:r w:rsidRPr="006B5EAA">
        <w:rPr>
          <w:i/>
          <w:iCs/>
          <w:sz w:val="20"/>
          <w:szCs w:val="20"/>
          <w:lang w:val="en-US"/>
        </w:rPr>
        <w:t>Aquinas on the light of glory</w:t>
      </w:r>
      <w:r w:rsidRPr="006B5EAA">
        <w:rPr>
          <w:sz w:val="20"/>
          <w:szCs w:val="20"/>
          <w:lang w:val="en-US"/>
        </w:rPr>
        <w:t xml:space="preserve">, w: </w:t>
      </w:r>
      <w:r w:rsidRPr="006B5EAA">
        <w:rPr>
          <w:i/>
          <w:iCs/>
          <w:sz w:val="20"/>
          <w:szCs w:val="20"/>
          <w:lang w:val="en-US"/>
        </w:rPr>
        <w:t>Tópicos Revista de Filosofia</w:t>
      </w:r>
      <w:r w:rsidRPr="006B5EAA">
        <w:rPr>
          <w:sz w:val="20"/>
          <w:szCs w:val="20"/>
          <w:lang w:val="en-US"/>
        </w:rPr>
        <w:t xml:space="preserve"> 40(2013)1, s. 105-132.</w:t>
      </w:r>
    </w:p>
  </w:footnote>
  <w:footnote w:id="19">
    <w:p w14:paraId="135ECA67" w14:textId="77777777" w:rsidR="00DF681D" w:rsidRDefault="00DF681D">
      <w:pPr>
        <w:pStyle w:val="FootnoteText"/>
      </w:pPr>
      <w:r>
        <w:rPr>
          <w:rStyle w:val="FootnoteReference"/>
        </w:rPr>
        <w:footnoteRef/>
      </w:r>
      <w:r>
        <w:t xml:space="preserve"> </w:t>
      </w:r>
      <w:r w:rsidRPr="00B16B0D">
        <w:t xml:space="preserve">Tomasz z Akwinu, </w:t>
      </w:r>
      <w:r w:rsidRPr="00B16B0D">
        <w:rPr>
          <w:i/>
        </w:rPr>
        <w:t>Suma Teologiczna</w:t>
      </w:r>
      <w:r w:rsidRPr="00B16B0D">
        <w:t>,</w:t>
      </w:r>
      <w:r>
        <w:t xml:space="preserve"> t. I-II, q. 109</w:t>
      </w:r>
      <w:r w:rsidRPr="00B16B0D">
        <w:t>, a</w:t>
      </w:r>
      <w:r>
        <w:t xml:space="preserve"> 9</w:t>
      </w:r>
      <w:r w:rsidRPr="00B16B0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15FC"/>
    <w:multiLevelType w:val="multilevel"/>
    <w:tmpl w:val="1F14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27B38"/>
    <w:multiLevelType w:val="multilevel"/>
    <w:tmpl w:val="BC6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7644B"/>
    <w:multiLevelType w:val="multilevel"/>
    <w:tmpl w:val="9BB8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A3887"/>
    <w:multiLevelType w:val="hybridMultilevel"/>
    <w:tmpl w:val="95740CAE"/>
    <w:lvl w:ilvl="0" w:tplc="A23413D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5831079D"/>
    <w:multiLevelType w:val="multilevel"/>
    <w:tmpl w:val="6D6A1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3051786">
    <w:abstractNumId w:val="3"/>
  </w:num>
  <w:num w:numId="2" w16cid:durableId="1261794866">
    <w:abstractNumId w:val="0"/>
  </w:num>
  <w:num w:numId="3" w16cid:durableId="1317416426">
    <w:abstractNumId w:val="1"/>
  </w:num>
  <w:num w:numId="4" w16cid:durableId="1979844392">
    <w:abstractNumId w:val="4"/>
  </w:num>
  <w:num w:numId="5" w16cid:durableId="1727753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C27"/>
    <w:rsid w:val="00110F11"/>
    <w:rsid w:val="001B0F9C"/>
    <w:rsid w:val="001D4C27"/>
    <w:rsid w:val="00271B96"/>
    <w:rsid w:val="002E0C1B"/>
    <w:rsid w:val="003B436A"/>
    <w:rsid w:val="004428B7"/>
    <w:rsid w:val="004F40C8"/>
    <w:rsid w:val="00577652"/>
    <w:rsid w:val="005C20CF"/>
    <w:rsid w:val="006C0F79"/>
    <w:rsid w:val="00702CFF"/>
    <w:rsid w:val="00781163"/>
    <w:rsid w:val="008501BC"/>
    <w:rsid w:val="00932ABB"/>
    <w:rsid w:val="00983B51"/>
    <w:rsid w:val="009F30F6"/>
    <w:rsid w:val="00AB1730"/>
    <w:rsid w:val="00B536B8"/>
    <w:rsid w:val="00B83B12"/>
    <w:rsid w:val="00BB1472"/>
    <w:rsid w:val="00BB73FB"/>
    <w:rsid w:val="00C5173A"/>
    <w:rsid w:val="00D56289"/>
    <w:rsid w:val="00D7299E"/>
    <w:rsid w:val="00DF681D"/>
    <w:rsid w:val="00E27BF7"/>
    <w:rsid w:val="00E868E3"/>
    <w:rsid w:val="00F30F6B"/>
    <w:rsid w:val="00FD6676"/>
    <w:rsid w:val="00FD68B2"/>
    <w:rsid w:val="00FF3E75"/>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DE5F"/>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D4C27"/>
    <w:pPr>
      <w:spacing w:after="0" w:line="240" w:lineRule="auto"/>
    </w:pPr>
    <w:rPr>
      <w:rFonts w:eastAsia="Times New Roman"/>
      <w:sz w:val="20"/>
      <w:szCs w:val="20"/>
      <w:lang w:eastAsia="pl-PL" w:bidi="ar-SA"/>
    </w:rPr>
  </w:style>
  <w:style w:type="character" w:customStyle="1" w:styleId="FootnoteTextChar">
    <w:name w:val="Footnote Text Char"/>
    <w:basedOn w:val="DefaultParagraphFont"/>
    <w:link w:val="FootnoteText"/>
    <w:semiHidden/>
    <w:rsid w:val="001D4C27"/>
    <w:rPr>
      <w:rFonts w:eastAsia="Times New Roman"/>
      <w:sz w:val="20"/>
      <w:szCs w:val="20"/>
      <w:lang w:eastAsia="pl-PL" w:bidi="ar-SA"/>
    </w:rPr>
  </w:style>
  <w:style w:type="character" w:styleId="FootnoteReference">
    <w:name w:val="footnote reference"/>
    <w:semiHidden/>
    <w:rsid w:val="001D4C27"/>
    <w:rPr>
      <w:vertAlign w:val="superscript"/>
    </w:rPr>
  </w:style>
  <w:style w:type="paragraph" w:styleId="ListParagraph">
    <w:name w:val="List Paragraph"/>
    <w:basedOn w:val="Normal"/>
    <w:uiPriority w:val="34"/>
    <w:qFormat/>
    <w:rsid w:val="001D4C27"/>
    <w:pPr>
      <w:ind w:left="720"/>
      <w:contextualSpacing/>
    </w:pPr>
  </w:style>
  <w:style w:type="character" w:customStyle="1" w:styleId="t286pc">
    <w:name w:val="t286pc"/>
    <w:basedOn w:val="DefaultParagraphFont"/>
    <w:rsid w:val="001B0F9C"/>
  </w:style>
  <w:style w:type="character" w:styleId="Strong">
    <w:name w:val="Strong"/>
    <w:basedOn w:val="DefaultParagraphFont"/>
    <w:uiPriority w:val="22"/>
    <w:qFormat/>
    <w:rsid w:val="001B0F9C"/>
    <w:rPr>
      <w:b/>
      <w:bCs/>
    </w:rPr>
  </w:style>
  <w:style w:type="character" w:styleId="Emphasis">
    <w:name w:val="Emphasis"/>
    <w:basedOn w:val="DefaultParagraphFont"/>
    <w:uiPriority w:val="20"/>
    <w:qFormat/>
    <w:rsid w:val="001B0F9C"/>
    <w:rPr>
      <w:i/>
      <w:iCs/>
    </w:rPr>
  </w:style>
  <w:style w:type="character" w:customStyle="1" w:styleId="vkekvd">
    <w:name w:val="vkekvd"/>
    <w:basedOn w:val="DefaultParagraphFont"/>
    <w:rsid w:val="001B0F9C"/>
  </w:style>
  <w:style w:type="character" w:customStyle="1" w:styleId="ifmvxd">
    <w:name w:val="ifmvxd"/>
    <w:basedOn w:val="DefaultParagraphFont"/>
    <w:rsid w:val="001B0F9C"/>
  </w:style>
  <w:style w:type="character" w:customStyle="1" w:styleId="Teksttreci">
    <w:name w:val="Tekst treści_"/>
    <w:basedOn w:val="DefaultParagraphFont"/>
    <w:link w:val="Teksttreci0"/>
    <w:rsid w:val="00271B96"/>
    <w:rPr>
      <w:rFonts w:ascii="Cambria" w:eastAsia="Cambria" w:hAnsi="Cambria" w:cs="Cambria"/>
      <w:sz w:val="22"/>
      <w:szCs w:val="22"/>
    </w:rPr>
  </w:style>
  <w:style w:type="paragraph" w:customStyle="1" w:styleId="Teksttreci0">
    <w:name w:val="Tekst treści"/>
    <w:basedOn w:val="Normal"/>
    <w:link w:val="Teksttreci"/>
    <w:rsid w:val="00271B96"/>
    <w:pPr>
      <w:widowControl w:val="0"/>
      <w:spacing w:after="140" w:line="259" w:lineRule="auto"/>
      <w:ind w:firstLine="340"/>
    </w:pPr>
    <w:rPr>
      <w:rFonts w:ascii="Cambria" w:eastAsia="Cambria" w:hAnsi="Cambria" w:cs="Cambria"/>
      <w:sz w:val="22"/>
      <w:szCs w:val="22"/>
    </w:rPr>
  </w:style>
  <w:style w:type="paragraph" w:styleId="NoSpacing">
    <w:name w:val="No Spacing"/>
    <w:uiPriority w:val="1"/>
    <w:qFormat/>
    <w:rsid w:val="004428B7"/>
    <w:pPr>
      <w:spacing w:after="0" w:line="240" w:lineRule="auto"/>
    </w:pPr>
  </w:style>
  <w:style w:type="character" w:styleId="Hyperlink">
    <w:name w:val="Hyperlink"/>
    <w:basedOn w:val="DefaultParagraphFont"/>
    <w:uiPriority w:val="99"/>
    <w:unhideWhenUsed/>
    <w:rsid w:val="00DF68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4624">
      <w:bodyDiv w:val="1"/>
      <w:marLeft w:val="0"/>
      <w:marRight w:val="0"/>
      <w:marTop w:val="0"/>
      <w:marBottom w:val="0"/>
      <w:divBdr>
        <w:top w:val="none" w:sz="0" w:space="0" w:color="auto"/>
        <w:left w:val="none" w:sz="0" w:space="0" w:color="auto"/>
        <w:bottom w:val="none" w:sz="0" w:space="0" w:color="auto"/>
        <w:right w:val="none" w:sz="0" w:space="0" w:color="auto"/>
      </w:divBdr>
    </w:div>
    <w:div w:id="134953041">
      <w:bodyDiv w:val="1"/>
      <w:marLeft w:val="0"/>
      <w:marRight w:val="0"/>
      <w:marTop w:val="0"/>
      <w:marBottom w:val="0"/>
      <w:divBdr>
        <w:top w:val="none" w:sz="0" w:space="0" w:color="auto"/>
        <w:left w:val="none" w:sz="0" w:space="0" w:color="auto"/>
        <w:bottom w:val="none" w:sz="0" w:space="0" w:color="auto"/>
        <w:right w:val="none" w:sz="0" w:space="0" w:color="auto"/>
      </w:divBdr>
    </w:div>
    <w:div w:id="418913868">
      <w:bodyDiv w:val="1"/>
      <w:marLeft w:val="0"/>
      <w:marRight w:val="0"/>
      <w:marTop w:val="0"/>
      <w:marBottom w:val="0"/>
      <w:divBdr>
        <w:top w:val="none" w:sz="0" w:space="0" w:color="auto"/>
        <w:left w:val="none" w:sz="0" w:space="0" w:color="auto"/>
        <w:bottom w:val="none" w:sz="0" w:space="0" w:color="auto"/>
        <w:right w:val="none" w:sz="0" w:space="0" w:color="auto"/>
      </w:divBdr>
      <w:divsChild>
        <w:div w:id="1952977533">
          <w:marLeft w:val="0"/>
          <w:marRight w:val="0"/>
          <w:marTop w:val="0"/>
          <w:marBottom w:val="0"/>
          <w:divBdr>
            <w:top w:val="none" w:sz="0" w:space="0" w:color="auto"/>
            <w:left w:val="none" w:sz="0" w:space="0" w:color="auto"/>
            <w:bottom w:val="none" w:sz="0" w:space="0" w:color="auto"/>
            <w:right w:val="none" w:sz="0" w:space="0" w:color="auto"/>
          </w:divBdr>
          <w:divsChild>
            <w:div w:id="1369259589">
              <w:marLeft w:val="0"/>
              <w:marRight w:val="0"/>
              <w:marTop w:val="0"/>
              <w:marBottom w:val="0"/>
              <w:divBdr>
                <w:top w:val="none" w:sz="0" w:space="0" w:color="auto"/>
                <w:left w:val="none" w:sz="0" w:space="0" w:color="auto"/>
                <w:bottom w:val="none" w:sz="0" w:space="0" w:color="auto"/>
                <w:right w:val="none" w:sz="0" w:space="0" w:color="auto"/>
              </w:divBdr>
            </w:div>
          </w:divsChild>
        </w:div>
        <w:div w:id="473988195">
          <w:marLeft w:val="0"/>
          <w:marRight w:val="0"/>
          <w:marTop w:val="0"/>
          <w:marBottom w:val="0"/>
          <w:divBdr>
            <w:top w:val="none" w:sz="0" w:space="0" w:color="auto"/>
            <w:left w:val="none" w:sz="0" w:space="0" w:color="auto"/>
            <w:bottom w:val="none" w:sz="0" w:space="0" w:color="auto"/>
            <w:right w:val="none" w:sz="0" w:space="0" w:color="auto"/>
          </w:divBdr>
        </w:div>
      </w:divsChild>
    </w:div>
    <w:div w:id="125870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lotti@poczta.one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A545A-B382-498D-AED9-E18AAF72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2475</Words>
  <Characters>14113</Characters>
  <Application>Microsoft Office Word</Application>
  <DocSecurity>0</DocSecurity>
  <Lines>117</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Pallotti</dc:creator>
  <cp:lastModifiedBy>Bożena Futoma-Kołoch</cp:lastModifiedBy>
  <cp:revision>3</cp:revision>
  <dcterms:created xsi:type="dcterms:W3CDTF">2026-03-20T18:53:00Z</dcterms:created>
  <dcterms:modified xsi:type="dcterms:W3CDTF">2026-07-07T11:49:00Z</dcterms:modified>
</cp:coreProperties>
</file>