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85E0" w14:textId="77777777" w:rsidR="00A70EC3" w:rsidRPr="000A5F2A" w:rsidRDefault="00A70EC3" w:rsidP="00A70EC3">
      <w:pPr>
        <w:pStyle w:val="NoSpacing"/>
        <w:rPr>
          <w:rStyle w:val="FontStyle11"/>
          <w:szCs w:val="24"/>
          <w:u w:val="single"/>
          <w:lang w:val="en-US"/>
        </w:rPr>
      </w:pPr>
      <w:r w:rsidRPr="000A5F2A">
        <w:rPr>
          <w:rStyle w:val="FontStyle11"/>
          <w:szCs w:val="24"/>
          <w:u w:val="single"/>
          <w:lang w:val="en-US"/>
        </w:rPr>
        <w:t>KATARZYNA HALKOWICZ</w:t>
      </w:r>
    </w:p>
    <w:p w14:paraId="25489D6C" w14:textId="77777777" w:rsidR="00A70EC3" w:rsidRPr="000A5F2A" w:rsidRDefault="00A70EC3" w:rsidP="00A70EC3">
      <w:pPr>
        <w:pStyle w:val="NoSpacing"/>
        <w:rPr>
          <w:lang w:val="en-US"/>
        </w:rPr>
      </w:pPr>
      <w:r w:rsidRPr="000A5F2A">
        <w:rPr>
          <w:lang w:val="en-US"/>
        </w:rPr>
        <w:t>Pontifical Faculty of Theology in Wroclaw, Poland</w:t>
      </w:r>
    </w:p>
    <w:p w14:paraId="6DCBF0CE" w14:textId="77777777" w:rsidR="00A70EC3" w:rsidRPr="00954840" w:rsidRDefault="00A70EC3" w:rsidP="00A70EC3">
      <w:pPr>
        <w:pStyle w:val="NoSpacing"/>
        <w:rPr>
          <w:lang w:val="de-AT"/>
        </w:rPr>
      </w:pPr>
      <w:r w:rsidRPr="00954840">
        <w:rPr>
          <w:lang w:val="de-AT"/>
        </w:rPr>
        <w:t>e-mail:</w:t>
      </w:r>
      <w:r w:rsidRPr="00A70EC3">
        <w:rPr>
          <w:lang w:val="de-AT"/>
        </w:rPr>
        <w:t xml:space="preserve"> </w:t>
      </w:r>
      <w:hyperlink r:id="rId8" w:history="1">
        <w:r w:rsidRPr="00A70EC3">
          <w:rPr>
            <w:rStyle w:val="Hyperlink"/>
            <w:color w:val="auto"/>
            <w:u w:val="none"/>
            <w:lang w:val="de-AT"/>
          </w:rPr>
          <w:t>k_halkowicz@op.pl</w:t>
        </w:r>
      </w:hyperlink>
    </w:p>
    <w:p w14:paraId="43E1EDFF" w14:textId="77777777" w:rsidR="00A70EC3" w:rsidRDefault="00A70EC3" w:rsidP="00A70EC3">
      <w:pPr>
        <w:pStyle w:val="NoSpacing"/>
        <w:rPr>
          <w:shd w:val="clear" w:color="auto" w:fill="FFFFFF"/>
        </w:rPr>
      </w:pPr>
      <w:r w:rsidRPr="000A5F2A">
        <w:t xml:space="preserve">ORCID: </w:t>
      </w:r>
      <w:r w:rsidRPr="000A5F2A">
        <w:rPr>
          <w:shd w:val="clear" w:color="auto" w:fill="FFFFFF"/>
        </w:rPr>
        <w:t>0000-0002-9355-1332</w:t>
      </w:r>
    </w:p>
    <w:p w14:paraId="2708A37F" w14:textId="3669525D" w:rsidR="00D30578" w:rsidRPr="00BD628A" w:rsidRDefault="00D30578" w:rsidP="00A70EC3">
      <w:pPr>
        <w:pStyle w:val="NoSpacing"/>
        <w:rPr>
          <w:shd w:val="clear" w:color="auto" w:fill="FFFFFF"/>
        </w:rPr>
      </w:pPr>
      <w:r>
        <w:rPr>
          <w:shd w:val="clear" w:color="auto" w:fill="FFFFFF"/>
        </w:rPr>
        <w:t xml:space="preserve">DOI: </w:t>
      </w:r>
      <w:r w:rsidRPr="00D30578">
        <w:rPr>
          <w:shd w:val="clear" w:color="auto" w:fill="FFFFFF"/>
        </w:rPr>
        <w:t>10.48224/COM-229-2025-73</w:t>
      </w:r>
    </w:p>
    <w:p w14:paraId="4D741D7D" w14:textId="77777777" w:rsidR="00A70EC3" w:rsidRDefault="00A70EC3" w:rsidP="00A70EC3">
      <w:pPr>
        <w:pStyle w:val="NoSpacing"/>
        <w:rPr>
          <w:lang w:val="it-IT"/>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A70EC3" w:rsidRPr="003D0426" w14:paraId="50AC0128" w14:textId="77777777" w:rsidTr="00540E08">
        <w:trPr>
          <w:trHeight w:val="724"/>
          <w:jc w:val="right"/>
        </w:trPr>
        <w:tc>
          <w:tcPr>
            <w:tcW w:w="3685" w:type="dxa"/>
            <w:hideMark/>
          </w:tcPr>
          <w:p w14:paraId="7A9C13AE" w14:textId="74587193" w:rsidR="00A70EC3" w:rsidRPr="003D0426" w:rsidRDefault="00A70EC3" w:rsidP="00540E08">
            <w:pPr>
              <w:jc w:val="center"/>
            </w:pPr>
            <w:r w:rsidRPr="004064B9">
              <w:rPr>
                <w:lang w:val="fr-FR"/>
              </w:rPr>
              <w:br/>
            </w:r>
            <w:r>
              <w:t>Communio 45(2025</w:t>
            </w:r>
            <w:r w:rsidRPr="003D0426">
              <w:t>)</w:t>
            </w:r>
            <w:r>
              <w:t>1</w:t>
            </w:r>
            <w:r w:rsidRPr="003D0426">
              <w:t>, s. 2-2</w:t>
            </w:r>
          </w:p>
        </w:tc>
      </w:tr>
    </w:tbl>
    <w:p w14:paraId="71B53A9D" w14:textId="77777777" w:rsidR="00A70EC3" w:rsidRDefault="00A70EC3" w:rsidP="00A70EC3">
      <w:pPr>
        <w:jc w:val="center"/>
        <w:rPr>
          <w:b/>
        </w:rPr>
      </w:pPr>
    </w:p>
    <w:p w14:paraId="7C4DCB05" w14:textId="77777777" w:rsidR="00232A3F" w:rsidRPr="00502E39" w:rsidRDefault="00232A3F" w:rsidP="00F164A1">
      <w:pPr>
        <w:spacing w:line="240" w:lineRule="auto"/>
        <w:jc w:val="both"/>
        <w:rPr>
          <w:b/>
          <w:bCs/>
          <w:szCs w:val="24"/>
        </w:rPr>
      </w:pPr>
    </w:p>
    <w:p w14:paraId="6FBDAE60" w14:textId="47785EF6" w:rsidR="00F164A1" w:rsidRPr="00502E39" w:rsidRDefault="00F164A1" w:rsidP="00232A3F">
      <w:pPr>
        <w:spacing w:line="240" w:lineRule="auto"/>
        <w:jc w:val="center"/>
        <w:rPr>
          <w:b/>
          <w:bCs/>
          <w:szCs w:val="24"/>
        </w:rPr>
      </w:pPr>
      <w:r w:rsidRPr="00502E39">
        <w:rPr>
          <w:b/>
          <w:bCs/>
          <w:szCs w:val="24"/>
        </w:rPr>
        <w:t>Bierzmowanie w teologii Ortodoksyjnego Kościoła Koptyjskiego</w:t>
      </w:r>
    </w:p>
    <w:p w14:paraId="000A0D1E" w14:textId="77777777" w:rsidR="00A70EC3" w:rsidRDefault="00A70EC3" w:rsidP="00502E39">
      <w:pPr>
        <w:spacing w:line="240" w:lineRule="auto"/>
        <w:ind w:firstLine="708"/>
        <w:jc w:val="both"/>
        <w:rPr>
          <w:szCs w:val="24"/>
        </w:rPr>
      </w:pPr>
    </w:p>
    <w:p w14:paraId="4477D4C1" w14:textId="77777777" w:rsidR="00A70EC3" w:rsidRPr="00A70EC3" w:rsidRDefault="00A70EC3" w:rsidP="00A70EC3">
      <w:pPr>
        <w:pStyle w:val="NoSpacing"/>
        <w:jc w:val="center"/>
        <w:rPr>
          <w:b/>
          <w:bCs/>
          <w:sz w:val="20"/>
          <w:szCs w:val="20"/>
          <w:lang w:val="en-US" w:bidi="pl-PL"/>
        </w:rPr>
      </w:pPr>
      <w:r w:rsidRPr="00A70EC3">
        <w:rPr>
          <w:b/>
          <w:bCs/>
          <w:sz w:val="20"/>
          <w:szCs w:val="20"/>
          <w:lang w:val="en-US" w:bidi="pl-PL"/>
        </w:rPr>
        <w:t>Abstract</w:t>
      </w:r>
    </w:p>
    <w:p w14:paraId="4429C2FC" w14:textId="77777777" w:rsidR="00A70EC3" w:rsidRPr="00A70EC3" w:rsidRDefault="00A70EC3" w:rsidP="00A70EC3">
      <w:pPr>
        <w:pStyle w:val="NoSpacing"/>
        <w:jc w:val="both"/>
        <w:rPr>
          <w:sz w:val="20"/>
          <w:szCs w:val="20"/>
          <w:lang w:val="en-US" w:bidi="pl-PL"/>
        </w:rPr>
      </w:pPr>
      <w:r w:rsidRPr="00A70EC3">
        <w:rPr>
          <w:sz w:val="20"/>
          <w:szCs w:val="20"/>
          <w:lang w:val="en-US" w:bidi="pl-PL"/>
        </w:rPr>
        <w:t>Confirmation in the Coptic Orthodox Church occupies a place between baptism and Eucharist. It is a salvific (redemptive) sacrament, which in the doctrine of the Coptic Orthodox Church is essential for eternal salvation, and every believer should receive it. The rites of confirmation, directly linked to baptism, make this sacrament its completion. Coptic theology of the sacrament of confirmation, along with its pneumatological and reconciliatory significance, should serve as a creative impulse for Catholic theology. The theology from the Nile can become an inspiration for Western Christianity in broadening theological horizons and discovering new aspects in sacramentology and ecclesiology.</w:t>
      </w:r>
    </w:p>
    <w:p w14:paraId="112A1358" w14:textId="77777777" w:rsidR="00A70EC3" w:rsidRPr="00A70EC3" w:rsidRDefault="00A70EC3" w:rsidP="00A70EC3">
      <w:pPr>
        <w:pStyle w:val="NoSpacing"/>
        <w:jc w:val="both"/>
        <w:rPr>
          <w:sz w:val="20"/>
          <w:szCs w:val="20"/>
          <w:lang w:val="en-US" w:bidi="pl-PL"/>
        </w:rPr>
      </w:pPr>
    </w:p>
    <w:p w14:paraId="1634C9A0" w14:textId="77777777" w:rsidR="00A70EC3" w:rsidRPr="00A70EC3" w:rsidRDefault="00A70EC3" w:rsidP="00A70EC3">
      <w:pPr>
        <w:pStyle w:val="NoSpacing"/>
        <w:jc w:val="both"/>
        <w:rPr>
          <w:sz w:val="20"/>
          <w:szCs w:val="20"/>
          <w:lang w:val="en-US" w:bidi="pl-PL"/>
        </w:rPr>
      </w:pPr>
      <w:r w:rsidRPr="00A70EC3">
        <w:rPr>
          <w:b/>
          <w:bCs/>
          <w:sz w:val="20"/>
          <w:szCs w:val="20"/>
          <w:lang w:val="en-US" w:bidi="pl-PL"/>
        </w:rPr>
        <w:t>Keywords</w:t>
      </w:r>
      <w:r w:rsidRPr="00A70EC3">
        <w:rPr>
          <w:sz w:val="20"/>
          <w:szCs w:val="20"/>
          <w:lang w:val="en-US" w:bidi="pl-PL"/>
        </w:rPr>
        <w:t>: Sacramentology – Confirmation – Coptic Orthodox Church – Theology – Salvation</w:t>
      </w:r>
    </w:p>
    <w:p w14:paraId="0227AA83" w14:textId="77777777" w:rsidR="00A70EC3" w:rsidRPr="00A70EC3" w:rsidRDefault="00A70EC3" w:rsidP="00A70EC3">
      <w:pPr>
        <w:pStyle w:val="NoSpacing"/>
        <w:jc w:val="both"/>
        <w:rPr>
          <w:sz w:val="20"/>
          <w:szCs w:val="20"/>
          <w:lang w:val="en-US" w:bidi="pl-PL"/>
        </w:rPr>
      </w:pPr>
    </w:p>
    <w:p w14:paraId="46C51D96" w14:textId="77777777" w:rsidR="00A70EC3" w:rsidRPr="00A70EC3" w:rsidRDefault="00A70EC3" w:rsidP="00A70EC3">
      <w:pPr>
        <w:pStyle w:val="NoSpacing"/>
        <w:jc w:val="center"/>
        <w:rPr>
          <w:b/>
          <w:bCs/>
          <w:sz w:val="20"/>
          <w:szCs w:val="20"/>
          <w:lang w:bidi="pl-PL"/>
        </w:rPr>
      </w:pPr>
      <w:r w:rsidRPr="00A70EC3">
        <w:rPr>
          <w:b/>
          <w:bCs/>
          <w:sz w:val="20"/>
          <w:szCs w:val="20"/>
          <w:lang w:bidi="pl-PL"/>
        </w:rPr>
        <w:t>Streszczenie</w:t>
      </w:r>
    </w:p>
    <w:p w14:paraId="6D3849B6" w14:textId="601DB8D0" w:rsidR="00A70EC3" w:rsidRPr="00A70EC3" w:rsidRDefault="00A70EC3" w:rsidP="00A70EC3">
      <w:pPr>
        <w:pStyle w:val="NoSpacing"/>
        <w:jc w:val="both"/>
        <w:rPr>
          <w:sz w:val="20"/>
          <w:szCs w:val="20"/>
          <w:lang w:eastAsia="pl-PL"/>
        </w:rPr>
      </w:pPr>
      <w:r w:rsidRPr="00A70EC3">
        <w:rPr>
          <w:sz w:val="20"/>
          <w:szCs w:val="20"/>
        </w:rPr>
        <w:t xml:space="preserve">Bierzmowanie w Ortodoksyjnym Kościele Koptyjskim zajmuje miejsce między chrztem a Eucharystią. Jest sakramentem zbawczym </w:t>
      </w:r>
      <w:r w:rsidRPr="00A70EC3">
        <w:rPr>
          <w:color w:val="000000"/>
          <w:sz w:val="20"/>
          <w:szCs w:val="20"/>
        </w:rPr>
        <w:t>(odkupieńczym), czyli takim, który w doktrynie Ortodok</w:t>
      </w:r>
      <w:r w:rsidR="00362E99">
        <w:rPr>
          <w:color w:val="000000"/>
          <w:sz w:val="20"/>
          <w:szCs w:val="20"/>
        </w:rPr>
        <w:t>syjnego Kościoła Koptyjskiego jest</w:t>
      </w:r>
      <w:r w:rsidRPr="00A70EC3">
        <w:rPr>
          <w:color w:val="000000"/>
          <w:sz w:val="20"/>
          <w:szCs w:val="20"/>
        </w:rPr>
        <w:t xml:space="preserve"> niezbędny do zbawienia wiecznego i każdy wierzący powinien go przyjąć</w:t>
      </w:r>
      <w:r w:rsidRPr="00A70EC3">
        <w:rPr>
          <w:sz w:val="20"/>
          <w:szCs w:val="20"/>
        </w:rPr>
        <w:t xml:space="preserve">. Obrzędy bierzmowania bezpośrednio połączone z chrztem czynią z tego sakramentu jego dopełnienie. </w:t>
      </w:r>
      <w:r w:rsidRPr="00A70EC3">
        <w:rPr>
          <w:sz w:val="20"/>
          <w:szCs w:val="20"/>
          <w:lang w:eastAsia="pl-PL"/>
        </w:rPr>
        <w:t>Koptyjska teologia sakramentu bierzmowania wraz z jej pneumatologiczno-rekoncyliacyjnym znaczeniem powinna być twórczym impulsem dla teologii katolickiej. Teologia znad Nilu może stać się dla chrześcijaństwa Zachodniego inspiracją w poszerzaniu horyzontów teologicznych, odkrywaniu nowych aspektów w sakramentologii i eklezjologii.</w:t>
      </w:r>
    </w:p>
    <w:p w14:paraId="2370B0DF" w14:textId="77777777" w:rsidR="00A70EC3" w:rsidRPr="00A70EC3" w:rsidRDefault="00A70EC3" w:rsidP="00A70EC3">
      <w:pPr>
        <w:pStyle w:val="NoSpacing"/>
        <w:jc w:val="both"/>
        <w:rPr>
          <w:sz w:val="20"/>
          <w:szCs w:val="20"/>
          <w:lang w:eastAsia="pl-PL"/>
        </w:rPr>
      </w:pPr>
    </w:p>
    <w:p w14:paraId="353E2844" w14:textId="77777777" w:rsidR="00A70EC3" w:rsidRPr="00A70EC3" w:rsidRDefault="00A70EC3" w:rsidP="00A70EC3">
      <w:pPr>
        <w:pStyle w:val="NoSpacing"/>
        <w:jc w:val="both"/>
        <w:rPr>
          <w:sz w:val="20"/>
          <w:szCs w:val="20"/>
          <w:lang w:eastAsia="pl-PL"/>
        </w:rPr>
      </w:pPr>
      <w:r w:rsidRPr="00A70EC3">
        <w:rPr>
          <w:b/>
          <w:bCs/>
          <w:sz w:val="20"/>
          <w:szCs w:val="20"/>
          <w:lang w:eastAsia="pl-PL"/>
        </w:rPr>
        <w:t>Słowa kluczowe:</w:t>
      </w:r>
      <w:r w:rsidRPr="00A70EC3">
        <w:rPr>
          <w:sz w:val="20"/>
          <w:szCs w:val="20"/>
          <w:lang w:eastAsia="pl-PL"/>
        </w:rPr>
        <w:t xml:space="preserve"> Sakramentologia – bierzmowanie – Ortodoksyjny Kościół Koptyjski – teologia - zbawienie</w:t>
      </w:r>
    </w:p>
    <w:p w14:paraId="221BAC62" w14:textId="77777777" w:rsidR="00A70EC3" w:rsidRDefault="00A70EC3" w:rsidP="00502E39">
      <w:pPr>
        <w:spacing w:line="240" w:lineRule="auto"/>
        <w:ind w:firstLine="708"/>
        <w:jc w:val="both"/>
        <w:rPr>
          <w:szCs w:val="24"/>
        </w:rPr>
      </w:pPr>
    </w:p>
    <w:p w14:paraId="5AD79421" w14:textId="63919434" w:rsidR="00F164A1" w:rsidRPr="00502E39" w:rsidRDefault="00F164A1" w:rsidP="00502E39">
      <w:pPr>
        <w:spacing w:line="240" w:lineRule="auto"/>
        <w:ind w:firstLine="708"/>
        <w:jc w:val="both"/>
        <w:rPr>
          <w:szCs w:val="24"/>
        </w:rPr>
      </w:pPr>
      <w:r w:rsidRPr="00502E39">
        <w:rPr>
          <w:szCs w:val="24"/>
        </w:rPr>
        <w:t>Bierzmowanie w Ortodoksyjnym Kościele Koptyjskim zajmuje miejsce między chrztem a Eucharystią</w:t>
      </w:r>
      <w:r w:rsidRPr="00502E39">
        <w:rPr>
          <w:szCs w:val="24"/>
          <w:vertAlign w:val="superscript"/>
        </w:rPr>
        <w:footnoteReference w:id="1"/>
      </w:r>
      <w:r w:rsidRPr="00502E39">
        <w:rPr>
          <w:szCs w:val="24"/>
        </w:rPr>
        <w:t xml:space="preserve">. </w:t>
      </w:r>
      <w:r w:rsidR="00502E39">
        <w:rPr>
          <w:szCs w:val="24"/>
        </w:rPr>
        <w:t xml:space="preserve">Jest sakramentem zbawczym </w:t>
      </w:r>
      <w:r w:rsidR="00502E39">
        <w:rPr>
          <w:color w:val="000000"/>
        </w:rPr>
        <w:t>(</w:t>
      </w:r>
      <w:r w:rsidR="00502E39" w:rsidRPr="004319A3">
        <w:rPr>
          <w:color w:val="000000"/>
        </w:rPr>
        <w:t>odkupieńczym</w:t>
      </w:r>
      <w:r w:rsidR="00502E39">
        <w:rPr>
          <w:color w:val="000000"/>
        </w:rPr>
        <w:t>), czyli takim, który</w:t>
      </w:r>
      <w:r w:rsidR="00502E39" w:rsidRPr="004319A3">
        <w:rPr>
          <w:color w:val="000000"/>
        </w:rPr>
        <w:t xml:space="preserve"> </w:t>
      </w:r>
      <w:r w:rsidR="00502E39">
        <w:rPr>
          <w:color w:val="000000"/>
        </w:rPr>
        <w:br/>
        <w:t>w doktrynie Ortodok</w:t>
      </w:r>
      <w:r w:rsidR="00362E99">
        <w:rPr>
          <w:color w:val="000000"/>
        </w:rPr>
        <w:t>syjnego Kościoła Koptyjskiego jest</w:t>
      </w:r>
      <w:r w:rsidR="00502E39">
        <w:rPr>
          <w:color w:val="000000"/>
        </w:rPr>
        <w:t xml:space="preserve"> niezbędny</w:t>
      </w:r>
      <w:r w:rsidR="00502E39" w:rsidRPr="004319A3">
        <w:rPr>
          <w:color w:val="000000"/>
        </w:rPr>
        <w:t xml:space="preserve"> do zbawienia wieczn</w:t>
      </w:r>
      <w:r w:rsidR="00502E39">
        <w:rPr>
          <w:color w:val="000000"/>
        </w:rPr>
        <w:t>ego i każdy wierzący powinien go przyjąć</w:t>
      </w:r>
      <w:r w:rsidR="00502E39">
        <w:rPr>
          <w:rStyle w:val="FootnoteReference"/>
          <w:szCs w:val="24"/>
        </w:rPr>
        <w:footnoteReference w:id="2"/>
      </w:r>
      <w:r w:rsidR="00502E39">
        <w:rPr>
          <w:szCs w:val="24"/>
        </w:rPr>
        <w:t xml:space="preserve">. </w:t>
      </w:r>
      <w:r w:rsidRPr="00502E39">
        <w:rPr>
          <w:szCs w:val="24"/>
        </w:rPr>
        <w:t>Obrzędy bierzmowania bezpośrednio połączone z chrztem czynią z tego sakramentu jego dopełnienie. Problem biblijnego świadectwa odnośnie sakramentu bierzmowania był zawsze niełatwy. Nic więc dziwnego, że także we współczesnej teologii i naukowej interpretacji Pisma Świętego nasuwa się szereg pytań, a nawet powiększa</w:t>
      </w:r>
      <w:r w:rsidR="00362E99">
        <w:rPr>
          <w:szCs w:val="24"/>
        </w:rPr>
        <w:t>ją</w:t>
      </w:r>
      <w:r w:rsidRPr="00502E39">
        <w:rPr>
          <w:szCs w:val="24"/>
        </w:rPr>
        <w:t xml:space="preserve"> się dotychczasowe aporie. </w:t>
      </w:r>
    </w:p>
    <w:p w14:paraId="00E714AB" w14:textId="12942A2D" w:rsidR="00F164A1" w:rsidRPr="00502E39" w:rsidRDefault="00F164A1" w:rsidP="00F164A1">
      <w:pPr>
        <w:pStyle w:val="ListParagraph"/>
        <w:numPr>
          <w:ilvl w:val="0"/>
          <w:numId w:val="3"/>
        </w:numPr>
        <w:spacing w:line="240" w:lineRule="auto"/>
        <w:jc w:val="both"/>
        <w:rPr>
          <w:b/>
          <w:szCs w:val="24"/>
        </w:rPr>
      </w:pPr>
      <w:r w:rsidRPr="00502E39">
        <w:rPr>
          <w:b/>
          <w:szCs w:val="24"/>
        </w:rPr>
        <w:t>Ustanowienie sakramentu bierzmowania</w:t>
      </w:r>
    </w:p>
    <w:p w14:paraId="2B1DE928" w14:textId="77777777" w:rsidR="00F164A1" w:rsidRPr="00502E39" w:rsidRDefault="00F164A1" w:rsidP="00F164A1">
      <w:pPr>
        <w:pStyle w:val="NoSpacing"/>
        <w:ind w:firstLine="708"/>
        <w:jc w:val="both"/>
        <w:rPr>
          <w:szCs w:val="24"/>
        </w:rPr>
      </w:pPr>
      <w:r w:rsidRPr="00502E39">
        <w:rPr>
          <w:szCs w:val="24"/>
        </w:rPr>
        <w:t>Teologia koptyjska podkreśla, że bierzmowanie jest jednym z siedmiu sakramentów</w:t>
      </w:r>
      <w:r w:rsidRPr="00502E39">
        <w:rPr>
          <w:szCs w:val="24"/>
          <w:vertAlign w:val="superscript"/>
        </w:rPr>
        <w:footnoteReference w:id="3"/>
      </w:r>
      <w:r w:rsidRPr="00502E39">
        <w:rPr>
          <w:szCs w:val="24"/>
        </w:rPr>
        <w:t xml:space="preserve"> ustanowionych przez Jezusa Chrystusa i dzięki niemu otrzymujemy pieczęć Ducha Świętego</w:t>
      </w:r>
      <w:r w:rsidRPr="00502E39">
        <w:rPr>
          <w:szCs w:val="24"/>
          <w:vertAlign w:val="superscript"/>
        </w:rPr>
        <w:footnoteReference w:id="4"/>
      </w:r>
      <w:r w:rsidRPr="00502E39">
        <w:rPr>
          <w:szCs w:val="24"/>
        </w:rPr>
        <w:t xml:space="preserve">. </w:t>
      </w:r>
      <w:r w:rsidRPr="00502E39">
        <w:rPr>
          <w:szCs w:val="24"/>
        </w:rPr>
        <w:lastRenderedPageBreak/>
        <w:t>Sakrament ten nazywany jest też sakramentem myronu, świętym namaszczeniem albo sakramentem konfirmacji</w:t>
      </w:r>
      <w:r w:rsidRPr="00502E39">
        <w:rPr>
          <w:szCs w:val="24"/>
          <w:vertAlign w:val="superscript"/>
        </w:rPr>
        <w:footnoteReference w:id="5"/>
      </w:r>
      <w:r w:rsidRPr="00502E39">
        <w:rPr>
          <w:szCs w:val="24"/>
        </w:rPr>
        <w:t xml:space="preserve">. </w:t>
      </w:r>
    </w:p>
    <w:p w14:paraId="5B57F103" w14:textId="64D466D7" w:rsidR="00F164A1" w:rsidRPr="00502E39" w:rsidRDefault="00A22CB1" w:rsidP="00F164A1">
      <w:pPr>
        <w:pStyle w:val="NoSpacing"/>
        <w:ind w:firstLine="708"/>
        <w:jc w:val="both"/>
        <w:rPr>
          <w:szCs w:val="24"/>
        </w:rPr>
      </w:pPr>
      <w:r>
        <w:rPr>
          <w:szCs w:val="24"/>
        </w:rPr>
        <w:t>Kościół k</w:t>
      </w:r>
      <w:r w:rsidR="00F164A1" w:rsidRPr="00502E39">
        <w:rPr>
          <w:szCs w:val="24"/>
        </w:rPr>
        <w:t>optyjski podkreśla, że sakrament b</w:t>
      </w:r>
      <w:r w:rsidR="00D0070D" w:rsidRPr="00502E39">
        <w:rPr>
          <w:szCs w:val="24"/>
        </w:rPr>
        <w:t xml:space="preserve">ierzmowania ustanowiony został </w:t>
      </w:r>
      <w:r w:rsidR="00F164A1" w:rsidRPr="00502E39">
        <w:rPr>
          <w:szCs w:val="24"/>
        </w:rPr>
        <w:t>w chwili, gdy Chrystus wypowiedział słowa: „’Jeśli ktoś pragnie, niech przyjdzie do Mnie i niech pije. Kto wierzy we Mnie, jak mówi Pismo, strumienie wody żywej, popłyną z jego wnętrza’. A powiedział to o Duchu, którego mieli otrzymać ci, którzy uwierzyli w Niego. Duch bowiem dotychczas nie był dany, gdyż Jezus nie został jeszcze uwielbiony” (J 7,37-39)</w:t>
      </w:r>
      <w:r w:rsidR="00F164A1" w:rsidRPr="00502E39">
        <w:rPr>
          <w:szCs w:val="24"/>
          <w:vertAlign w:val="superscript"/>
        </w:rPr>
        <w:footnoteReference w:id="6"/>
      </w:r>
      <w:r w:rsidR="00F164A1" w:rsidRPr="00502E39">
        <w:rPr>
          <w:szCs w:val="24"/>
        </w:rPr>
        <w:t xml:space="preserve">. O bierzmowaniu wspomina św. Łukasz w </w:t>
      </w:r>
      <w:r w:rsidR="00F164A1" w:rsidRPr="00502E39">
        <w:rPr>
          <w:i/>
          <w:szCs w:val="24"/>
        </w:rPr>
        <w:t>Dziejach Apostolskich</w:t>
      </w:r>
      <w:r w:rsidR="00F164A1" w:rsidRPr="00502E39">
        <w:rPr>
          <w:szCs w:val="24"/>
        </w:rPr>
        <w:t>: „Kiedy apostołowie w Jerozolimie dowiedzieli się, że Samaria przyjęła Słowo Boga, wysłali do nich Piotra i Jana. Oni przyszli i pomodlili się za nich, aby otrzymali Ducha Świętego. Na żadnego z nich bowiem jeszcze nie zstąpił. Byli jedynie ochrzczeni w imię Pana Jezusa. Wtedy więc wkładali na nich ręce, a oni otrzymywali Ducha Świętego” (Dz 8,14-17). Duch Święty był przekazany przez nałożenie rąk. Gdy liczba wierzących w Chrystusa znacząco wzrosła, Apostołowie nie byli w stanie każdej osobie nałożyć rąk i przekazać im Ducha Świętego. Dlatego sami przygotowywali myron, który rozesłali do lokalnych Kościołów, aby tam w i</w:t>
      </w:r>
      <w:r w:rsidR="008D35C8">
        <w:rPr>
          <w:szCs w:val="24"/>
        </w:rPr>
        <w:t>ch imieniu kapłanów przekazywać</w:t>
      </w:r>
      <w:r w:rsidR="00F164A1" w:rsidRPr="00502E39">
        <w:rPr>
          <w:szCs w:val="24"/>
        </w:rPr>
        <w:t xml:space="preserve"> ochrzczonym dar Ducha Świętego.</w:t>
      </w:r>
    </w:p>
    <w:p w14:paraId="473AFF87" w14:textId="4D526BE6" w:rsidR="00F164A1" w:rsidRPr="00502E39" w:rsidRDefault="00F164A1" w:rsidP="00F164A1">
      <w:pPr>
        <w:pStyle w:val="NoSpacing"/>
        <w:ind w:firstLine="708"/>
        <w:jc w:val="both"/>
        <w:rPr>
          <w:szCs w:val="24"/>
        </w:rPr>
      </w:pPr>
      <w:r w:rsidRPr="00502E39">
        <w:rPr>
          <w:szCs w:val="24"/>
        </w:rPr>
        <w:t>Ortodoksyjny Kościół Koptyjski podkreśla przede wszystkim znaczenie pneumatologiczne oraz rekoncyliacyjne bierzmowania. Ochrzczony jest namaszczany przez biskupa lub prezbitera trzydziestoma sześcioma znak</w:t>
      </w:r>
      <w:r w:rsidR="00D0070D" w:rsidRPr="00502E39">
        <w:rPr>
          <w:szCs w:val="24"/>
        </w:rPr>
        <w:t xml:space="preserve">ami krzyża na stawach </w:t>
      </w:r>
      <w:r w:rsidRPr="00502E39">
        <w:rPr>
          <w:szCs w:val="24"/>
        </w:rPr>
        <w:t>i narządach zmysłów, dzięki czemu Duch Święty moż</w:t>
      </w:r>
      <w:r w:rsidR="00D0070D" w:rsidRPr="00502E39">
        <w:rPr>
          <w:szCs w:val="24"/>
        </w:rPr>
        <w:t xml:space="preserve">e w nim zamieszkać. Jego ciało </w:t>
      </w:r>
      <w:r w:rsidRPr="00502E39">
        <w:rPr>
          <w:szCs w:val="24"/>
        </w:rPr>
        <w:t>i dusza stają się świątynią Ducha Świętego. Przez to namaszczenie Bóg udziela ochrzczonemu łaski potwierdzenia i umocnienia, jak również darów Ducha Świętego</w:t>
      </w:r>
      <w:r w:rsidRPr="00502E39">
        <w:rPr>
          <w:szCs w:val="24"/>
          <w:vertAlign w:val="superscript"/>
        </w:rPr>
        <w:footnoteReference w:id="7"/>
      </w:r>
      <w:r w:rsidRPr="00502E39">
        <w:rPr>
          <w:szCs w:val="24"/>
        </w:rPr>
        <w:t>.</w:t>
      </w:r>
    </w:p>
    <w:p w14:paraId="3D69C020" w14:textId="77777777" w:rsidR="00F164A1" w:rsidRPr="00502E39" w:rsidRDefault="00F164A1" w:rsidP="00F164A1">
      <w:pPr>
        <w:spacing w:line="240" w:lineRule="auto"/>
        <w:jc w:val="both"/>
        <w:rPr>
          <w:szCs w:val="24"/>
        </w:rPr>
      </w:pPr>
    </w:p>
    <w:p w14:paraId="1CFC5C8D" w14:textId="52AC8C08" w:rsidR="00F164A1" w:rsidRPr="00502E39" w:rsidRDefault="00F164A1" w:rsidP="00F164A1">
      <w:pPr>
        <w:pStyle w:val="ListParagraph"/>
        <w:numPr>
          <w:ilvl w:val="0"/>
          <w:numId w:val="3"/>
        </w:numPr>
        <w:spacing w:line="240" w:lineRule="auto"/>
        <w:jc w:val="both"/>
        <w:rPr>
          <w:b/>
          <w:szCs w:val="24"/>
        </w:rPr>
      </w:pPr>
      <w:r w:rsidRPr="00502E39">
        <w:rPr>
          <w:b/>
          <w:szCs w:val="24"/>
        </w:rPr>
        <w:t>Obrzęd namaszczenia - aspekt pneumatologiczny</w:t>
      </w:r>
    </w:p>
    <w:p w14:paraId="0CAB1C17" w14:textId="77777777" w:rsidR="00D0070D" w:rsidRPr="00502E39" w:rsidRDefault="00F164A1" w:rsidP="00D0070D">
      <w:pPr>
        <w:spacing w:line="240" w:lineRule="auto"/>
        <w:ind w:firstLine="708"/>
        <w:jc w:val="both"/>
        <w:rPr>
          <w:szCs w:val="24"/>
        </w:rPr>
      </w:pPr>
      <w:r w:rsidRPr="00502E39">
        <w:rPr>
          <w:szCs w:val="24"/>
        </w:rPr>
        <w:t xml:space="preserve">Namaszczenie zewnętrznych organów człowieka myronem oznacza namaszczenie mocą wewnętrznej duszy i duchowych zmysłów mocą </w:t>
      </w:r>
      <w:r w:rsidR="000B250F" w:rsidRPr="00502E39">
        <w:rPr>
          <w:szCs w:val="24"/>
        </w:rPr>
        <w:t>Boga,</w:t>
      </w:r>
      <w:r w:rsidRPr="00502E39">
        <w:rPr>
          <w:szCs w:val="24"/>
        </w:rPr>
        <w:t xml:space="preserve"> żeby walczyć ze złem i jego mocą. Tak się dzieje, ponieważ myron jest najpotężniejszą bronią przeciw szatanowi i najlepszą ochroną przed grzechem i pokusami. Apostołowie udzielali tego sakramentu</w:t>
      </w:r>
      <w:r w:rsidRPr="00502E39">
        <w:rPr>
          <w:szCs w:val="24"/>
          <w:vertAlign w:val="superscript"/>
        </w:rPr>
        <w:footnoteReference w:id="8"/>
      </w:r>
      <w:r w:rsidRPr="00502E39">
        <w:rPr>
          <w:szCs w:val="24"/>
        </w:rPr>
        <w:t xml:space="preserve"> przez nałożenie rąk po chrzcie, jak czytamy w </w:t>
      </w:r>
      <w:r w:rsidRPr="00502E39">
        <w:rPr>
          <w:i/>
          <w:szCs w:val="24"/>
        </w:rPr>
        <w:t xml:space="preserve">Dziejach </w:t>
      </w:r>
      <w:r w:rsidR="000B250F" w:rsidRPr="00502E39">
        <w:rPr>
          <w:i/>
          <w:szCs w:val="24"/>
        </w:rPr>
        <w:t>Apostolskich,</w:t>
      </w:r>
      <w:r w:rsidRPr="00502E39">
        <w:rPr>
          <w:szCs w:val="24"/>
        </w:rPr>
        <w:t xml:space="preserve"> kiedy święty Piotr i święty Jan kładli ręce na mieszkańców Samarii, którzy byli ochrzczeni w imię Pana Jezusa i otrzymali Ducha Świętego (Dz 8,15-17)</w:t>
      </w:r>
      <w:r w:rsidRPr="00502E39">
        <w:rPr>
          <w:szCs w:val="24"/>
          <w:vertAlign w:val="superscript"/>
        </w:rPr>
        <w:footnoteReference w:id="9"/>
      </w:r>
      <w:r w:rsidRPr="00502E39">
        <w:rPr>
          <w:szCs w:val="24"/>
        </w:rPr>
        <w:t>.</w:t>
      </w:r>
    </w:p>
    <w:p w14:paraId="42FBE6CC" w14:textId="13660ECA" w:rsidR="00F164A1" w:rsidRPr="00502E39" w:rsidRDefault="00F164A1" w:rsidP="00D0070D">
      <w:pPr>
        <w:spacing w:line="240" w:lineRule="auto"/>
        <w:ind w:firstLine="708"/>
        <w:jc w:val="both"/>
        <w:rPr>
          <w:szCs w:val="24"/>
        </w:rPr>
      </w:pPr>
      <w:r w:rsidRPr="00502E39">
        <w:rPr>
          <w:i/>
          <w:szCs w:val="24"/>
        </w:rPr>
        <w:t>Encyklopedia Koptyjska</w:t>
      </w:r>
      <w:r w:rsidRPr="00502E39">
        <w:rPr>
          <w:szCs w:val="24"/>
          <w:vertAlign w:val="superscript"/>
        </w:rPr>
        <w:footnoteReference w:id="10"/>
      </w:r>
      <w:r w:rsidRPr="00502E39">
        <w:rPr>
          <w:szCs w:val="24"/>
        </w:rPr>
        <w:t xml:space="preserve"> odwołuj</w:t>
      </w:r>
      <w:r w:rsidR="00D0070D" w:rsidRPr="00502E39">
        <w:rPr>
          <w:szCs w:val="24"/>
        </w:rPr>
        <w:t xml:space="preserve">e się w tym miejscu do jednego </w:t>
      </w:r>
      <w:r w:rsidRPr="00502E39">
        <w:rPr>
          <w:szCs w:val="24"/>
        </w:rPr>
        <w:t xml:space="preserve">z najstarszych świadectw, w którym pojawia się pneumatologiczne tłumaczenie obrzędów pochrzcielnych. Chodzi o dzieło Tertuliana </w:t>
      </w:r>
      <w:r w:rsidRPr="00502E39">
        <w:rPr>
          <w:i/>
          <w:szCs w:val="24"/>
        </w:rPr>
        <w:t xml:space="preserve">O chrzcie </w:t>
      </w:r>
      <w:r w:rsidRPr="00502E39">
        <w:rPr>
          <w:szCs w:val="24"/>
        </w:rPr>
        <w:t>z przełomu II i III w po Chr. Tertulian opisuje tam inicjację chrześcijańską w Kościele Kartagińskim. W odniesieniu do sakramentu chrztu stwierdza: „w wodzie jednak nie otrzymujemy Ducha Świętego, lecz pod kierunkiem anioła w wodzie oczyszczeni przygotowujemy się dla Ducha Świętego”</w:t>
      </w:r>
      <w:r w:rsidRPr="00502E39">
        <w:rPr>
          <w:szCs w:val="24"/>
          <w:vertAlign w:val="superscript"/>
        </w:rPr>
        <w:footnoteReference w:id="11"/>
      </w:r>
      <w:r w:rsidRPr="00502E39">
        <w:rPr>
          <w:szCs w:val="24"/>
        </w:rPr>
        <w:t>. Natomiast „zaraz po wyjściu z kąpieli chrzcielnej namaszcza się nas świętym namaszczeniem (</w:t>
      </w:r>
      <w:r w:rsidRPr="00502E39">
        <w:rPr>
          <w:i/>
          <w:szCs w:val="24"/>
        </w:rPr>
        <w:t>benedictam unctionem</w:t>
      </w:r>
      <w:r w:rsidRPr="00502E39">
        <w:rPr>
          <w:szCs w:val="24"/>
        </w:rPr>
        <w:t xml:space="preserve">). Czyni się to zgodnie z dawnym zwyczajem, według którego zwykło się namaszczać kapłanów </w:t>
      </w:r>
      <w:r w:rsidRPr="00502E39">
        <w:rPr>
          <w:szCs w:val="24"/>
        </w:rPr>
        <w:lastRenderedPageBreak/>
        <w:t xml:space="preserve">olejem z rogu. W ten sposób Mojżesz namaścił Aarona (Wj 30,30; Kpł 8,1), stąd też nazwano go pomazańcem od krzyżma, które tłumaczy się namaszczeniem. To właśnie namaszczenie nadało imię Panu. Otrzymał on namaszczenie w sposób duchowy, gdyż namaścił go Bóg Ojciec Duchem Świętym, jak to poświadczają </w:t>
      </w:r>
      <w:r w:rsidRPr="00502E39">
        <w:rPr>
          <w:i/>
          <w:szCs w:val="24"/>
        </w:rPr>
        <w:t>Dzieje Apostolskie</w:t>
      </w:r>
      <w:r w:rsidRPr="00502E39">
        <w:rPr>
          <w:szCs w:val="24"/>
        </w:rPr>
        <w:t>: ‘Zebrali się bowiem w tym mieście przeciw świętemu Synowi Twemu, któregoś namaścił’ (Dz 4,27)”</w:t>
      </w:r>
      <w:r w:rsidRPr="00502E39">
        <w:rPr>
          <w:szCs w:val="24"/>
          <w:vertAlign w:val="superscript"/>
        </w:rPr>
        <w:footnoteReference w:id="12"/>
      </w:r>
      <w:r w:rsidRPr="00502E39">
        <w:rPr>
          <w:szCs w:val="24"/>
        </w:rPr>
        <w:t>. Tertulian podkreśla, że: „Wyszedłszy z kąpieli chrzcielnej otrzymujemy, zgodnie z dawną karnością, namaszczenie błogosławione […]. Namaszczenie w nas odnosi się do ciała, lecz daje zysk duchowy tak samo, jak czynność cielesna chrztu zanurzająca nas w wodzie powoduje skutek duchowy, tj. uwolnienie od grzechów. Dalej następuje nakładanie ręki błogosławiącej, która przywołuje i zaprasza Ducha Świętego”</w:t>
      </w:r>
      <w:r w:rsidRPr="00502E39">
        <w:rPr>
          <w:szCs w:val="24"/>
          <w:vertAlign w:val="superscript"/>
        </w:rPr>
        <w:footnoteReference w:id="13"/>
      </w:r>
      <w:r w:rsidRPr="00502E39">
        <w:rPr>
          <w:szCs w:val="24"/>
        </w:rPr>
        <w:t xml:space="preserve">. Kościół </w:t>
      </w:r>
      <w:r w:rsidR="00A22CB1">
        <w:rPr>
          <w:szCs w:val="24"/>
        </w:rPr>
        <w:t>k</w:t>
      </w:r>
      <w:r w:rsidRPr="00502E39">
        <w:rPr>
          <w:szCs w:val="24"/>
        </w:rPr>
        <w:t>optyjski podkreśla za Tertulianem, że „Ciało obmywamy, aby duszę oczyścić, ciało namaszczamy, aby duszę poświęcić, ciało znaczymy krzyżmem (myronem), aby duszy bronić, ciało nałożeniem ręki zacieniamy, by duszę oświecić duchem, ciało odżywia się Ciałem i Krwią Chrystusa, by dusza z Boga moc otrzymała”</w:t>
      </w:r>
      <w:r w:rsidRPr="00502E39">
        <w:rPr>
          <w:szCs w:val="24"/>
          <w:vertAlign w:val="superscript"/>
        </w:rPr>
        <w:footnoteReference w:id="14"/>
      </w:r>
      <w:r w:rsidRPr="00502E39">
        <w:rPr>
          <w:szCs w:val="24"/>
        </w:rPr>
        <w:t xml:space="preserve">. </w:t>
      </w:r>
    </w:p>
    <w:p w14:paraId="54D1E8F0" w14:textId="4EED4492" w:rsidR="00F164A1" w:rsidRPr="00502E39" w:rsidRDefault="00F164A1" w:rsidP="00D0070D">
      <w:pPr>
        <w:spacing w:line="240" w:lineRule="auto"/>
        <w:ind w:firstLine="708"/>
        <w:jc w:val="both"/>
        <w:rPr>
          <w:szCs w:val="24"/>
        </w:rPr>
      </w:pPr>
      <w:r w:rsidRPr="00502E39">
        <w:rPr>
          <w:szCs w:val="24"/>
        </w:rPr>
        <w:t>Teologia koptyjska podkreśla element nakładania ręki w sakramencie bierzmowania. Opiera się przy tym na cytowanym wyżej Tertulianie oraz św. Cyprianie, który pisał: „Rodzi się ktoś nie przez nałożenie ręki, kiedy to otrzymuje Ducha Świętego, lecz przez chrzest, aby już narodzony otrzymał Ducha”</w:t>
      </w:r>
      <w:r w:rsidRPr="00502E39">
        <w:rPr>
          <w:szCs w:val="24"/>
          <w:vertAlign w:val="superscript"/>
        </w:rPr>
        <w:footnoteReference w:id="15"/>
      </w:r>
      <w:r w:rsidRPr="00502E39">
        <w:rPr>
          <w:szCs w:val="24"/>
        </w:rPr>
        <w:t>. Cyprian odróżnia obrzędy chrztu i bierzmowania. Pisze on również o stosowaniu znaku krzyża przy udzielaniu sakramentu bierzmowania. Zna on obrzęd namaszczenia chrzcielnego</w:t>
      </w:r>
      <w:r w:rsidR="009A75B1">
        <w:rPr>
          <w:szCs w:val="24"/>
        </w:rPr>
        <w:t>,</w:t>
      </w:r>
      <w:r w:rsidRPr="00502E39">
        <w:rPr>
          <w:szCs w:val="24"/>
        </w:rPr>
        <w:t xml:space="preserve"> ale nie wiąże go z otrzymaniem darów Ducha Świętego</w:t>
      </w:r>
      <w:r w:rsidRPr="00502E39">
        <w:rPr>
          <w:szCs w:val="24"/>
          <w:vertAlign w:val="superscript"/>
        </w:rPr>
        <w:footnoteReference w:id="16"/>
      </w:r>
      <w:r w:rsidRPr="00502E39">
        <w:rPr>
          <w:szCs w:val="24"/>
        </w:rPr>
        <w:t>.</w:t>
      </w:r>
    </w:p>
    <w:p w14:paraId="3374C428" w14:textId="7FDC6322" w:rsidR="00D0070D" w:rsidRPr="00502E39" w:rsidRDefault="00F164A1" w:rsidP="00D0070D">
      <w:pPr>
        <w:spacing w:line="240" w:lineRule="auto"/>
        <w:ind w:firstLine="708"/>
        <w:jc w:val="both"/>
        <w:rPr>
          <w:szCs w:val="24"/>
        </w:rPr>
      </w:pPr>
      <w:r w:rsidRPr="00502E39">
        <w:rPr>
          <w:szCs w:val="24"/>
        </w:rPr>
        <w:t>Koptyjski biskup Mettaous podkreśla, że dla jego Kościoła niezwykłą wagę posiada świadectwo Cyryla Jerozolimskiego, kt</w:t>
      </w:r>
      <w:r w:rsidR="00A22CB1">
        <w:rPr>
          <w:szCs w:val="24"/>
        </w:rPr>
        <w:t>óry przedstawia wiarę Kościoła w</w:t>
      </w:r>
      <w:r w:rsidRPr="00502E39">
        <w:rPr>
          <w:szCs w:val="24"/>
        </w:rPr>
        <w:t>schodniego</w:t>
      </w:r>
      <w:r w:rsidRPr="00502E39">
        <w:rPr>
          <w:szCs w:val="24"/>
          <w:vertAlign w:val="superscript"/>
        </w:rPr>
        <w:footnoteReference w:id="17"/>
      </w:r>
      <w:r w:rsidRPr="00502E39">
        <w:rPr>
          <w:szCs w:val="24"/>
        </w:rPr>
        <w:t>. Św. Cyryl zdawał sobie sprawę, że w sakramencie chrztu działa nie sama woda, lecz i Duch Święty obejmujący duszę od wewnątrz</w:t>
      </w:r>
      <w:r w:rsidRPr="00502E39">
        <w:rPr>
          <w:szCs w:val="24"/>
          <w:vertAlign w:val="superscript"/>
        </w:rPr>
        <w:footnoteReference w:id="18"/>
      </w:r>
      <w:r w:rsidRPr="00502E39">
        <w:rPr>
          <w:szCs w:val="24"/>
        </w:rPr>
        <w:t>. Obecność Trzeciej Osoby Trójcy Świętej i Jej uświęcające działanie łączy z namaszczeniem: „Jak chleb eucharystyczny po wezwaniu Ducha Świętego nie jest chlebem zwykłym, lecz Ciałem Chrystusa, tak i ów święty olej nie jest tylko zwykłym lub – jak kto woli – pospolitym olejem po modlitwie błagalnej, lecz darem Chrystusa i Ducha Świętego; obecność Jego bóstwa sprawia to, co przedstawia symboliczne namaszczenie na czole i innych zmysłach, kiedy bowiem olejem widzialnym namaszcza się ciało, dusza uświęca się przez świętego i ożywiającego ducha”</w:t>
      </w:r>
      <w:r w:rsidRPr="00502E39">
        <w:rPr>
          <w:szCs w:val="24"/>
          <w:vertAlign w:val="superscript"/>
        </w:rPr>
        <w:footnoteReference w:id="19"/>
      </w:r>
      <w:r w:rsidRPr="00502E39">
        <w:rPr>
          <w:szCs w:val="24"/>
        </w:rPr>
        <w:t>.</w:t>
      </w:r>
    </w:p>
    <w:p w14:paraId="67174E7C" w14:textId="64E5D383" w:rsidR="00F164A1" w:rsidRPr="00502E39" w:rsidRDefault="00F164A1" w:rsidP="00D0070D">
      <w:pPr>
        <w:spacing w:line="240" w:lineRule="auto"/>
        <w:ind w:firstLine="708"/>
        <w:jc w:val="both"/>
        <w:rPr>
          <w:szCs w:val="24"/>
        </w:rPr>
      </w:pPr>
      <w:r w:rsidRPr="00502E39">
        <w:rPr>
          <w:szCs w:val="24"/>
        </w:rPr>
        <w:t>Teologowie koptyjscy słusznie podkreślają, że nie było możliwości, żeby Apostołowie wędrowali do wszystkich krajów i miast i nakładali ręce na ochrzczonych, więc ustanowili namaszczenie myronem jako alternatywę nałożenia rąk dla zamieszkania Ducha Świętego</w:t>
      </w:r>
      <w:r w:rsidRPr="00502E39">
        <w:rPr>
          <w:szCs w:val="24"/>
          <w:vertAlign w:val="superscript"/>
        </w:rPr>
        <w:footnoteReference w:id="20"/>
      </w:r>
      <w:r w:rsidRPr="00502E39">
        <w:rPr>
          <w:szCs w:val="24"/>
        </w:rPr>
        <w:t>. Teologia koptyjska zauważa, że pierwszy olej myronu</w:t>
      </w:r>
      <w:r w:rsidRPr="00502E39">
        <w:rPr>
          <w:i/>
          <w:szCs w:val="24"/>
        </w:rPr>
        <w:t xml:space="preserve"> </w:t>
      </w:r>
      <w:r w:rsidRPr="00502E39">
        <w:rPr>
          <w:szCs w:val="24"/>
        </w:rPr>
        <w:t>zrobili Apostołowie. Wzięli oni niektóre pachnące olejki, jakimi namaszczane było ciało Jezusa i zioła takie, jakie przyniosły kobiety, by namaścić Jego ciało. Następnie dodali to wszystko do czystej oliwy</w:t>
      </w:r>
      <w:r w:rsidR="00D0070D" w:rsidRPr="00502E39">
        <w:rPr>
          <w:szCs w:val="24"/>
        </w:rPr>
        <w:t xml:space="preserve"> z oliwek, modlili się nad nią </w:t>
      </w:r>
      <w:r w:rsidRPr="00502E39">
        <w:rPr>
          <w:szCs w:val="24"/>
        </w:rPr>
        <w:t xml:space="preserve">w Wieczerniku i zrobili z tego maść, żeby udzielić daru Ducha Świętego dla ochrzczonych. Jest ona również używana do uświęcania wody chrzcielnej, święcenia kościołów, ołtarzy czy naw w kościołach. Apostołowie zdecydowali, że ich następcy, biskupi, muszą na nowo tworzyć myron, gdziekolwiek się będzie kończył, przez połączenie </w:t>
      </w:r>
      <w:r w:rsidRPr="00502E39">
        <w:rPr>
          <w:szCs w:val="24"/>
        </w:rPr>
        <w:lastRenderedPageBreak/>
        <w:t>oryginalnego oleju z nowym. Kościół koptyjski naucza, że kiedy święty Marek przyjechał do Aleksandrii, wziął ze sobą trochę myronu zrobionego przez Apostołów. Używał go w sakramentach krzyżma. Używali go również patriarchowie, którzy byli jego następcami. Taka praktyka kontynuowana była do czasów papieża Atanazego – dwudziestego patriarchy Aleksandrii, który podjął decyzję, by przygotowywać olej myronu w Aleksandrii</w:t>
      </w:r>
      <w:r w:rsidRPr="00502E39">
        <w:rPr>
          <w:szCs w:val="24"/>
          <w:vertAlign w:val="superscript"/>
        </w:rPr>
        <w:footnoteReference w:id="21"/>
      </w:r>
      <w:r w:rsidRPr="00502E39">
        <w:rPr>
          <w:szCs w:val="24"/>
        </w:rPr>
        <w:t>. Papież Atanazy miał otrzymać zaczyn zawierający zioła dotykające Ciała Pańskiego w czasie Jego pogrzebu i oryginalny, przygotowany przez Apostołów i przywieziony przez św. Marka do Egiptu</w:t>
      </w:r>
      <w:r w:rsidRPr="00502E39">
        <w:rPr>
          <w:szCs w:val="24"/>
          <w:vertAlign w:val="superscript"/>
        </w:rPr>
        <w:footnoteReference w:id="22"/>
      </w:r>
      <w:r w:rsidRPr="00502E39">
        <w:rPr>
          <w:szCs w:val="24"/>
        </w:rPr>
        <w:t>. To właśn</w:t>
      </w:r>
      <w:r w:rsidR="009A75B1">
        <w:rPr>
          <w:szCs w:val="24"/>
        </w:rPr>
        <w:t>ie on rozprowadził ten olej po k</w:t>
      </w:r>
      <w:r w:rsidRPr="00502E39">
        <w:rPr>
          <w:szCs w:val="24"/>
        </w:rPr>
        <w:t>ościołach w Rzymie, Antiochii i Konstantynopolu razem z dokumentami potwierdzającymi jego autentyczność. Do dnia dzisiejszego myron był przygotowywany w Kościele koptyjskim dwadzieścia dziewięć razy.</w:t>
      </w:r>
    </w:p>
    <w:p w14:paraId="042AD752" w14:textId="77777777" w:rsidR="00F164A1" w:rsidRPr="00502E39" w:rsidRDefault="00F164A1" w:rsidP="00D0070D">
      <w:pPr>
        <w:spacing w:line="240" w:lineRule="auto"/>
        <w:ind w:firstLine="708"/>
        <w:jc w:val="both"/>
        <w:rPr>
          <w:szCs w:val="24"/>
        </w:rPr>
      </w:pPr>
      <w:r w:rsidRPr="00502E39">
        <w:rPr>
          <w:szCs w:val="24"/>
        </w:rPr>
        <w:t>Myron składa się z około 30 rodzajów ziół i pachnideł</w:t>
      </w:r>
      <w:r w:rsidRPr="00502E39">
        <w:rPr>
          <w:szCs w:val="24"/>
          <w:vertAlign w:val="superscript"/>
        </w:rPr>
        <w:footnoteReference w:id="23"/>
      </w:r>
      <w:r w:rsidRPr="00502E39">
        <w:rPr>
          <w:szCs w:val="24"/>
        </w:rPr>
        <w:t xml:space="preserve"> (m.in. mirry, aloesu, kadzidła, cynamonu, kasji, pachnącej trzciny, ostu, balsamu, ambry, piżma), które są dodawane do czystej oliwy z oliwek i podgrzewane na wolnym ogniu cztery razy</w:t>
      </w:r>
      <w:r w:rsidRPr="00502E39">
        <w:rPr>
          <w:szCs w:val="24"/>
          <w:vertAlign w:val="superscript"/>
        </w:rPr>
        <w:footnoteReference w:id="24"/>
      </w:r>
      <w:r w:rsidRPr="00502E39">
        <w:rPr>
          <w:szCs w:val="24"/>
        </w:rPr>
        <w:t>. Przefiltrowana oliwa jest potem wlewana do dużego pojemnika i po liturgii poświęcenia myronu patriarcha umieszcza stary zaczyn w świeżo zrobionym myronie, odmawiając ustalone modlitwy</w:t>
      </w:r>
      <w:r w:rsidRPr="00502E39">
        <w:rPr>
          <w:szCs w:val="24"/>
          <w:vertAlign w:val="superscript"/>
        </w:rPr>
        <w:footnoteReference w:id="25"/>
      </w:r>
      <w:r w:rsidRPr="00502E39">
        <w:rPr>
          <w:szCs w:val="24"/>
        </w:rPr>
        <w:t>.</w:t>
      </w:r>
    </w:p>
    <w:p w14:paraId="7A932A52" w14:textId="77777777" w:rsidR="00F164A1" w:rsidRPr="00502E39" w:rsidRDefault="00F164A1" w:rsidP="00D0070D">
      <w:pPr>
        <w:spacing w:line="240" w:lineRule="auto"/>
        <w:ind w:firstLine="708"/>
        <w:jc w:val="both"/>
        <w:rPr>
          <w:szCs w:val="24"/>
        </w:rPr>
      </w:pPr>
      <w:r w:rsidRPr="00502E39">
        <w:rPr>
          <w:szCs w:val="24"/>
        </w:rPr>
        <w:t>Liturgia chrzcielna w Kościele koptyjskim przewiduje, że po chrzcie dziecka szafarz przekazuje je matce, a ta, trzymając je z prawej strony, wyciera czystym ręcznikiem. Następnie kładzie dziecko na specjalnym stole przy chrzcielnicy tak, by szafarz mógł namaścić je trzydziestoma sześcioma znakami krzyża na wszystkich narządach zmysłów i stawach</w:t>
      </w:r>
      <w:r w:rsidRPr="00502E39">
        <w:rPr>
          <w:szCs w:val="24"/>
          <w:vertAlign w:val="superscript"/>
        </w:rPr>
        <w:footnoteReference w:id="26"/>
      </w:r>
      <w:r w:rsidRPr="00502E39">
        <w:rPr>
          <w:szCs w:val="24"/>
        </w:rPr>
        <w:t>. Szafarz przynosi naczynie z myronem i odmawia modlitwę: „O Wszechmogący Stwórco wszystkich cudów, który jesteś Wszechmocny, który będziesz i którego moc może wszystko. Obdarz łaską Ducha Świętego, aby nałożenie świętego myronu stało się pieczęcią życia i niezłomnością dla Twoich sług przez Twojego Jednorodzonego Syna, naszego Pana Jezusa Chrystusa. Chwała, honor, panowanie i uwielbienie ze względu na Ciebie, razem z Synem i współistotnym Świętym Duchem, teraz i na zawsze. Amen”</w:t>
      </w:r>
      <w:r w:rsidRPr="00502E39">
        <w:rPr>
          <w:szCs w:val="24"/>
          <w:vertAlign w:val="superscript"/>
        </w:rPr>
        <w:footnoteReference w:id="27"/>
      </w:r>
      <w:r w:rsidRPr="00502E39">
        <w:rPr>
          <w:szCs w:val="24"/>
        </w:rPr>
        <w:t xml:space="preserve">. Powyższa modlitwa nie jest błogosławieństwem myronu, ale prośbą, żeby Duch Święty poprzez namaszczenie zamieszkał w ochrzczonej osobie. </w:t>
      </w:r>
    </w:p>
    <w:p w14:paraId="7ACB7B34" w14:textId="50CA199D" w:rsidR="00F164A1" w:rsidRPr="00502E39" w:rsidRDefault="00F164A1" w:rsidP="00D0070D">
      <w:pPr>
        <w:spacing w:line="240" w:lineRule="auto"/>
        <w:ind w:firstLine="708"/>
        <w:jc w:val="both"/>
        <w:rPr>
          <w:szCs w:val="24"/>
        </w:rPr>
      </w:pPr>
      <w:r w:rsidRPr="00502E39">
        <w:rPr>
          <w:szCs w:val="24"/>
        </w:rPr>
        <w:t>Szafarz kładzie swojego prawego kciuka</w:t>
      </w:r>
      <w:r w:rsidR="00D0070D" w:rsidRPr="00502E39">
        <w:rPr>
          <w:szCs w:val="24"/>
        </w:rPr>
        <w:t xml:space="preserve"> na otworze naczynia z myronem </w:t>
      </w:r>
      <w:r w:rsidRPr="00502E39">
        <w:rPr>
          <w:szCs w:val="24"/>
        </w:rPr>
        <w:t>i obraca naczynie tak, żeby zwilżyć palec myronem</w:t>
      </w:r>
      <w:r w:rsidR="00D0070D" w:rsidRPr="00502E39">
        <w:rPr>
          <w:szCs w:val="24"/>
        </w:rPr>
        <w:t xml:space="preserve">. Potem namaszcza ochrzczonych </w:t>
      </w:r>
      <w:r w:rsidRPr="00502E39">
        <w:rPr>
          <w:szCs w:val="24"/>
        </w:rPr>
        <w:t>w następujący sposób: najpierw szczyt głowy, nozdrza, usta i prawe ucho; potem prawe oko, następnie lewe i na końcu lewe ucho</w:t>
      </w:r>
      <w:r w:rsidRPr="00502E39">
        <w:rPr>
          <w:szCs w:val="24"/>
          <w:vertAlign w:val="superscript"/>
        </w:rPr>
        <w:footnoteReference w:id="28"/>
      </w:r>
      <w:r w:rsidRPr="00502E39">
        <w:rPr>
          <w:szCs w:val="24"/>
        </w:rPr>
        <w:t>. W czasie tego namaszczania prezbiter mówi: „W imię Ojca, i Syna, i Świętego Ducha. Namaszczenie łaską Świętego Ducha. Amen”</w:t>
      </w:r>
      <w:r w:rsidRPr="00502E39">
        <w:rPr>
          <w:szCs w:val="24"/>
          <w:vertAlign w:val="superscript"/>
        </w:rPr>
        <w:footnoteReference w:id="29"/>
      </w:r>
      <w:r w:rsidRPr="00502E39">
        <w:rPr>
          <w:szCs w:val="24"/>
        </w:rPr>
        <w:t>.</w:t>
      </w:r>
      <w:r w:rsidRPr="00502E39">
        <w:rPr>
          <w:i/>
          <w:szCs w:val="24"/>
        </w:rPr>
        <w:t xml:space="preserve"> </w:t>
      </w:r>
      <w:r w:rsidRPr="00502E39">
        <w:rPr>
          <w:szCs w:val="24"/>
        </w:rPr>
        <w:t>Pierwsze namaszczenia obejmuje więc osiem miejsc na ciele bierzmowanego. Prezbiter namaszcza głowę aby ją uświęcić. Głowa zawiera umysł, gdzie znajdują się myśli. To właśnie umysł odróżnia ludzi od innych stworzeń. Dobry umysł jest bardzo przydatny i korzystny dla siebie i dla innych też. Kościół koptyjski opiera ten gest na Objawieniu Bożym podkreślając, że już król Salomon chwali umysł mówiąc: „wtedy mądrość zagości w twym sercu, wiedza duszę twą rozraduje; [wtedy] rozwaga będzie pilnować, roztropność na straży twej stanie”</w:t>
      </w:r>
      <w:r w:rsidRPr="00502E39">
        <w:rPr>
          <w:i/>
          <w:szCs w:val="24"/>
        </w:rPr>
        <w:t xml:space="preserve"> </w:t>
      </w:r>
      <w:r w:rsidRPr="00502E39">
        <w:rPr>
          <w:szCs w:val="24"/>
        </w:rPr>
        <w:t xml:space="preserve">(Prz 2,10-12). Również </w:t>
      </w:r>
      <w:r w:rsidRPr="00502E39">
        <w:rPr>
          <w:szCs w:val="24"/>
        </w:rPr>
        <w:lastRenderedPageBreak/>
        <w:t>św. Paweł modli się: „A pokój Boży, który przewyższa wszelki umysł, będzie strzegł waszych serc i myśli w Chrystusie Jezusie” (Flp 4,7)</w:t>
      </w:r>
      <w:r w:rsidRPr="00502E39">
        <w:rPr>
          <w:szCs w:val="24"/>
          <w:vertAlign w:val="superscript"/>
        </w:rPr>
        <w:footnoteReference w:id="30"/>
      </w:r>
      <w:r w:rsidRPr="00502E39">
        <w:rPr>
          <w:szCs w:val="24"/>
        </w:rPr>
        <w:t>.</w:t>
      </w:r>
      <w:r w:rsidRPr="00502E39">
        <w:rPr>
          <w:i/>
          <w:szCs w:val="24"/>
        </w:rPr>
        <w:t xml:space="preserve"> </w:t>
      </w:r>
      <w:r w:rsidRPr="00502E39">
        <w:rPr>
          <w:szCs w:val="24"/>
        </w:rPr>
        <w:t>Prezbiter namaszcza nozdrza, ponieważ jest to bardzo ważny narząd zmysłów, bo przez nie mogą wejść do serca nieczyste myśli. Namaszczenie nozdrzy ma chronić przed wszelkim grzec</w:t>
      </w:r>
      <w:r w:rsidR="00D0070D" w:rsidRPr="00502E39">
        <w:rPr>
          <w:szCs w:val="24"/>
        </w:rPr>
        <w:t xml:space="preserve">hem </w:t>
      </w:r>
      <w:r w:rsidRPr="00502E39">
        <w:rPr>
          <w:szCs w:val="24"/>
        </w:rPr>
        <w:t>i żądzami.</w:t>
      </w:r>
      <w:r w:rsidRPr="00502E39">
        <w:rPr>
          <w:i/>
          <w:szCs w:val="24"/>
        </w:rPr>
        <w:t xml:space="preserve"> </w:t>
      </w:r>
      <w:r w:rsidRPr="00502E39">
        <w:rPr>
          <w:szCs w:val="24"/>
        </w:rPr>
        <w:t>Usta z językiem to najbardziej niebezpieczne organy w człowieku, dlatego niezbędne jest, by je namaścić. Namaszczenia te mają, zdaniem Koptów, uzasadnienie w Starym Testamencie, kiedy Psalmista zanosi modlitwę: „Postaw, Panie, straż moim ustom i wartę przy bramie warg moich! Mojego serca nie skłaniaj do złego słowa” (Ps 141,3-4), a król Salomon mówi: „Strzegąc swych ust i języka, strzeże się duszy przed strapieniem” (Prz 21,23) i: „Przewrotności ust się w</w:t>
      </w:r>
      <w:r w:rsidR="00D0070D" w:rsidRPr="00502E39">
        <w:rPr>
          <w:szCs w:val="24"/>
        </w:rPr>
        <w:t xml:space="preserve">ystrzegaj, od fałszu warg bądź </w:t>
      </w:r>
      <w:r w:rsidRPr="00502E39">
        <w:rPr>
          <w:szCs w:val="24"/>
        </w:rPr>
        <w:t>z daleka” (Prz 4,24)</w:t>
      </w:r>
      <w:r w:rsidRPr="00502E39">
        <w:rPr>
          <w:szCs w:val="24"/>
          <w:vertAlign w:val="superscript"/>
        </w:rPr>
        <w:footnoteReference w:id="31"/>
      </w:r>
      <w:r w:rsidRPr="00502E39">
        <w:rPr>
          <w:szCs w:val="24"/>
        </w:rPr>
        <w:t xml:space="preserve">. Teologia koptyjska cytuje również </w:t>
      </w:r>
      <w:r w:rsidRPr="00502E39">
        <w:rPr>
          <w:i/>
          <w:szCs w:val="24"/>
        </w:rPr>
        <w:t>List św. Jakuba</w:t>
      </w:r>
      <w:r w:rsidRPr="00502E39">
        <w:rPr>
          <w:szCs w:val="24"/>
        </w:rPr>
        <w:t>, który przestrzega: „Jeżeli ktoś uważa się za człowieka religijnego, lecz łudząc serce swoje, nie powściąga swego języka, to pobożność jego pozbawiona jest podstaw” (Jk 1,26); „Jeżeli ktoś nie grzeszy mową, jest mężem doskonałym zdolnym utrzymać w ryzach także całe ciało” (Jk 3,2) jak również „Języka natomiast nikt z ludzi nie potrafi okiełznać; to zło niepohamowane, pełne zabójczego jadu. Za jego pomocą wielbimy Boga i Ojca i nim przeklinamy ludzi stworzonych na podobieństwo Boże” (Jk 3,8-9)</w:t>
      </w:r>
      <w:r w:rsidRPr="00502E39">
        <w:rPr>
          <w:szCs w:val="24"/>
          <w:vertAlign w:val="superscript"/>
        </w:rPr>
        <w:footnoteReference w:id="32"/>
      </w:r>
      <w:r w:rsidRPr="00502E39">
        <w:rPr>
          <w:szCs w:val="24"/>
        </w:rPr>
        <w:t>.</w:t>
      </w:r>
      <w:r w:rsidRPr="00502E39">
        <w:rPr>
          <w:i/>
          <w:szCs w:val="24"/>
        </w:rPr>
        <w:t xml:space="preserve"> </w:t>
      </w:r>
      <w:r w:rsidRPr="00502E39">
        <w:rPr>
          <w:szCs w:val="24"/>
        </w:rPr>
        <w:t>Dzięki uszom możemy słyszeć, one również powinny być kontrolowane i namaszczenie myronem jest silną bronią do tego, by kontrolować, czego słuchamy. Namaszczenie chroni nasze uszy przed słuchaniem plotek i słów, które mogą zatruć nasze serca pożądliwymi myślami. Oczy to najważniejszy narząd zmysłów. Przez nie dociera do nas ponad osiemdziesiąt procent informacji, które mogą wpływać na nasze serce. Jeżeli informacja jest święta, uświęca nasze serce, ale może stać się inaczej. Powinniśmy kontrolować, na co patrzymy, żebyśmy byli czyści. Dziesiąte przykazanie mówi „Nie pożądaj!”. Psalmista modli się: „Odwróć me oczy, niech na marność nie patrzą” (Ps 119,37) i: „Otwórz moje oczy, abym ujrzał dziwy Twojego prawa” (Ps 119,18).</w:t>
      </w:r>
    </w:p>
    <w:p w14:paraId="1CD3FCAA" w14:textId="29B64DCE" w:rsidR="00D0070D" w:rsidRPr="00502E39" w:rsidRDefault="00F164A1" w:rsidP="00D0070D">
      <w:pPr>
        <w:spacing w:line="240" w:lineRule="auto"/>
        <w:ind w:firstLine="708"/>
        <w:jc w:val="both"/>
        <w:rPr>
          <w:szCs w:val="24"/>
        </w:rPr>
      </w:pPr>
      <w:r w:rsidRPr="00502E39">
        <w:rPr>
          <w:szCs w:val="24"/>
        </w:rPr>
        <w:t>Druga seria namaszczenia obejmuje cztery miejsca. Szafarz bierzmowania zwilża po raz kolejny prawy kciuk i namaszcza myronem kolejno: serce (klatkę piersiową), pępek, górną część pleców i ich dolną część</w:t>
      </w:r>
      <w:r w:rsidRPr="00502E39">
        <w:rPr>
          <w:szCs w:val="24"/>
          <w:vertAlign w:val="superscript"/>
        </w:rPr>
        <w:footnoteReference w:id="33"/>
      </w:r>
      <w:r w:rsidRPr="00502E39">
        <w:rPr>
          <w:szCs w:val="24"/>
        </w:rPr>
        <w:t>. Podczas namaszczania prezbiter modli się następującymi słowami: „Namaszczenie jako znak królestwa niebieskiego”</w:t>
      </w:r>
      <w:r w:rsidRPr="00502E39">
        <w:rPr>
          <w:szCs w:val="24"/>
          <w:vertAlign w:val="superscript"/>
        </w:rPr>
        <w:footnoteReference w:id="34"/>
      </w:r>
      <w:r w:rsidRPr="00502E39">
        <w:rPr>
          <w:szCs w:val="24"/>
        </w:rPr>
        <w:t>. Teologia koptyjska zwraca więc</w:t>
      </w:r>
      <w:r w:rsidR="00D0070D" w:rsidRPr="00502E39">
        <w:rPr>
          <w:szCs w:val="24"/>
        </w:rPr>
        <w:t xml:space="preserve"> uwagę, że święte namaszczenie </w:t>
      </w:r>
      <w:r w:rsidRPr="00502E39">
        <w:rPr>
          <w:szCs w:val="24"/>
        </w:rPr>
        <w:t xml:space="preserve">w sakramencie bierzmowania powoduje, iż </w:t>
      </w:r>
      <w:r w:rsidR="00D0070D" w:rsidRPr="00502E39">
        <w:rPr>
          <w:szCs w:val="24"/>
        </w:rPr>
        <w:t xml:space="preserve">Święty Duch działa w człowieku </w:t>
      </w:r>
      <w:r w:rsidRPr="00502E39">
        <w:rPr>
          <w:szCs w:val="24"/>
        </w:rPr>
        <w:t>i przygotowuje go do objęcia dziedzictwa królestwa niebieskiego</w:t>
      </w:r>
      <w:r w:rsidRPr="00502E39">
        <w:rPr>
          <w:szCs w:val="24"/>
          <w:vertAlign w:val="superscript"/>
        </w:rPr>
        <w:footnoteReference w:id="35"/>
      </w:r>
      <w:r w:rsidRPr="00502E39">
        <w:rPr>
          <w:szCs w:val="24"/>
        </w:rPr>
        <w:t>. Namaszczenie serca jest bardzo istotne, ponieważ to organ, który pompuje krew do całego ciała. Zdrowe serce jest ważne dla zdrowego ciała i wymagane dla dobra duchowego, jak radzi król Salomon: „Z całą pilnością strzeż swego serca, bo życie tam ma swoje źródło” (Prz 4,23). Serce musi być chronione i odnawiane, jak mówi Psalmista „Stwórz, o Boże, we mnie serce czyste i odnów w mojej piersi ducha niezwyciężonego!” (Ps 50,12)</w:t>
      </w:r>
      <w:r w:rsidRPr="00502E39">
        <w:rPr>
          <w:szCs w:val="24"/>
          <w:vertAlign w:val="superscript"/>
        </w:rPr>
        <w:footnoteReference w:id="36"/>
      </w:r>
      <w:r w:rsidRPr="00502E39">
        <w:rPr>
          <w:szCs w:val="24"/>
        </w:rPr>
        <w:t>. Pępek jest miejscem, z którego wychodziła pępowina przed naszym narodzeniem i łączyła nas z naszą matką. Dzięki niej pł</w:t>
      </w:r>
      <w:r w:rsidR="00D0070D" w:rsidRPr="00502E39">
        <w:rPr>
          <w:szCs w:val="24"/>
        </w:rPr>
        <w:t xml:space="preserve">ód jest odżywiony i dotleniony </w:t>
      </w:r>
      <w:r w:rsidRPr="00502E39">
        <w:rPr>
          <w:szCs w:val="24"/>
        </w:rPr>
        <w:t>i przez namaszczenie pępka myron ochrania człowieka przed szatanem</w:t>
      </w:r>
      <w:r w:rsidRPr="00502E39">
        <w:rPr>
          <w:szCs w:val="24"/>
          <w:vertAlign w:val="superscript"/>
        </w:rPr>
        <w:footnoteReference w:id="37"/>
      </w:r>
      <w:r w:rsidRPr="00502E39">
        <w:rPr>
          <w:szCs w:val="24"/>
        </w:rPr>
        <w:t>. Plecy wspierają ciało i są miejscem, gdzie znajduje się kręgosłup. Jeśli kręgosłup jest zakażony lub uszkodzony, może wystąpić silny ból, a nawet paraliż. Dlatego tak ważne jest chronienie go przez namaszczenie myronem</w:t>
      </w:r>
      <w:r w:rsidRPr="00502E39">
        <w:rPr>
          <w:szCs w:val="24"/>
          <w:vertAlign w:val="superscript"/>
        </w:rPr>
        <w:footnoteReference w:id="38"/>
      </w:r>
      <w:r w:rsidRPr="00502E39">
        <w:rPr>
          <w:szCs w:val="24"/>
        </w:rPr>
        <w:t xml:space="preserve">. </w:t>
      </w:r>
      <w:r w:rsidRPr="00502E39">
        <w:rPr>
          <w:szCs w:val="24"/>
        </w:rPr>
        <w:lastRenderedPageBreak/>
        <w:t>Dół pleców jest strefą seksualnych pożądliwości, dlatego namaszczenie tej części ciała myronem uświęca ją i chroni dzięki mocy żywego Krzyża. Ten obszar ciała obejmuje również nerki</w:t>
      </w:r>
      <w:r w:rsidRPr="00502E39">
        <w:rPr>
          <w:szCs w:val="24"/>
          <w:vertAlign w:val="superscript"/>
        </w:rPr>
        <w:footnoteReference w:id="39"/>
      </w:r>
      <w:r w:rsidRPr="00502E39">
        <w:rPr>
          <w:szCs w:val="24"/>
        </w:rPr>
        <w:t>.</w:t>
      </w:r>
    </w:p>
    <w:p w14:paraId="5C340DA7" w14:textId="77777777" w:rsidR="00D0070D" w:rsidRPr="00502E39" w:rsidRDefault="00F164A1" w:rsidP="00D0070D">
      <w:pPr>
        <w:spacing w:line="240" w:lineRule="auto"/>
        <w:ind w:firstLine="708"/>
        <w:jc w:val="both"/>
        <w:rPr>
          <w:szCs w:val="24"/>
        </w:rPr>
      </w:pPr>
      <w:r w:rsidRPr="00502E39">
        <w:rPr>
          <w:szCs w:val="24"/>
        </w:rPr>
        <w:t>Kolejnym etapem namaszczenia bierzmowanego jest namaszczenie sześciu stawów rąk. Szafarz zwilża kciuk w świętym myronie i namaszcza: staw prawego ramienia, prawą pachę, prawy staw łokciowy, wewnętrzną część stawu łokciowego, prawy nadgarstek, spód prawego nadgarstka</w:t>
      </w:r>
      <w:r w:rsidRPr="00502E39">
        <w:rPr>
          <w:szCs w:val="24"/>
          <w:vertAlign w:val="superscript"/>
        </w:rPr>
        <w:footnoteReference w:id="40"/>
      </w:r>
      <w:r w:rsidRPr="00502E39">
        <w:rPr>
          <w:szCs w:val="24"/>
        </w:rPr>
        <w:t>. Podczas namaszczania modli się:</w:t>
      </w:r>
      <w:r w:rsidRPr="00502E39">
        <w:rPr>
          <w:i/>
          <w:szCs w:val="24"/>
        </w:rPr>
        <w:t xml:space="preserve"> </w:t>
      </w:r>
      <w:r w:rsidRPr="00502E39">
        <w:rPr>
          <w:szCs w:val="24"/>
        </w:rPr>
        <w:t>„Namaszczenie dla wspólnoty życia wiecznego. Amen”</w:t>
      </w:r>
      <w:r w:rsidRPr="00502E39">
        <w:rPr>
          <w:szCs w:val="24"/>
          <w:vertAlign w:val="superscript"/>
        </w:rPr>
        <w:footnoteReference w:id="41"/>
      </w:r>
      <w:r w:rsidRPr="00502E39">
        <w:rPr>
          <w:szCs w:val="24"/>
        </w:rPr>
        <w:t>.</w:t>
      </w:r>
    </w:p>
    <w:p w14:paraId="3CC99042" w14:textId="77777777" w:rsidR="00D0070D" w:rsidRPr="00502E39" w:rsidRDefault="00F164A1" w:rsidP="00D0070D">
      <w:pPr>
        <w:spacing w:line="240" w:lineRule="auto"/>
        <w:ind w:firstLine="708"/>
        <w:jc w:val="both"/>
        <w:rPr>
          <w:szCs w:val="24"/>
        </w:rPr>
      </w:pPr>
      <w:r w:rsidRPr="00502E39">
        <w:rPr>
          <w:szCs w:val="24"/>
        </w:rPr>
        <w:t>Następnie prezbiter namaszcza pozostałe sześć lewych stawów: staw lewego ramienia, lewą pachę, lewy staw łokciowy, wewnętrzną część lewego stawu łokciowego, lewy nadgarstek, drugą stronę lewego nadgarstka</w:t>
      </w:r>
      <w:r w:rsidRPr="00502E39">
        <w:rPr>
          <w:szCs w:val="24"/>
          <w:vertAlign w:val="superscript"/>
        </w:rPr>
        <w:footnoteReference w:id="42"/>
      </w:r>
      <w:r w:rsidRPr="00502E39">
        <w:rPr>
          <w:szCs w:val="24"/>
        </w:rPr>
        <w:t>. Podczas namaszczania szafarz modli się: „Święte namaszczenie od naszego Pana Jezusa Chrystusa, niezniszczalna pieczęć. Amen”</w:t>
      </w:r>
      <w:r w:rsidRPr="00502E39">
        <w:rPr>
          <w:szCs w:val="24"/>
          <w:vertAlign w:val="superscript"/>
        </w:rPr>
        <w:footnoteReference w:id="43"/>
      </w:r>
      <w:r w:rsidRPr="00502E39">
        <w:rPr>
          <w:szCs w:val="24"/>
        </w:rPr>
        <w:t>.</w:t>
      </w:r>
    </w:p>
    <w:p w14:paraId="03370313" w14:textId="77777777" w:rsidR="00D0070D" w:rsidRPr="00502E39" w:rsidRDefault="00F164A1" w:rsidP="00D0070D">
      <w:pPr>
        <w:spacing w:line="240" w:lineRule="auto"/>
        <w:ind w:firstLine="708"/>
        <w:jc w:val="both"/>
        <w:rPr>
          <w:szCs w:val="24"/>
        </w:rPr>
      </w:pPr>
      <w:r w:rsidRPr="00502E39">
        <w:rPr>
          <w:szCs w:val="24"/>
        </w:rPr>
        <w:t>Piąta seria namaszczeń obejmuje sześć stawów nóg. Szafarz nawilża kciuk myronem i namaszcza: prawy staw biodrowy, prawy moczowód (wewnątrz stawu biodrowego), prawy staw kolanowy, wewnętrzną część stawu kolanowego, prawy staw skokowy, miejsce powyżej prawego stawu skokowego</w:t>
      </w:r>
      <w:r w:rsidRPr="00502E39">
        <w:rPr>
          <w:szCs w:val="24"/>
          <w:vertAlign w:val="superscript"/>
        </w:rPr>
        <w:footnoteReference w:id="44"/>
      </w:r>
      <w:r w:rsidRPr="00502E39">
        <w:rPr>
          <w:szCs w:val="24"/>
        </w:rPr>
        <w:t>. Dokonując namaszczenia, prezbiter mówi: „Doskonałość łaski Świętego Ducha. Amen”</w:t>
      </w:r>
      <w:r w:rsidRPr="00502E39">
        <w:rPr>
          <w:szCs w:val="24"/>
          <w:vertAlign w:val="superscript"/>
        </w:rPr>
        <w:footnoteReference w:id="45"/>
      </w:r>
      <w:r w:rsidRPr="00502E39">
        <w:rPr>
          <w:szCs w:val="24"/>
        </w:rPr>
        <w:t>. Namaszczenie powyższych stawów obejmuje bardzo wrażliwe części ciała, bo biodra obejmują organy służące do reprodukcji. W Kościele koptyjskim namaszcza się te strefy ciała, żeby dziecko mogło wieść życie w czystości. Narządy seksualne są nazywane świętością ciała, dlatego wymagane jest zachowanie ich w czystości. Przez namaszczenie ich myronem są chronione od seksualnej niemoralności, która bardzo złości Boga. Z tego powodu św. Paweł doradza młodym mówiąc: „Si</w:t>
      </w:r>
      <w:r w:rsidR="00D0070D" w:rsidRPr="00502E39">
        <w:rPr>
          <w:szCs w:val="24"/>
        </w:rPr>
        <w:t xml:space="preserve">ebie samego zachowaj czystym!” </w:t>
      </w:r>
      <w:r w:rsidRPr="00502E39">
        <w:rPr>
          <w:szCs w:val="24"/>
        </w:rPr>
        <w:t>(1 Tes 5, 23), bo bez świętości nikt nie ujrzy Pana</w:t>
      </w:r>
      <w:r w:rsidRPr="00502E39">
        <w:rPr>
          <w:szCs w:val="24"/>
          <w:vertAlign w:val="superscript"/>
        </w:rPr>
        <w:footnoteReference w:id="46"/>
      </w:r>
      <w:r w:rsidRPr="00502E39">
        <w:rPr>
          <w:szCs w:val="24"/>
        </w:rPr>
        <w:t xml:space="preserve">. </w:t>
      </w:r>
    </w:p>
    <w:p w14:paraId="1E92D28E" w14:textId="77777777" w:rsidR="00D0070D" w:rsidRPr="00502E39" w:rsidRDefault="00F164A1" w:rsidP="00D0070D">
      <w:pPr>
        <w:spacing w:line="240" w:lineRule="auto"/>
        <w:ind w:firstLine="708"/>
        <w:jc w:val="both"/>
        <w:rPr>
          <w:szCs w:val="24"/>
        </w:rPr>
      </w:pPr>
      <w:r w:rsidRPr="00502E39">
        <w:rPr>
          <w:szCs w:val="24"/>
        </w:rPr>
        <w:t>Szóste namaszczenie obejmuje: lewy staw biodrowy, lewy moczowód (wewnątrz biodra), lewy staw kolanowy, wewnętrzną część lewego stawu kolanowego, lewy staw skokowy, miejsce powyżej lewego stawu skokowego</w:t>
      </w:r>
      <w:r w:rsidRPr="00502E39">
        <w:rPr>
          <w:szCs w:val="24"/>
          <w:vertAlign w:val="superscript"/>
        </w:rPr>
        <w:footnoteReference w:id="47"/>
      </w:r>
      <w:r w:rsidRPr="00502E39">
        <w:rPr>
          <w:szCs w:val="24"/>
        </w:rPr>
        <w:t>. Namaszczając te miejsca szafarz mówi: „Namaszczam cię (…imię) przez święte namaszczenie. W imię Ojca, i Syna, i Świętego Ducha. Amen”</w:t>
      </w:r>
      <w:r w:rsidRPr="00502E39">
        <w:rPr>
          <w:szCs w:val="24"/>
          <w:vertAlign w:val="superscript"/>
        </w:rPr>
        <w:footnoteReference w:id="48"/>
      </w:r>
      <w:r w:rsidRPr="00502E39">
        <w:rPr>
          <w:szCs w:val="24"/>
        </w:rPr>
        <w:t>. Namaszczenie chroni przed chodzeniem drogą zła i przed chodzeniem w złe, zepsute miejsca. Unikanie drogi grzechu umożliwi nam życie cnotliwe i w końcu osiągnięcie życia wiecznego.</w:t>
      </w:r>
    </w:p>
    <w:p w14:paraId="7BEE58A7" w14:textId="3E8B2B98" w:rsidR="00D0070D" w:rsidRPr="00502E39" w:rsidRDefault="00F164A1" w:rsidP="00D0070D">
      <w:pPr>
        <w:spacing w:line="240" w:lineRule="auto"/>
        <w:ind w:firstLine="708"/>
        <w:jc w:val="both"/>
        <w:rPr>
          <w:szCs w:val="24"/>
        </w:rPr>
      </w:pPr>
      <w:r w:rsidRPr="00502E39">
        <w:rPr>
          <w:szCs w:val="24"/>
        </w:rPr>
        <w:t>Po skończonym namaszczeniu prezbiter kładzi</w:t>
      </w:r>
      <w:r w:rsidR="00D0070D" w:rsidRPr="00502E39">
        <w:rPr>
          <w:szCs w:val="24"/>
        </w:rPr>
        <w:t xml:space="preserve">e swoją dłoń na głowie dziecka </w:t>
      </w:r>
      <w:r w:rsidRPr="00502E39">
        <w:rPr>
          <w:szCs w:val="24"/>
        </w:rPr>
        <w:t>i modli się: „Możesz być błogosławiony błogosławieństwem niebios i aniołów. Może Pan Jezus Chrystus błogosławić cię w imię Swoje”</w:t>
      </w:r>
      <w:r w:rsidRPr="00502E39">
        <w:rPr>
          <w:szCs w:val="24"/>
          <w:vertAlign w:val="superscript"/>
        </w:rPr>
        <w:footnoteReference w:id="49"/>
      </w:r>
      <w:r w:rsidRPr="00502E39">
        <w:rPr>
          <w:szCs w:val="24"/>
        </w:rPr>
        <w:t>.</w:t>
      </w:r>
    </w:p>
    <w:p w14:paraId="0986E71A" w14:textId="01CC0907" w:rsidR="00F164A1" w:rsidRPr="00502E39" w:rsidRDefault="00F164A1" w:rsidP="00D0070D">
      <w:pPr>
        <w:spacing w:line="240" w:lineRule="auto"/>
        <w:ind w:firstLine="708"/>
        <w:jc w:val="both"/>
        <w:rPr>
          <w:szCs w:val="24"/>
        </w:rPr>
      </w:pPr>
      <w:r w:rsidRPr="00502E39">
        <w:rPr>
          <w:szCs w:val="24"/>
        </w:rPr>
        <w:t xml:space="preserve">Liturgia sakramentu bierzmowania w Kościele koptyjskim podkreśla, że istotny jest fakt, aby namaszczanie myronem w pierwszej kolejności obejmowało prawą stronę ciała, ponieważ to prawa strona ma pierwszeństwo, jest ona centrum mocy ludzkiej (np. większość czynności wykonujemy prawą ręką). Dlatego też koptyjskie przepisy liturgiczne zobowiązują </w:t>
      </w:r>
      <w:r w:rsidRPr="00502E39">
        <w:rPr>
          <w:szCs w:val="24"/>
        </w:rPr>
        <w:lastRenderedPageBreak/>
        <w:t>celebransa Eucharystii do wchodzenia przed ołtarz prawą nogą</w:t>
      </w:r>
      <w:r w:rsidRPr="00502E39">
        <w:rPr>
          <w:szCs w:val="24"/>
          <w:vertAlign w:val="superscript"/>
        </w:rPr>
        <w:footnoteReference w:id="50"/>
      </w:r>
      <w:r w:rsidRPr="00502E39">
        <w:rPr>
          <w:szCs w:val="24"/>
        </w:rPr>
        <w:t xml:space="preserve">. W przypadku, gdy do bierzmowania jest więcej osób, namaszcza najpierw chłopców, a potem dziewczynki. </w:t>
      </w:r>
    </w:p>
    <w:p w14:paraId="559F2AFD" w14:textId="77777777" w:rsidR="00F164A1" w:rsidRPr="00502E39" w:rsidRDefault="00F164A1" w:rsidP="00D0070D">
      <w:pPr>
        <w:numPr>
          <w:ilvl w:val="1"/>
          <w:numId w:val="3"/>
        </w:numPr>
        <w:spacing w:line="240" w:lineRule="auto"/>
        <w:ind w:left="709" w:firstLine="0"/>
        <w:jc w:val="both"/>
        <w:rPr>
          <w:b/>
          <w:szCs w:val="24"/>
        </w:rPr>
      </w:pPr>
      <w:r w:rsidRPr="00502E39">
        <w:rPr>
          <w:b/>
          <w:szCs w:val="24"/>
        </w:rPr>
        <w:t>Obrzęd namaszczenia – aspekt rekoncyliacyjny</w:t>
      </w:r>
    </w:p>
    <w:p w14:paraId="56410DFE" w14:textId="4DBF3E94" w:rsidR="00F164A1" w:rsidRPr="00502E39" w:rsidRDefault="00F164A1" w:rsidP="00D0070D">
      <w:pPr>
        <w:spacing w:line="240" w:lineRule="auto"/>
        <w:ind w:firstLine="708"/>
        <w:jc w:val="both"/>
        <w:rPr>
          <w:szCs w:val="24"/>
        </w:rPr>
      </w:pPr>
      <w:r w:rsidRPr="00502E39">
        <w:rPr>
          <w:szCs w:val="24"/>
        </w:rPr>
        <w:t>Namaszczenie Myronem poza aspektem pneumatologicznym, ściśle złączone jest także z rekoncyliacją</w:t>
      </w:r>
      <w:r w:rsidRPr="00502E39">
        <w:rPr>
          <w:szCs w:val="24"/>
          <w:vertAlign w:val="superscript"/>
        </w:rPr>
        <w:footnoteReference w:id="51"/>
      </w:r>
      <w:r w:rsidRPr="00502E39">
        <w:rPr>
          <w:szCs w:val="24"/>
        </w:rPr>
        <w:t>. Ten drugi aspekt namaszczenia nigdy nie odgrywał pierwszoplanowej roli w bierzmowaniu, ale współczesna teologia, szczególnie zachodnia, traktuje go marginalnie. Aspekt rekoncyliacyjny jest późniejszy od pneumatologicznego, ale to nie uzasadnia faktu, że współcześnie niewielu chrześcijan kojarzy bierzmowanie z pojednaniem. Dlatego też warto podkreślić</w:t>
      </w:r>
      <w:r w:rsidR="009A75B1">
        <w:rPr>
          <w:szCs w:val="24"/>
        </w:rPr>
        <w:t>, że teologia koptyjska akcentuje</w:t>
      </w:r>
      <w:r w:rsidRPr="00502E39">
        <w:rPr>
          <w:szCs w:val="24"/>
        </w:rPr>
        <w:t xml:space="preserve"> oba aspekty obrzędu namaszczenia w bierzmowaniu. </w:t>
      </w:r>
    </w:p>
    <w:p w14:paraId="18C29A33" w14:textId="77777777" w:rsidR="00F164A1" w:rsidRPr="00502E39" w:rsidRDefault="00F164A1" w:rsidP="00D0070D">
      <w:pPr>
        <w:spacing w:line="240" w:lineRule="auto"/>
        <w:ind w:firstLine="708"/>
        <w:jc w:val="both"/>
        <w:rPr>
          <w:szCs w:val="24"/>
        </w:rPr>
      </w:pPr>
      <w:r w:rsidRPr="00502E39">
        <w:rPr>
          <w:szCs w:val="24"/>
        </w:rPr>
        <w:t>W Kościele koptyjskim, jak już wykazano, namaszcza się trzydzieści sześć miejsc na ciele człowieka</w:t>
      </w:r>
      <w:r w:rsidRPr="00502E39">
        <w:rPr>
          <w:szCs w:val="24"/>
          <w:vertAlign w:val="superscript"/>
        </w:rPr>
        <w:footnoteReference w:id="52"/>
      </w:r>
      <w:r w:rsidRPr="00502E39">
        <w:rPr>
          <w:szCs w:val="24"/>
        </w:rPr>
        <w:t>. Namaszczenia te mają chronić bierzmowanego przed działaniem szatana. Teologia koptyjska zauważa, że opętany chrześcijanin musiał być niedokładnie namaszczony myronem, co pozwoliło na przedostanie się diabła do jego ciała i zamieszkanie w nim. Ponieważ człowiek jest bierzmowany tylko raz w życiu, szafarz tego sakramentu musi bardzo dokładnie namaszczać wszystkie miejsca, bo zaniedbanie tego może przynieść wielką szkodę bierzmowanemu</w:t>
      </w:r>
      <w:r w:rsidRPr="00502E39">
        <w:rPr>
          <w:szCs w:val="24"/>
          <w:vertAlign w:val="superscript"/>
        </w:rPr>
        <w:footnoteReference w:id="53"/>
      </w:r>
      <w:r w:rsidRPr="00502E39">
        <w:rPr>
          <w:szCs w:val="24"/>
        </w:rPr>
        <w:t>.</w:t>
      </w:r>
    </w:p>
    <w:p w14:paraId="7CA25098" w14:textId="3CD09EEA" w:rsidR="00F164A1" w:rsidRPr="00502E39" w:rsidRDefault="00F164A1" w:rsidP="00D0070D">
      <w:pPr>
        <w:spacing w:line="240" w:lineRule="auto"/>
        <w:ind w:firstLine="708"/>
        <w:jc w:val="both"/>
        <w:rPr>
          <w:szCs w:val="24"/>
        </w:rPr>
      </w:pPr>
      <w:r w:rsidRPr="00502E39">
        <w:rPr>
          <w:szCs w:val="24"/>
        </w:rPr>
        <w:t xml:space="preserve">Podejmując teologiczną refleksję nad rekoncyliacyjnym wymiarem sakramentu bierzmowanie należy zauważyć, że Kościół koptyjski wskazuje na fragment z </w:t>
      </w:r>
      <w:r w:rsidRPr="00502E39">
        <w:rPr>
          <w:i/>
          <w:szCs w:val="24"/>
        </w:rPr>
        <w:t>Dziejów Apostolskich</w:t>
      </w:r>
      <w:r w:rsidRPr="00502E39">
        <w:rPr>
          <w:szCs w:val="24"/>
        </w:rPr>
        <w:t xml:space="preserve"> (19,1-7), w którym jest mowa o jakichś uczniach (</w:t>
      </w:r>
      <w:r w:rsidRPr="00502E39">
        <w:rPr>
          <w:i/>
          <w:szCs w:val="24"/>
          <w:lang w:val="el-GR"/>
        </w:rPr>
        <w:t>τιναςμαθητας</w:t>
      </w:r>
      <w:r w:rsidRPr="00502E39">
        <w:rPr>
          <w:szCs w:val="24"/>
        </w:rPr>
        <w:t>) (Dz 19,1). Św. Paweł podejmuje rozmowę z tymi uczniami: „Zapytał ich: ‘Czy otrzymaliście Ducha Świętego, gdy przyjęliście wiarę?’ A oni do niego: ‘Nawet nie słyszeliśmy, że istnieje Duch Święty’. ‘Jaki więc chrzest przyjęliście?’ – zapytał. A oni odpowiedzieli: ‘Chrzest Janowy’. ‘Jan udzielał chrztu nawrócenia, przemawiając do ludu, aby uwierzyli w Tego, który za nim idzie, to jest w Jezusa’ – powiedział Paweł” (Dz 19,2-4). Uczniowie ci przyjęli chrzest w imię Jezusa Chrystusa, po czym św. Paweł włożył na nich ręce, aby zstąpił na nich Duch Święty (por. Dz 19,5n). Powyższy teks</w:t>
      </w:r>
      <w:r w:rsidR="009A75B1">
        <w:rPr>
          <w:szCs w:val="24"/>
        </w:rPr>
        <w:t>t</w:t>
      </w:r>
      <w:r w:rsidRPr="00502E39">
        <w:rPr>
          <w:szCs w:val="24"/>
        </w:rPr>
        <w:t xml:space="preserve"> biblijny ukazuje przyłączenie do Kościoła grupy około dwunastu mężczyzn (por. Dz 19,7). W powyższym tekście gest włożenia przez Apostołów rąk po chrzcie nabiera znaczenia pneumatologiczno-rekoncyliacyjnego. Gest ten nie tylko udziela daru Ducha Świętego, ale także uzupełnia braki związan</w:t>
      </w:r>
      <w:r w:rsidR="00D0070D" w:rsidRPr="00502E39">
        <w:rPr>
          <w:szCs w:val="24"/>
        </w:rPr>
        <w:t xml:space="preserve">e z wiarą czy brakiem jedności </w:t>
      </w:r>
      <w:r w:rsidRPr="00502E39">
        <w:rPr>
          <w:szCs w:val="24"/>
        </w:rPr>
        <w:t xml:space="preserve">z Kościołem. </w:t>
      </w:r>
    </w:p>
    <w:p w14:paraId="79FACEA7" w14:textId="77777777" w:rsidR="00F164A1" w:rsidRPr="00502E39" w:rsidRDefault="00F164A1" w:rsidP="00D0070D">
      <w:pPr>
        <w:spacing w:line="240" w:lineRule="auto"/>
        <w:ind w:firstLine="708"/>
        <w:jc w:val="both"/>
        <w:rPr>
          <w:szCs w:val="24"/>
        </w:rPr>
      </w:pPr>
      <w:r w:rsidRPr="00502E39">
        <w:rPr>
          <w:szCs w:val="24"/>
        </w:rPr>
        <w:t xml:space="preserve">W Kościele starożytnym do rekoncyliacyjnego znaczenia bierzmowania przyczynił się przede wszystkim spór o ważność chrztu udzielanego przez heretyków. Analizując to zagadnienie </w:t>
      </w:r>
      <w:r w:rsidRPr="00502E39">
        <w:rPr>
          <w:i/>
          <w:szCs w:val="24"/>
        </w:rPr>
        <w:t>Encyklopedia Koptyjska</w:t>
      </w:r>
      <w:r w:rsidRPr="00502E39">
        <w:rPr>
          <w:szCs w:val="24"/>
        </w:rPr>
        <w:t xml:space="preserve"> zwraca uwagę na 38. kanon Synodu w Laodycei (348 lub 381 r.)</w:t>
      </w:r>
      <w:r w:rsidRPr="00502E39">
        <w:rPr>
          <w:szCs w:val="24"/>
          <w:vertAlign w:val="superscript"/>
        </w:rPr>
        <w:footnoteReference w:id="54"/>
      </w:r>
      <w:r w:rsidRPr="00502E39">
        <w:rPr>
          <w:szCs w:val="24"/>
        </w:rPr>
        <w:t>, który nakazuje, aby odwracający się od herezji, nowacjanie, fotynianie, i kwartodecymianie po nauczeniu się Symbolu wiary, zostali namaszczeni świętym krzyżmem [myronem] i przyjęli Komunię Świętą</w:t>
      </w:r>
      <w:r w:rsidRPr="00502E39">
        <w:rPr>
          <w:szCs w:val="24"/>
          <w:vertAlign w:val="superscript"/>
        </w:rPr>
        <w:footnoteReference w:id="55"/>
      </w:r>
      <w:r w:rsidRPr="00502E39">
        <w:rPr>
          <w:szCs w:val="24"/>
        </w:rPr>
        <w:t xml:space="preserve">. Teologia koptyjska przypomina również 7. kanon Soboru w Konstantynopolu (381 r.), gdzie pierwszy raz w sposób aż tak wyraźny wyszczególniono heretyków „poważnych”, zwanych też trynitarnymi oraz heretyków </w:t>
      </w:r>
      <w:r w:rsidRPr="00502E39">
        <w:rPr>
          <w:szCs w:val="24"/>
        </w:rPr>
        <w:lastRenderedPageBreak/>
        <w:t>zwanych „pośrednimi dysydentami”</w:t>
      </w:r>
      <w:r w:rsidRPr="00502E39">
        <w:rPr>
          <w:szCs w:val="24"/>
          <w:vertAlign w:val="superscript"/>
        </w:rPr>
        <w:footnoteReference w:id="56"/>
      </w:r>
      <w:r w:rsidRPr="00502E39">
        <w:rPr>
          <w:szCs w:val="24"/>
        </w:rPr>
        <w:t>, którzy w dużej mierze przyjmują naukę o Trójcy Świętej i Wcieleniu, jednak podważają ortodoksyjną naukę w kwestiach mniej istotnych</w:t>
      </w:r>
      <w:r w:rsidRPr="00502E39">
        <w:rPr>
          <w:szCs w:val="24"/>
          <w:vertAlign w:val="superscript"/>
        </w:rPr>
        <w:footnoteReference w:id="57"/>
      </w:r>
      <w:r w:rsidRPr="00502E39">
        <w:rPr>
          <w:szCs w:val="24"/>
        </w:rPr>
        <w:t>.</w:t>
      </w:r>
    </w:p>
    <w:p w14:paraId="25D6CB30" w14:textId="3BD4A8F5" w:rsidR="00F164A1" w:rsidRPr="00502E39" w:rsidRDefault="00F164A1" w:rsidP="00D0070D">
      <w:pPr>
        <w:spacing w:line="240" w:lineRule="auto"/>
        <w:ind w:firstLine="708"/>
        <w:jc w:val="both"/>
        <w:rPr>
          <w:szCs w:val="24"/>
        </w:rPr>
      </w:pPr>
      <w:r w:rsidRPr="00502E39">
        <w:rPr>
          <w:szCs w:val="24"/>
        </w:rPr>
        <w:t>O życiu rekoncyliacyjnym bierzmowanego świadczy biała szata, w którą ubierane jest dziecko naznaczone wcześniej przez szafarza sakramentu trzema znakami krzyża wraz ze słowami: „Ubranie życia wiecznego umożliwiające wejście do królestwa niebieskiego”</w:t>
      </w:r>
      <w:r w:rsidRPr="00502E39">
        <w:rPr>
          <w:szCs w:val="24"/>
          <w:vertAlign w:val="superscript"/>
        </w:rPr>
        <w:footnoteReference w:id="58"/>
      </w:r>
      <w:r w:rsidRPr="00502E39">
        <w:rPr>
          <w:i/>
          <w:szCs w:val="24"/>
        </w:rPr>
        <w:t xml:space="preserve">. </w:t>
      </w:r>
      <w:r w:rsidRPr="00502E39">
        <w:rPr>
          <w:szCs w:val="24"/>
        </w:rPr>
        <w:t xml:space="preserve">Nowe białe szaty oznaczają nowe życie w świętości. Biel przypomina o trzech faktach: w przeszłości, teraźniejszości i przyszłości. Pierwszym z nich, tym </w:t>
      </w:r>
      <w:r w:rsidRPr="00502E39">
        <w:rPr>
          <w:szCs w:val="24"/>
        </w:rPr>
        <w:br/>
        <w:t>z przeszłości jest niewinność, czystość ludzi w ogrodzie Eden przed grzechem Adama. Chroniona łaską Bożą, ochrzczona osoba nie czuje nagości i wstydu. Po drugie, ochrzczony musi żyć życiem czystym i bez skazy, w taki sposób, aby nie pokalać nowej szaty, nowego serca i nowej osoby, którą się stał przez chrzest. Jeśli zgrzeszy, musi szybko wzbudzić w sobie żal i przyjąć Komunię świętą dla drogiej Krwi Pana Jezusa, która obmyła nas z grzechu. To także przypomina nam o życiu wiecznym, do którego przygotowujemy się przez czystość. W niebie sprawi</w:t>
      </w:r>
      <w:r w:rsidR="00D0070D" w:rsidRPr="00502E39">
        <w:rPr>
          <w:szCs w:val="24"/>
        </w:rPr>
        <w:t xml:space="preserve">edliwe dusze noszą białe szaty </w:t>
      </w:r>
      <w:r w:rsidRPr="00502E39">
        <w:rPr>
          <w:szCs w:val="24"/>
        </w:rPr>
        <w:t>i służą Bogu dniem i nocą w Jego świątyni: „to ci, którzy przychodzą z wielkiego ucisku i opłukali swe szaty, i w krwi Baranka je wybielili” (Ap 7)</w:t>
      </w:r>
      <w:r w:rsidRPr="00502E39">
        <w:rPr>
          <w:szCs w:val="24"/>
          <w:vertAlign w:val="superscript"/>
        </w:rPr>
        <w:footnoteReference w:id="59"/>
      </w:r>
      <w:r w:rsidRPr="00502E39">
        <w:rPr>
          <w:szCs w:val="24"/>
        </w:rPr>
        <w:t>.</w:t>
      </w:r>
    </w:p>
    <w:p w14:paraId="3C3DC748" w14:textId="2951AED9" w:rsidR="00F164A1" w:rsidRPr="00502E39" w:rsidRDefault="00F164A1" w:rsidP="00F164A1">
      <w:pPr>
        <w:spacing w:line="240" w:lineRule="auto"/>
        <w:jc w:val="both"/>
        <w:rPr>
          <w:szCs w:val="24"/>
        </w:rPr>
      </w:pPr>
      <w:r w:rsidRPr="00502E39">
        <w:rPr>
          <w:szCs w:val="24"/>
        </w:rPr>
        <w:t>Kolejnym etapem liturgii bierzmowania jest obrzęd koronacji. Prezbiter bierze korony i modli się nad nimi słowami: „Pobłogosław te korony, które przygotowaliśmy dla Twojego sługi, zjednoczonego z Tobą przez chrzest święty, spraw, by stały się koronami chwały.” Później kładzie koronę na gł</w:t>
      </w:r>
      <w:r w:rsidR="00D0070D" w:rsidRPr="00502E39">
        <w:rPr>
          <w:szCs w:val="24"/>
        </w:rPr>
        <w:t xml:space="preserve">owie ochrzczonego, modląc się: </w:t>
      </w:r>
      <w:r w:rsidRPr="00502E39">
        <w:rPr>
          <w:szCs w:val="24"/>
        </w:rPr>
        <w:t>„O Panie, połóż na Swoim słudze tę koronę z nieba. Amen. Koronę chwały. Amen”</w:t>
      </w:r>
      <w:r w:rsidRPr="00502E39">
        <w:rPr>
          <w:szCs w:val="24"/>
          <w:vertAlign w:val="superscript"/>
        </w:rPr>
        <w:footnoteReference w:id="60"/>
      </w:r>
      <w:r w:rsidRPr="00502E39">
        <w:rPr>
          <w:szCs w:val="24"/>
        </w:rPr>
        <w:t xml:space="preserve">. Umieszczanie korony na głowach ochrzczonych jest starym obrzędem, o którym wspominają Ojcowie Kościoła. Św. Efrem Syryjczyk mówi do ochrzczonych: </w:t>
      </w:r>
      <w:r w:rsidRPr="00502E39">
        <w:rPr>
          <w:i/>
          <w:szCs w:val="24"/>
        </w:rPr>
        <w:t>„</w:t>
      </w:r>
      <w:r w:rsidRPr="00502E39">
        <w:rPr>
          <w:szCs w:val="24"/>
        </w:rPr>
        <w:t>Wasze szaty i korony świecą i chwała Jezusa Chrystusa ochrania was”</w:t>
      </w:r>
      <w:r w:rsidRPr="00502E39">
        <w:rPr>
          <w:i/>
          <w:szCs w:val="24"/>
        </w:rPr>
        <w:t xml:space="preserve">. </w:t>
      </w:r>
      <w:r w:rsidRPr="00502E39">
        <w:rPr>
          <w:szCs w:val="24"/>
        </w:rPr>
        <w:t xml:space="preserve">Kościół koptyjski kontynuował praktykę nakładania koron do siedemnastego wieku, ale potem zwyczaj ten przestał być powszechnie praktykowany, chociaż oficjalnie nie został zniesiony. Korony dla ochrzczonych mają wiele duchowych znaczeń. Oznaczają zwycięstwo ochrzczonych od zniewolenia przez diabła, jego złych czynów i od niewoli, niewoli Hadesu i jego więzów. Korony oznaczają królewskość i chwałę ochrzczonych, którzy stają się dziećmi Boga, króla na tronie, kapłana i proroka. Namaszczeni stają się królami, którzy mogą panować nad sobą, nad swoimi skłonności i żądzami, mogą nie dopuszczać do siebie diabła, grzechu i pożądliwości. </w:t>
      </w:r>
    </w:p>
    <w:p w14:paraId="2912DCA4" w14:textId="2257AD5F" w:rsidR="00F164A1" w:rsidRPr="00502E39" w:rsidRDefault="00F164A1" w:rsidP="00D0070D">
      <w:pPr>
        <w:spacing w:line="240" w:lineRule="auto"/>
        <w:ind w:firstLine="708"/>
        <w:jc w:val="both"/>
        <w:rPr>
          <w:szCs w:val="24"/>
        </w:rPr>
      </w:pPr>
      <w:r w:rsidRPr="00502E39">
        <w:rPr>
          <w:szCs w:val="24"/>
        </w:rPr>
        <w:lastRenderedPageBreak/>
        <w:t>Korony chrzcielne, podobnie jak ślubne</w:t>
      </w:r>
      <w:r w:rsidRPr="00502E39">
        <w:rPr>
          <w:szCs w:val="24"/>
          <w:vertAlign w:val="superscript"/>
        </w:rPr>
        <w:footnoteReference w:id="61"/>
      </w:r>
      <w:r w:rsidRPr="00502E39">
        <w:rPr>
          <w:szCs w:val="24"/>
        </w:rPr>
        <w:t>, powinny być zrobione z metalu. Po nałożeniu korony szafarz sakramentu wiąże czerwoną wstążkę w pasie ochrzczonego. Przez zawiązanie wstążki ochrzczony staje się żołnierzem Chrystusa (żołnierz też wiąże wstążkę zanim pójdzie na bitwę) gotowym do zaatakowania wszelkiego napotkanego zła. Chrześcijanin musi starać się być dobrym żołnierzem Jezusa Chrystusa przez cierpliwe znoszenie trudności, żeby osiągnąć koronę chwały. Kolor wstążeczki jest symbolem przypominającym krew Jezusa Chrystusa, kt</w:t>
      </w:r>
      <w:r w:rsidR="00D0070D" w:rsidRPr="00502E39">
        <w:rPr>
          <w:szCs w:val="24"/>
        </w:rPr>
        <w:t xml:space="preserve">óry przelał swoją krew za nas, </w:t>
      </w:r>
      <w:r w:rsidRPr="00502E39">
        <w:rPr>
          <w:szCs w:val="24"/>
        </w:rPr>
        <w:t>i dzięki czemu możemy przyjmować chrzest, bierzmowanie i pozostałe sakramenty.</w:t>
      </w:r>
    </w:p>
    <w:p w14:paraId="53A73DFE" w14:textId="77777777" w:rsidR="00F164A1" w:rsidRPr="00502E39" w:rsidRDefault="00F164A1" w:rsidP="00D0070D">
      <w:pPr>
        <w:spacing w:line="240" w:lineRule="auto"/>
        <w:ind w:firstLine="708"/>
        <w:jc w:val="both"/>
        <w:rPr>
          <w:szCs w:val="24"/>
        </w:rPr>
      </w:pPr>
      <w:r w:rsidRPr="00502E39">
        <w:rPr>
          <w:szCs w:val="24"/>
        </w:rPr>
        <w:t xml:space="preserve">Tradycja koptyjska podkreśla, że rozwiązanie wstążeczki następuje po ośmiu dniach po chrzcie. Obrzęd ten ma miejsce w domu dziecka. Ósmego dnia prezbiter przychodzi do domu i modli się modlitwą „rozwiązania wstęgi”. </w:t>
      </w:r>
    </w:p>
    <w:p w14:paraId="36675CE7" w14:textId="77777777" w:rsidR="00F164A1" w:rsidRPr="00502E39" w:rsidRDefault="00F164A1" w:rsidP="00D0070D">
      <w:pPr>
        <w:numPr>
          <w:ilvl w:val="1"/>
          <w:numId w:val="3"/>
        </w:numPr>
        <w:spacing w:line="240" w:lineRule="auto"/>
        <w:ind w:left="709" w:firstLine="0"/>
        <w:jc w:val="both"/>
        <w:rPr>
          <w:b/>
          <w:bCs/>
          <w:szCs w:val="24"/>
        </w:rPr>
      </w:pPr>
      <w:r w:rsidRPr="00502E39">
        <w:rPr>
          <w:b/>
          <w:bCs/>
          <w:szCs w:val="24"/>
        </w:rPr>
        <w:t xml:space="preserve"> Czas bierzmowania</w:t>
      </w:r>
    </w:p>
    <w:p w14:paraId="3663E87A" w14:textId="06D458A8" w:rsidR="00F164A1" w:rsidRPr="00502E39" w:rsidRDefault="00F164A1" w:rsidP="00D0070D">
      <w:pPr>
        <w:spacing w:line="240" w:lineRule="auto"/>
        <w:ind w:firstLine="708"/>
        <w:jc w:val="both"/>
        <w:rPr>
          <w:szCs w:val="24"/>
        </w:rPr>
      </w:pPr>
      <w:r w:rsidRPr="00502E39">
        <w:rPr>
          <w:szCs w:val="24"/>
        </w:rPr>
        <w:t>Ortodoksyjny Kościół Koptyjski udziela bierzmowania bezpośrednio po chrzcie świętym. Swoją praktykę uzasadnia faktem, że Duch Święty zstąpił na Chrystusa, zaraz po chrzcie (zob. Mt 3,16). Podobnie czynili Apostołowie, o czym informują Dzieje Apostolskie (zob. 8,14; 19,1-6)</w:t>
      </w:r>
      <w:r w:rsidRPr="00502E39">
        <w:rPr>
          <w:szCs w:val="24"/>
          <w:vertAlign w:val="superscript"/>
        </w:rPr>
        <w:footnoteReference w:id="62"/>
      </w:r>
      <w:r w:rsidRPr="00502E39">
        <w:rPr>
          <w:szCs w:val="24"/>
        </w:rPr>
        <w:t>. Również pierwsze wspólnoty chrześcijańskie praktykowały udzielanie sakramentu myronu bezpośrednio po chrzcie świętym. Dla Kościoła z Egiptu wielkie znaczenie ma świadectwo św. Cyryla Jerozolimskiego, który w wygłaszanych katechezach ukazywał zwyczaje i wiarę ówczesnego Kościoła. Cyryl Jerozolimski zwracał uwagę, że w sakramencie chrztu działa nie tylko sama woda. Lecz również Duch Święty, który obmywa duszę wewnętrznie</w:t>
      </w:r>
      <w:r w:rsidRPr="00502E39">
        <w:rPr>
          <w:szCs w:val="24"/>
          <w:vertAlign w:val="superscript"/>
        </w:rPr>
        <w:footnoteReference w:id="63"/>
      </w:r>
      <w:r w:rsidRPr="00502E39">
        <w:rPr>
          <w:szCs w:val="24"/>
        </w:rPr>
        <w:t>. Samą obecność Ducha Świętego łączy on z obrzędem namaszczenia: „Jak chleb eucharystyczny po wezwaniu Ducha Świętego nie jest zwykłym chlebem lecz ciałem Chrystusa, tak i święty ów olej nie jest tylko zwykłym lub – jak kto woli – pospolitym olejem po modlitwie błagalnej, lecz darem Chrystusa i Ducha Świętego; obecność Jego bóstwa sprawia to, co przedstawia symboliczne namaszczenie na czole i innych zmysłach, kiedy bowiem olejem widzialnym namaszcza się ciało, dusza uświęca się</w:t>
      </w:r>
      <w:r w:rsidR="00D0070D" w:rsidRPr="00502E39">
        <w:rPr>
          <w:szCs w:val="24"/>
        </w:rPr>
        <w:t xml:space="preserve"> przez świętego </w:t>
      </w:r>
      <w:r w:rsidRPr="00502E39">
        <w:rPr>
          <w:szCs w:val="24"/>
        </w:rPr>
        <w:t>i ożywiającego Ducha”</w:t>
      </w:r>
      <w:r w:rsidRPr="00502E39">
        <w:rPr>
          <w:szCs w:val="24"/>
          <w:vertAlign w:val="superscript"/>
        </w:rPr>
        <w:footnoteReference w:id="64"/>
      </w:r>
      <w:r w:rsidRPr="00502E39">
        <w:rPr>
          <w:szCs w:val="24"/>
        </w:rPr>
        <w:t xml:space="preserve">. Praktykę tę potwierdza 48. Kanon Synodu w Laodycei (364) i </w:t>
      </w:r>
      <w:r w:rsidRPr="00502E39">
        <w:rPr>
          <w:i/>
          <w:iCs/>
          <w:szCs w:val="24"/>
        </w:rPr>
        <w:t>Konstytucje Apostolskie</w:t>
      </w:r>
      <w:r w:rsidRPr="00502E39">
        <w:rPr>
          <w:szCs w:val="24"/>
        </w:rPr>
        <w:t>: „Namaścisz go najpierw olejem świętym, następnie ochrzcisz wodą, naznaczysz dalej przez namaszczenie, by to namaszczenie było uczes</w:t>
      </w:r>
      <w:r w:rsidR="00D0070D" w:rsidRPr="00502E39">
        <w:rPr>
          <w:szCs w:val="24"/>
        </w:rPr>
        <w:t xml:space="preserve">tnictwem </w:t>
      </w:r>
      <w:r w:rsidRPr="00502E39">
        <w:rPr>
          <w:szCs w:val="24"/>
        </w:rPr>
        <w:t>w Duchu Świętym, woda była symbolem śmierci, namaszczenie zaś pieczęcią jedności”</w:t>
      </w:r>
      <w:r w:rsidRPr="00502E39">
        <w:rPr>
          <w:szCs w:val="24"/>
          <w:vertAlign w:val="superscript"/>
        </w:rPr>
        <w:footnoteReference w:id="65"/>
      </w:r>
      <w:r w:rsidRPr="00502E39">
        <w:rPr>
          <w:szCs w:val="24"/>
        </w:rPr>
        <w:t>.</w:t>
      </w:r>
    </w:p>
    <w:p w14:paraId="31DA7301" w14:textId="77777777" w:rsidR="00F164A1" w:rsidRPr="00502E39" w:rsidRDefault="00F164A1" w:rsidP="00D0070D">
      <w:pPr>
        <w:spacing w:line="240" w:lineRule="auto"/>
        <w:ind w:firstLine="708"/>
        <w:jc w:val="both"/>
        <w:rPr>
          <w:szCs w:val="24"/>
        </w:rPr>
      </w:pPr>
      <w:r w:rsidRPr="00502E39">
        <w:rPr>
          <w:szCs w:val="24"/>
        </w:rPr>
        <w:t>Odłożenie bierzmowania na czas późniejszy jest, zdaniem teologów koptyjskich, szkodliwe i niedopuszczalne ponieważ pozbawia ochrzczonych świętej łaski Ducha Świętego. Teolodzy koptyjscy nie widzą żadnych powodów do odkładania bierzmowania tym bardziej, że nawet św. Jan Chrzciciel został napełniony Duchem Świętym jeszcze w gdy był pod sercem swej matki Elżbiety (zob. Łk 1,15)</w:t>
      </w:r>
      <w:r w:rsidRPr="00502E39">
        <w:rPr>
          <w:szCs w:val="24"/>
          <w:vertAlign w:val="superscript"/>
        </w:rPr>
        <w:footnoteReference w:id="66"/>
      </w:r>
      <w:r w:rsidRPr="00502E39">
        <w:rPr>
          <w:szCs w:val="24"/>
        </w:rPr>
        <w:t xml:space="preserve">. </w:t>
      </w:r>
    </w:p>
    <w:p w14:paraId="10BDFB2B" w14:textId="1E9EC110" w:rsidR="00F164A1" w:rsidRPr="00502E39" w:rsidRDefault="00F164A1" w:rsidP="00D0070D">
      <w:pPr>
        <w:pStyle w:val="ListParagraph"/>
        <w:numPr>
          <w:ilvl w:val="0"/>
          <w:numId w:val="3"/>
        </w:numPr>
        <w:spacing w:line="240" w:lineRule="auto"/>
        <w:jc w:val="both"/>
        <w:rPr>
          <w:b/>
          <w:bCs/>
          <w:szCs w:val="24"/>
        </w:rPr>
      </w:pPr>
      <w:r w:rsidRPr="00502E39">
        <w:rPr>
          <w:b/>
          <w:bCs/>
          <w:szCs w:val="24"/>
        </w:rPr>
        <w:t>Skutki sakramentu bierzmowania</w:t>
      </w:r>
    </w:p>
    <w:p w14:paraId="741EBEB6" w14:textId="609A477C" w:rsidR="00F164A1" w:rsidRPr="00502E39" w:rsidRDefault="00F164A1" w:rsidP="00D0070D">
      <w:pPr>
        <w:spacing w:line="240" w:lineRule="auto"/>
        <w:ind w:firstLine="708"/>
        <w:jc w:val="both"/>
        <w:rPr>
          <w:szCs w:val="24"/>
        </w:rPr>
      </w:pPr>
      <w:r w:rsidRPr="00502E39">
        <w:rPr>
          <w:szCs w:val="24"/>
        </w:rPr>
        <w:t>Sakrament bierzmowania, udz</w:t>
      </w:r>
      <w:r w:rsidR="00D0070D" w:rsidRPr="00502E39">
        <w:rPr>
          <w:szCs w:val="24"/>
        </w:rPr>
        <w:t xml:space="preserve">ielający darów Ducha Świętego, </w:t>
      </w:r>
      <w:r w:rsidRPr="00502E39">
        <w:rPr>
          <w:szCs w:val="24"/>
        </w:rPr>
        <w:t>w szczególniejszy sposób łączy ludzi namaszczonych myronem z tajemnicami zwycięskimi Jezusa. Dzięki namaszczeniu wchodzimy w zażyły związek z Chrystusem uwielbionym i z Bogiem Ojcem, który posyła swojego Ducha.</w:t>
      </w:r>
    </w:p>
    <w:p w14:paraId="5A872FEC" w14:textId="77777777" w:rsidR="00F164A1" w:rsidRPr="00502E39" w:rsidRDefault="00F164A1" w:rsidP="00D0070D">
      <w:pPr>
        <w:spacing w:line="240" w:lineRule="auto"/>
        <w:ind w:firstLine="708"/>
        <w:jc w:val="both"/>
        <w:rPr>
          <w:szCs w:val="24"/>
        </w:rPr>
      </w:pPr>
      <w:r w:rsidRPr="00502E39">
        <w:rPr>
          <w:szCs w:val="24"/>
        </w:rPr>
        <w:lastRenderedPageBreak/>
        <w:t xml:space="preserve">Doktryna koptyjska eksponuje, że dzięki bierzmowaniu w tych, którzy otrzymali ten sakrament, płynie nowe, choć ukryte, życie. Namaszczenie myronem udziela ludziom energii i darów Ducha Świętego (por. Iz 11,2-3; Ga 5,22). Neofici otrzymują pieczęć Ducha Świętego jako źródło i rękojmię oraz pieczęć życia wiecznego. Każdy bierzmowany staje się już nie tylko owcą w owczarni Boga, ale żołnierzem Jezusa Chrystusa. Bierzmowanie raz udzielone zgodnie z kanonami kościelnymi nie może być ponowione. </w:t>
      </w:r>
    </w:p>
    <w:p w14:paraId="0F46487B" w14:textId="6388F7B9" w:rsidR="00F164A1" w:rsidRPr="00502E39" w:rsidRDefault="00F164A1" w:rsidP="00D0070D">
      <w:pPr>
        <w:spacing w:line="240" w:lineRule="auto"/>
        <w:ind w:firstLine="708"/>
        <w:jc w:val="both"/>
        <w:rPr>
          <w:b/>
          <w:bCs/>
          <w:szCs w:val="24"/>
        </w:rPr>
      </w:pPr>
      <w:r w:rsidRPr="00502E39">
        <w:rPr>
          <w:szCs w:val="24"/>
        </w:rPr>
        <w:t>Michael Maxi Eskander wymienia w swoich pracach osiem darów – błogosławieństw, które dostaje człowiek podczas namaszczenia myronem. Pierwszym darem jest fakt, że bierzmowany posiada mądrość i nie potrzebuje pouczenia. „W was zaś pozostaje namaszczenie, które wzięliście od Niego i nie potrzebujecie, aby ktoś was pouczał. Jego namaszczenie bowiem poucza was o wszystkim” (1J 2,27)</w:t>
      </w:r>
      <w:r w:rsidRPr="00502E39">
        <w:rPr>
          <w:szCs w:val="24"/>
          <w:vertAlign w:val="superscript"/>
        </w:rPr>
        <w:footnoteReference w:id="67"/>
      </w:r>
      <w:r w:rsidRPr="00502E39">
        <w:rPr>
          <w:szCs w:val="24"/>
        </w:rPr>
        <w:t xml:space="preserve">. Drugim darem jest pieczęć Boga. Wspomina o niej </w:t>
      </w:r>
      <w:r w:rsidRPr="00502E39">
        <w:rPr>
          <w:i/>
          <w:szCs w:val="24"/>
        </w:rPr>
        <w:t>List do Efezjan</w:t>
      </w:r>
      <w:r w:rsidRPr="00502E39">
        <w:rPr>
          <w:szCs w:val="24"/>
        </w:rPr>
        <w:t xml:space="preserve">: „I nie zasmucajcie Bożego Ducha Świętego, którym zostaliście opieczętowani </w:t>
      </w:r>
      <w:r w:rsidR="00D0070D" w:rsidRPr="00502E39">
        <w:rPr>
          <w:szCs w:val="24"/>
        </w:rPr>
        <w:t xml:space="preserve">na dzień odkupienia” (Ef 4,30) </w:t>
      </w:r>
      <w:r w:rsidRPr="00502E39">
        <w:rPr>
          <w:szCs w:val="24"/>
        </w:rPr>
        <w:t>i Objawienie św. Jana „I będą oglądali Jego oblicze, i Jego imię będą mieli na czołach” (Ap 22,4). Pieczęć chroni bierzmowanych przed działaniem szatana (por. 1J 5,18)</w:t>
      </w:r>
      <w:r w:rsidRPr="00502E39">
        <w:rPr>
          <w:szCs w:val="24"/>
          <w:vertAlign w:val="superscript"/>
        </w:rPr>
        <w:footnoteReference w:id="68"/>
      </w:r>
      <w:r w:rsidR="00D0070D" w:rsidRPr="00502E39">
        <w:rPr>
          <w:szCs w:val="24"/>
        </w:rPr>
        <w:t xml:space="preserve"> </w:t>
      </w:r>
      <w:r w:rsidRPr="00502E39">
        <w:rPr>
          <w:szCs w:val="24"/>
        </w:rPr>
        <w:t>i sprawia, że stają się oni ‘królami”. Trzecim błogosławieństwem jest prawda, że misterium myronu przynosi zwycięstwo. Bierzmowanie sprawia, że człowiek umocniony tym sakramentem może pokonać pokusy szatana i walczyć mocą Ducha Świętego z pokusami złego ducha</w:t>
      </w:r>
      <w:r w:rsidRPr="00502E39">
        <w:rPr>
          <w:szCs w:val="24"/>
          <w:vertAlign w:val="superscript"/>
        </w:rPr>
        <w:footnoteReference w:id="69"/>
      </w:r>
      <w:r w:rsidRPr="00502E39">
        <w:rPr>
          <w:szCs w:val="24"/>
        </w:rPr>
        <w:t>. Kolejnym darem jest łaska wzrostu duchowego</w:t>
      </w:r>
      <w:r w:rsidRPr="00502E39">
        <w:rPr>
          <w:szCs w:val="24"/>
          <w:vertAlign w:val="superscript"/>
        </w:rPr>
        <w:footnoteReference w:id="70"/>
      </w:r>
      <w:r w:rsidRPr="00502E39">
        <w:rPr>
          <w:szCs w:val="24"/>
        </w:rPr>
        <w:t xml:space="preserve">. Piątym darem, otrzymywanym w bierzmowaniu, są owoce Ducha Świętego. „Owocem zaś Ducha jest miłość, radość, pokój, cierpliwość, uprzejmość, dobroć, wierność, łagodność, opanowanie” (Ga 5,22-23). Szóstym </w:t>
      </w:r>
      <w:r w:rsidR="00D0070D" w:rsidRPr="00502E39">
        <w:rPr>
          <w:szCs w:val="24"/>
        </w:rPr>
        <w:t xml:space="preserve">błogosławieństwem wypływającym </w:t>
      </w:r>
      <w:r w:rsidRPr="00502E39">
        <w:rPr>
          <w:szCs w:val="24"/>
        </w:rPr>
        <w:t>z myronu jest prawda, że bierzmowany otrzymuje potężną pomoc poprzez wstawiennictwo Ducha Świętego. „Podobnie też Duch wspiera nas w naszej niemocy. Nie wiemy bowiem, o co i jak należy się modlić, al</w:t>
      </w:r>
      <w:r w:rsidR="00D0070D" w:rsidRPr="00502E39">
        <w:rPr>
          <w:szCs w:val="24"/>
        </w:rPr>
        <w:t xml:space="preserve">e sam Duch wstawia się za nami </w:t>
      </w:r>
      <w:r w:rsidRPr="00502E39">
        <w:rPr>
          <w:szCs w:val="24"/>
        </w:rPr>
        <w:t>w błaganiach, których nie można wyrazić słowami” (Ga 5,26). Siódmym darem jest dar światłego umysłu, jaki zyskują ci, którzy słuchają Ducha Świętego, który nieustannie poucza i kieruje tych, którzy zostali namaszczeni w Jego imię</w:t>
      </w:r>
      <w:r w:rsidRPr="00502E39">
        <w:rPr>
          <w:szCs w:val="24"/>
          <w:vertAlign w:val="superscript"/>
        </w:rPr>
        <w:footnoteReference w:id="71"/>
      </w:r>
      <w:r w:rsidRPr="00502E39">
        <w:rPr>
          <w:szCs w:val="24"/>
        </w:rPr>
        <w:t>. Ostatnim darem jest moc i odwaga. Wystarczy poczytać żywoty świętych, by upewnić się, czego może dokonać Duch Święty w tych, którzy Mu zaufali</w:t>
      </w:r>
      <w:r w:rsidRPr="00502E39">
        <w:rPr>
          <w:szCs w:val="24"/>
          <w:vertAlign w:val="superscript"/>
        </w:rPr>
        <w:footnoteReference w:id="72"/>
      </w:r>
      <w:r w:rsidRPr="00502E39">
        <w:rPr>
          <w:szCs w:val="24"/>
        </w:rPr>
        <w:t>. Tak więc wszystkie dary sprawiają, że wierzący namaszczeni myronem otrzymują wzrost życia nadprzyrodzonego i prawo czynnego uczestnictwa w zbawczym posłannictwie Jezusa i Jego Kościoła.</w:t>
      </w:r>
    </w:p>
    <w:p w14:paraId="2C0D0C5B" w14:textId="70CB203F" w:rsidR="00F164A1" w:rsidRPr="00502E39" w:rsidRDefault="00F164A1" w:rsidP="00D0070D">
      <w:pPr>
        <w:pStyle w:val="ListParagraph"/>
        <w:numPr>
          <w:ilvl w:val="0"/>
          <w:numId w:val="3"/>
        </w:numPr>
        <w:spacing w:line="240" w:lineRule="auto"/>
        <w:jc w:val="both"/>
        <w:rPr>
          <w:b/>
          <w:bCs/>
          <w:szCs w:val="24"/>
        </w:rPr>
      </w:pPr>
      <w:r w:rsidRPr="00502E39">
        <w:rPr>
          <w:b/>
          <w:bCs/>
          <w:szCs w:val="24"/>
        </w:rPr>
        <w:t>Szafarz</w:t>
      </w:r>
    </w:p>
    <w:p w14:paraId="0B00C762" w14:textId="77777777" w:rsidR="00F164A1" w:rsidRPr="00502E39" w:rsidRDefault="00F164A1" w:rsidP="00D0070D">
      <w:pPr>
        <w:spacing w:line="240" w:lineRule="auto"/>
        <w:ind w:firstLine="708"/>
        <w:jc w:val="both"/>
        <w:rPr>
          <w:szCs w:val="24"/>
        </w:rPr>
      </w:pPr>
      <w:r w:rsidRPr="00502E39">
        <w:rPr>
          <w:szCs w:val="24"/>
        </w:rPr>
        <w:t xml:space="preserve">Kościół koptyjski, kierując się starożytną tradycją, przyznaje prawo do przygotowania i święcenia krzyżma biskupowi, a szafarzami, mającymi prawo namaszczenia myronem, ustanowił kapłanów. Powołując się na </w:t>
      </w:r>
      <w:r w:rsidRPr="00502E39">
        <w:rPr>
          <w:i/>
          <w:szCs w:val="24"/>
        </w:rPr>
        <w:t>Dzieje Apostolskie</w:t>
      </w:r>
      <w:r w:rsidRPr="00502E39">
        <w:rPr>
          <w:szCs w:val="24"/>
        </w:rPr>
        <w:t xml:space="preserve"> teologowie koptyjscy zwracają uwagę, że sami Apostołowie, a nie diakoni udzielali Ducha Świętego poprzez wkładanie rąk. </w:t>
      </w:r>
      <w:r w:rsidRPr="00502E39">
        <w:rPr>
          <w:i/>
          <w:szCs w:val="24"/>
        </w:rPr>
        <w:t>Dzieje Apostolskie</w:t>
      </w:r>
      <w:r w:rsidRPr="00502E39">
        <w:rPr>
          <w:szCs w:val="24"/>
        </w:rPr>
        <w:t xml:space="preserve"> ukazują, że w Samarii głosił Ewangelię diakon Filip, który udzielił wielu ludziom chrztu świętego. Nie udzielał im jednak bierzmowania. Dopiero, gdy przybyli do Samarii Apostołowie Piotr i Jan nowo ochrzczeni otrzymali z ich rąk Ducha Świętego. Podobnie w Efezie uczynił św. Paweł.</w:t>
      </w:r>
    </w:p>
    <w:p w14:paraId="3261BC47" w14:textId="2DDC68FA" w:rsidR="00F164A1" w:rsidRPr="00502E39" w:rsidRDefault="00F164A1" w:rsidP="00D0070D">
      <w:pPr>
        <w:pStyle w:val="ListParagraph"/>
        <w:numPr>
          <w:ilvl w:val="0"/>
          <w:numId w:val="3"/>
        </w:numPr>
        <w:spacing w:line="240" w:lineRule="auto"/>
        <w:jc w:val="both"/>
        <w:rPr>
          <w:b/>
          <w:bCs/>
          <w:szCs w:val="24"/>
        </w:rPr>
      </w:pPr>
      <w:r w:rsidRPr="00502E39">
        <w:rPr>
          <w:b/>
          <w:bCs/>
          <w:szCs w:val="24"/>
        </w:rPr>
        <w:t>Powtarzalność bierzmowania</w:t>
      </w:r>
    </w:p>
    <w:p w14:paraId="681D9088" w14:textId="77777777" w:rsidR="00F164A1" w:rsidRPr="00502E39" w:rsidRDefault="00F164A1" w:rsidP="00D0070D">
      <w:pPr>
        <w:spacing w:line="240" w:lineRule="auto"/>
        <w:ind w:firstLine="708"/>
        <w:jc w:val="both"/>
        <w:rPr>
          <w:szCs w:val="24"/>
          <w:lang w:bidi="pl-PL"/>
        </w:rPr>
      </w:pPr>
      <w:r w:rsidRPr="00502E39">
        <w:rPr>
          <w:szCs w:val="24"/>
          <w:lang w:bidi="pl-PL"/>
        </w:rPr>
        <w:lastRenderedPageBreak/>
        <w:t xml:space="preserve">Bierzmowanie jest określane w teologii pieczęcią Ducha Świętego (gr. </w:t>
      </w:r>
      <w:r w:rsidRPr="00502E39">
        <w:rPr>
          <w:i/>
          <w:iCs/>
          <w:szCs w:val="24"/>
        </w:rPr>
        <w:t>sfragis)</w:t>
      </w:r>
      <w:r w:rsidRPr="00502E39">
        <w:rPr>
          <w:szCs w:val="24"/>
          <w:lang w:bidi="pl-PL"/>
        </w:rPr>
        <w:t>. Neofici otrzymują Ducha Świętego jako źródło, rękojmię oraz pieczęć życia wiecznego. Teologia koptyjska podkreśla, że namaszczeni olejami krzyżma podczas bierzmowania, zostają na zawsze naznaczeni jako owce i żołnierze Chrystusa. Należą do Nie</w:t>
      </w:r>
      <w:r w:rsidRPr="00502E39">
        <w:rPr>
          <w:szCs w:val="24"/>
          <w:lang w:bidi="pl-PL"/>
        </w:rPr>
        <w:softHyphen/>
        <w:t>go i do Jego świętego Kościoła. Bierzmowanie, raz kanonicznie dokonane, nie może być powtórzone choć nie wyciska na duszy charakteru. Niemniej jednak traktowane jest ono również jako sakrament pojednania, poprzez który, są przyjmowani wierni przechodzący do Ortodoksyjnego Kościoła Koptyjskiego z innych Kościołów</w:t>
      </w:r>
      <w:r w:rsidRPr="00502E39">
        <w:rPr>
          <w:szCs w:val="24"/>
          <w:vertAlign w:val="superscript"/>
          <w:lang w:bidi="pl-PL"/>
        </w:rPr>
        <w:footnoteReference w:id="73"/>
      </w:r>
      <w:r w:rsidRPr="00502E39">
        <w:rPr>
          <w:szCs w:val="24"/>
          <w:lang w:bidi="pl-PL"/>
        </w:rPr>
        <w:t>.</w:t>
      </w:r>
    </w:p>
    <w:p w14:paraId="745E91BB" w14:textId="77777777" w:rsidR="00502E39" w:rsidRPr="00502E39" w:rsidRDefault="00502E39" w:rsidP="00D0070D">
      <w:pPr>
        <w:spacing w:line="240" w:lineRule="auto"/>
        <w:ind w:firstLine="708"/>
        <w:jc w:val="both"/>
        <w:rPr>
          <w:szCs w:val="24"/>
          <w:lang w:bidi="pl-PL"/>
        </w:rPr>
      </w:pPr>
    </w:p>
    <w:p w14:paraId="446AA9B8" w14:textId="0C1A88D0" w:rsidR="00502E39" w:rsidRPr="00502E39" w:rsidRDefault="00502E39" w:rsidP="00502E39">
      <w:pPr>
        <w:pStyle w:val="ListParagraph"/>
        <w:numPr>
          <w:ilvl w:val="0"/>
          <w:numId w:val="3"/>
        </w:numPr>
        <w:spacing w:line="240" w:lineRule="auto"/>
        <w:jc w:val="both"/>
        <w:rPr>
          <w:b/>
          <w:bCs/>
          <w:szCs w:val="24"/>
          <w:lang w:bidi="pl-PL"/>
        </w:rPr>
      </w:pPr>
      <w:r w:rsidRPr="00502E39">
        <w:rPr>
          <w:b/>
          <w:bCs/>
          <w:szCs w:val="24"/>
          <w:lang w:bidi="pl-PL"/>
        </w:rPr>
        <w:t>Podsumowanie</w:t>
      </w:r>
    </w:p>
    <w:p w14:paraId="14ECFF4E" w14:textId="77777777" w:rsidR="00502E39" w:rsidRPr="00502E39" w:rsidRDefault="00502E39" w:rsidP="00502E39">
      <w:pPr>
        <w:spacing w:line="240" w:lineRule="auto"/>
        <w:ind w:left="708"/>
        <w:jc w:val="both"/>
        <w:rPr>
          <w:szCs w:val="24"/>
          <w:lang w:bidi="pl-PL"/>
        </w:rPr>
      </w:pPr>
    </w:p>
    <w:p w14:paraId="7781D432" w14:textId="4A244BBA" w:rsidR="00502E39" w:rsidRPr="00502E39" w:rsidRDefault="00502E39" w:rsidP="00502E39">
      <w:pPr>
        <w:pStyle w:val="NoSpacing"/>
        <w:ind w:firstLine="709"/>
        <w:jc w:val="both"/>
        <w:rPr>
          <w:szCs w:val="24"/>
          <w:lang w:eastAsia="pl-PL"/>
        </w:rPr>
      </w:pPr>
      <w:r w:rsidRPr="00502E39">
        <w:rPr>
          <w:szCs w:val="24"/>
          <w:lang w:eastAsia="pl-PL"/>
        </w:rPr>
        <w:t xml:space="preserve">Teologia Ortodoksyjnego Kościoła Koptyjskiego ukazuje pneumatologiczno-rekoncyliacyjne znaczenie sakramentu bierzmowania. Zwraca więc uwagę na zagadnienia aktualne, zarówno na chrześcijańskim Wschodzie, jak i na Zachodzie. Jest sprawą niezaprzeczalną, że znaczenie pneumatologiczne bierzmowania w sposób znaczący przeważa nad rekoncyliacyjnym. </w:t>
      </w:r>
      <w:r w:rsidRPr="00502E39">
        <w:rPr>
          <w:bCs/>
          <w:iCs/>
          <w:szCs w:val="24"/>
          <w:lang w:eastAsia="pl-PL"/>
        </w:rPr>
        <w:t xml:space="preserve">Przed dialogiem ekumenicznym stoi zadanie wzajemnego uznania chrztu świętego. Zasmuca fakt, że nie w całym Kościele prawosławnym uznawana jest ważność chrztu udzielanego we wspólnotach nieprawosławnych. Ortodoksyjny Kościół Koptyjski nie uznaje na przykład ważności chrztu udzielonego w Kościele katolickim. Inną kwestią, nad którą trzeba się pochylić w dialogu ekumenicznym jest fakt, że </w:t>
      </w:r>
      <w:r w:rsidRPr="00502E39">
        <w:rPr>
          <w:szCs w:val="24"/>
          <w:lang w:eastAsia="pl-PL"/>
        </w:rPr>
        <w:t>w teologii prawosławnej pneumatologiczno-rekoncyliacyjny wymiar sakramentu bierzmowania wskazuje na ontologiczne dopełnienie inicjacyjne, które ma miejsce w czasie udzielania sakramentów inicjacyjnych. Tymczasem niebierzmowana osoba ochrzczona przynależąca np. do Kościoła Rzymskokatolickiego nie jest jeszcze w pełni chrześcijaninem i nie może być dopuszczona do stołu eucharystycznego. Z punktu widzenia Ortodoksyjnego Kościoła Koptyjskiego i innych Kościołów prawosławnych udzielanie Eucharystii osobom ochrzczonym, ale jeszcze nie bierzmowanym, narusza całą ontologię misterium chrześcijańskiego oraz duchową strukturę procesu stawania się chrześcijaninem. Nie ulega wątpliwości, że koptyjska teologia sakramentu bierzmowania wraz z jej pneumatologiczno-rekoncyliacyjnym znaczeniem powinna być twórczym impulsem dla teologii katolickiej. Teologia znad Nilu moż</w:t>
      </w:r>
      <w:r w:rsidR="00ED2FF0">
        <w:rPr>
          <w:szCs w:val="24"/>
          <w:lang w:eastAsia="pl-PL"/>
        </w:rPr>
        <w:t>e stać się dla chrześcijaństwa z</w:t>
      </w:r>
      <w:r w:rsidRPr="00502E39">
        <w:rPr>
          <w:szCs w:val="24"/>
          <w:lang w:eastAsia="pl-PL"/>
        </w:rPr>
        <w:t>achodniego inspiracją w poszerzaniu horyzontów teologicznych, odkrywaniu nowych aspektów w sakramentologii i eklezjologii.</w:t>
      </w:r>
    </w:p>
    <w:p w14:paraId="4EA0524B" w14:textId="77777777" w:rsidR="00502E39" w:rsidRPr="00502E39" w:rsidRDefault="00502E39" w:rsidP="00502E39">
      <w:pPr>
        <w:spacing w:line="240" w:lineRule="auto"/>
        <w:ind w:left="708"/>
        <w:jc w:val="both"/>
        <w:rPr>
          <w:szCs w:val="24"/>
          <w:lang w:bidi="pl-PL"/>
        </w:rPr>
      </w:pPr>
    </w:p>
    <w:p w14:paraId="511CF88E" w14:textId="5F783E25" w:rsidR="00A70EC3" w:rsidRPr="00B22BE1" w:rsidRDefault="00514C5C" w:rsidP="00A70EC3">
      <w:pPr>
        <w:ind w:firstLine="708"/>
        <w:jc w:val="both"/>
        <w:rPr>
          <w:bCs/>
        </w:rPr>
      </w:pPr>
      <w:r w:rsidRPr="00514C5C">
        <w:rPr>
          <w:b/>
          <w:bCs/>
          <w:szCs w:val="24"/>
          <w:lang w:bidi="pl-PL"/>
        </w:rPr>
        <w:t>Nota o Autorze: Katarzyna Halkowicz</w:t>
      </w:r>
      <w:r>
        <w:rPr>
          <w:szCs w:val="24"/>
          <w:lang w:bidi="pl-PL"/>
        </w:rPr>
        <w:t xml:space="preserve"> –</w:t>
      </w:r>
      <w:r w:rsidR="00A70EC3" w:rsidRPr="0042721B">
        <w:rPr>
          <w:bCs/>
        </w:rPr>
        <w:t xml:space="preserve">urodzona w 1976 roku w Świdnicy, doktor teologii dogmatycznej Papieskiego Wydziału Teologicznego we Wrocławiu, magister ekonomii Uniwersytetu Ekonomicznego we Wrocławiu, członek zarządu Dolnośląskiego Instytutu Dialogu i Tolerancji, odznaczona papieskim złotym Medalem Pielgrzyma za zasługi dla Ziemi Świętej oraz medalem św. Stanisława za zasługi dla Diecezji Świdnickiej. Katechetka w Szkole Podstawowej w Witoszowie Dolnym. </w:t>
      </w:r>
      <w:r w:rsidR="00A70EC3" w:rsidRPr="00B22BE1">
        <w:rPr>
          <w:bCs/>
        </w:rPr>
        <w:t>Prowadzi badania naukowe nad teologią Ortodoksyjnego Kościoła Koptyjskiego.</w:t>
      </w:r>
    </w:p>
    <w:p w14:paraId="081F2E50" w14:textId="164732E2" w:rsidR="00514C5C" w:rsidRPr="00514C5C" w:rsidRDefault="00A70EC3" w:rsidP="00514C5C">
      <w:pPr>
        <w:spacing w:line="240" w:lineRule="auto"/>
        <w:jc w:val="both"/>
        <w:rPr>
          <w:b/>
          <w:bCs/>
          <w:szCs w:val="24"/>
          <w:lang w:bidi="pl-PL"/>
        </w:rPr>
      </w:pPr>
      <w:r>
        <w:rPr>
          <w:b/>
          <w:bCs/>
          <w:szCs w:val="24"/>
          <w:lang w:bidi="pl-PL"/>
        </w:rPr>
        <w:br/>
      </w:r>
      <w:r w:rsidR="00514C5C" w:rsidRPr="00514C5C">
        <w:rPr>
          <w:b/>
          <w:bCs/>
          <w:szCs w:val="24"/>
          <w:lang w:bidi="pl-PL"/>
        </w:rPr>
        <w:t>Bibliografia:</w:t>
      </w:r>
    </w:p>
    <w:p w14:paraId="26177CCF" w14:textId="77777777" w:rsidR="00514C5C" w:rsidRPr="00A70EC3" w:rsidRDefault="00514C5C" w:rsidP="00514C5C">
      <w:pPr>
        <w:pStyle w:val="FootnoteText"/>
        <w:ind w:left="709" w:hanging="709"/>
        <w:jc w:val="both"/>
        <w:rPr>
          <w:sz w:val="24"/>
          <w:szCs w:val="24"/>
        </w:rPr>
      </w:pPr>
      <w:r w:rsidRPr="00A70EC3">
        <w:rPr>
          <w:sz w:val="24"/>
          <w:szCs w:val="24"/>
        </w:rPr>
        <w:lastRenderedPageBreak/>
        <w:t xml:space="preserve">Archbishop Basilios, </w:t>
      </w:r>
      <w:r w:rsidRPr="00A70EC3">
        <w:rPr>
          <w:i/>
          <w:sz w:val="24"/>
          <w:szCs w:val="24"/>
        </w:rPr>
        <w:t>Confirmation</w:t>
      </w:r>
      <w:r w:rsidRPr="00A70EC3">
        <w:rPr>
          <w:sz w:val="24"/>
          <w:szCs w:val="24"/>
        </w:rPr>
        <w:t xml:space="preserve">, w: A.S. Atiya (red.), </w:t>
      </w:r>
      <w:r w:rsidRPr="00A70EC3">
        <w:rPr>
          <w:i/>
          <w:sz w:val="24"/>
          <w:szCs w:val="24"/>
        </w:rPr>
        <w:t>The Coptic Encyclopedia</w:t>
      </w:r>
      <w:r w:rsidRPr="00A70EC3">
        <w:rPr>
          <w:sz w:val="24"/>
          <w:szCs w:val="24"/>
        </w:rPr>
        <w:t>, t. II, New York 1991, kol. 585-586.</w:t>
      </w:r>
    </w:p>
    <w:p w14:paraId="6E1BDF6C" w14:textId="77777777" w:rsidR="00514C5C" w:rsidRPr="00514C5C" w:rsidRDefault="00514C5C" w:rsidP="00514C5C">
      <w:pPr>
        <w:pStyle w:val="FootnoteText"/>
        <w:ind w:left="709" w:hanging="709"/>
        <w:jc w:val="both"/>
        <w:rPr>
          <w:sz w:val="24"/>
          <w:szCs w:val="24"/>
          <w:lang w:val="en-US"/>
        </w:rPr>
      </w:pPr>
      <w:r w:rsidRPr="00514C5C">
        <w:rPr>
          <w:sz w:val="24"/>
          <w:szCs w:val="24"/>
          <w:lang w:val="it-IT"/>
        </w:rPr>
        <w:t>Bishop Mattaous,</w:t>
      </w:r>
      <w:r w:rsidRPr="00514C5C">
        <w:rPr>
          <w:sz w:val="24"/>
          <w:szCs w:val="24"/>
          <w:lang w:val="en-US"/>
        </w:rPr>
        <w:t xml:space="preserve"> </w:t>
      </w:r>
      <w:r w:rsidRPr="00514C5C">
        <w:rPr>
          <w:i/>
          <w:sz w:val="24"/>
          <w:szCs w:val="24"/>
          <w:lang w:val="en-US"/>
        </w:rPr>
        <w:t>Sacramental Rites in the Coptic Orthodox Church</w:t>
      </w:r>
      <w:r w:rsidRPr="00514C5C">
        <w:rPr>
          <w:sz w:val="24"/>
          <w:szCs w:val="24"/>
          <w:lang w:val="en-US"/>
        </w:rPr>
        <w:t>, Cairo 2002.</w:t>
      </w:r>
    </w:p>
    <w:p w14:paraId="3E57245A" w14:textId="77777777" w:rsidR="00514C5C" w:rsidRPr="00514C5C" w:rsidRDefault="00514C5C" w:rsidP="00514C5C">
      <w:pPr>
        <w:pStyle w:val="NoSpacing"/>
        <w:ind w:left="709" w:hanging="709"/>
        <w:jc w:val="both"/>
        <w:rPr>
          <w:szCs w:val="24"/>
          <w:lang w:eastAsia="pl-PL"/>
        </w:rPr>
      </w:pPr>
      <w:r w:rsidRPr="00514C5C">
        <w:rPr>
          <w:szCs w:val="24"/>
          <w:lang w:eastAsia="pl-PL"/>
        </w:rPr>
        <w:t xml:space="preserve">Blaza M., </w:t>
      </w:r>
      <w:r w:rsidRPr="00514C5C">
        <w:rPr>
          <w:i/>
          <w:szCs w:val="24"/>
          <w:lang w:eastAsia="pl-PL"/>
        </w:rPr>
        <w:t>Pneumatologiczno-rekoncyliacyjne znaczenie sakramentu bierzmowania w teologii katolickiej i prawosławnej – geneza i rozwój historyczny</w:t>
      </w:r>
      <w:r w:rsidRPr="00514C5C">
        <w:rPr>
          <w:szCs w:val="24"/>
          <w:lang w:eastAsia="pl-PL"/>
        </w:rPr>
        <w:t>,</w:t>
      </w:r>
      <w:r w:rsidRPr="00514C5C">
        <w:rPr>
          <w:b/>
          <w:szCs w:val="24"/>
          <w:lang w:eastAsia="pl-PL"/>
        </w:rPr>
        <w:t xml:space="preserve"> </w:t>
      </w:r>
      <w:r w:rsidRPr="00514C5C">
        <w:rPr>
          <w:szCs w:val="24"/>
          <w:lang w:eastAsia="pl-PL"/>
        </w:rPr>
        <w:t>„Studia Bobolanum” 1(2009), s. 111-155</w:t>
      </w:r>
    </w:p>
    <w:p w14:paraId="301A5CC0" w14:textId="77777777" w:rsidR="00514C5C" w:rsidRPr="00514C5C" w:rsidRDefault="00514C5C" w:rsidP="00514C5C">
      <w:pPr>
        <w:autoSpaceDE w:val="0"/>
        <w:autoSpaceDN w:val="0"/>
        <w:adjustRightInd w:val="0"/>
        <w:spacing w:after="0"/>
        <w:ind w:left="709" w:hanging="709"/>
        <w:jc w:val="both"/>
        <w:rPr>
          <w:szCs w:val="24"/>
          <w:lang w:val="fr-FR"/>
        </w:rPr>
      </w:pPr>
      <w:r w:rsidRPr="00514C5C">
        <w:rPr>
          <w:szCs w:val="24"/>
          <w:lang w:val="fr-FR"/>
        </w:rPr>
        <w:t xml:space="preserve">Burmester O.H.E., </w:t>
      </w:r>
      <w:r w:rsidRPr="00514C5C">
        <w:rPr>
          <w:i/>
          <w:szCs w:val="24"/>
          <w:lang w:val="fr-FR"/>
        </w:rPr>
        <w:t>Tradition Concerning the Holy Myron (Chrism)</w:t>
      </w:r>
      <w:r w:rsidRPr="00514C5C">
        <w:rPr>
          <w:szCs w:val="24"/>
          <w:lang w:val="fr-FR"/>
        </w:rPr>
        <w:t>, w: „Publications de l’Institut d’études orientales de la Bibliothèque patriarcale d’Alexandrie” 3(1954), s. 52-58.</w:t>
      </w:r>
    </w:p>
    <w:p w14:paraId="7E64F33C" w14:textId="77777777" w:rsidR="00514C5C" w:rsidRPr="00514C5C" w:rsidRDefault="00514C5C" w:rsidP="00514C5C">
      <w:pPr>
        <w:pStyle w:val="FootnoteText"/>
        <w:ind w:left="709" w:hanging="709"/>
        <w:jc w:val="both"/>
        <w:rPr>
          <w:sz w:val="24"/>
          <w:szCs w:val="24"/>
          <w:lang w:val="en-US"/>
        </w:rPr>
      </w:pPr>
      <w:r w:rsidRPr="00514C5C">
        <w:rPr>
          <w:sz w:val="24"/>
          <w:szCs w:val="24"/>
        </w:rPr>
        <w:t xml:space="preserve">Calivas A. C., </w:t>
      </w:r>
      <w:r w:rsidRPr="00514C5C">
        <w:rPr>
          <w:i/>
          <w:iCs/>
          <w:sz w:val="24"/>
          <w:szCs w:val="24"/>
        </w:rPr>
        <w:t>Życie sakramentalne</w:t>
      </w:r>
      <w:r w:rsidRPr="00514C5C">
        <w:rPr>
          <w:sz w:val="24"/>
          <w:szCs w:val="24"/>
        </w:rPr>
        <w:t xml:space="preserve">, w; </w:t>
      </w:r>
      <w:r w:rsidRPr="00514C5C">
        <w:rPr>
          <w:i/>
          <w:iCs/>
          <w:sz w:val="24"/>
          <w:szCs w:val="24"/>
        </w:rPr>
        <w:t>Prawosławie</w:t>
      </w:r>
      <w:r w:rsidRPr="00514C5C">
        <w:rPr>
          <w:sz w:val="24"/>
          <w:szCs w:val="24"/>
        </w:rPr>
        <w:t xml:space="preserve">, red. </w:t>
      </w:r>
      <w:r w:rsidRPr="00514C5C">
        <w:rPr>
          <w:sz w:val="24"/>
          <w:szCs w:val="24"/>
          <w:lang w:val="en-US"/>
        </w:rPr>
        <w:t>K. Leśniewski, Lublin 2009, s. 289-318.</w:t>
      </w:r>
    </w:p>
    <w:p w14:paraId="01D43B90" w14:textId="0DAC55BB" w:rsidR="00514C5C" w:rsidRPr="00514C5C" w:rsidRDefault="00514C5C" w:rsidP="00514C5C">
      <w:pPr>
        <w:pStyle w:val="FootnoteText"/>
        <w:ind w:left="709" w:hanging="709"/>
        <w:jc w:val="both"/>
        <w:rPr>
          <w:sz w:val="24"/>
          <w:szCs w:val="24"/>
          <w:lang w:val="en-US"/>
        </w:rPr>
      </w:pPr>
      <w:r w:rsidRPr="00514C5C">
        <w:rPr>
          <w:sz w:val="24"/>
          <w:szCs w:val="24"/>
          <w:lang w:val="en-US"/>
        </w:rPr>
        <w:t xml:space="preserve">Coptic Orthodox Diocese of the Southern United States, </w:t>
      </w:r>
      <w:r w:rsidRPr="00514C5C">
        <w:rPr>
          <w:i/>
          <w:sz w:val="24"/>
          <w:szCs w:val="24"/>
          <w:lang w:val="en-US"/>
        </w:rPr>
        <w:t>Rit 102. Rituals of Sacraments</w:t>
      </w:r>
      <w:r w:rsidR="00031DDE">
        <w:rPr>
          <w:sz w:val="24"/>
          <w:szCs w:val="24"/>
          <w:lang w:val="en-US"/>
        </w:rPr>
        <w:t>, New York 2006</w:t>
      </w:r>
      <w:r w:rsidRPr="00514C5C">
        <w:rPr>
          <w:sz w:val="24"/>
          <w:szCs w:val="24"/>
          <w:lang w:val="en-US"/>
        </w:rPr>
        <w:t>.</w:t>
      </w:r>
    </w:p>
    <w:p w14:paraId="45FDB30B" w14:textId="77777777" w:rsidR="00514C5C" w:rsidRPr="00514C5C" w:rsidRDefault="00514C5C" w:rsidP="00514C5C">
      <w:pPr>
        <w:pStyle w:val="FootnoteText"/>
        <w:ind w:left="709" w:hanging="709"/>
        <w:jc w:val="both"/>
        <w:rPr>
          <w:sz w:val="24"/>
          <w:szCs w:val="24"/>
          <w:lang w:val="en-US"/>
        </w:rPr>
      </w:pPr>
      <w:r w:rsidRPr="00514C5C">
        <w:rPr>
          <w:sz w:val="24"/>
          <w:szCs w:val="24"/>
          <w:lang w:val="en-US"/>
        </w:rPr>
        <w:t>Cyprian</w:t>
      </w:r>
      <w:r w:rsidRPr="00514C5C">
        <w:rPr>
          <w:smallCaps/>
          <w:color w:val="000000"/>
          <w:sz w:val="24"/>
          <w:szCs w:val="24"/>
          <w:lang w:val="en-US"/>
        </w:rPr>
        <w:t>,</w:t>
      </w:r>
      <w:r w:rsidRPr="00514C5C">
        <w:rPr>
          <w:sz w:val="24"/>
          <w:szCs w:val="24"/>
          <w:lang w:val="en-US"/>
        </w:rPr>
        <w:t xml:space="preserve"> </w:t>
      </w:r>
      <w:r w:rsidRPr="00514C5C">
        <w:rPr>
          <w:i/>
          <w:sz w:val="24"/>
          <w:szCs w:val="24"/>
          <w:lang w:val="en-US"/>
        </w:rPr>
        <w:t>Epist</w:t>
      </w:r>
      <w:r w:rsidRPr="00514C5C">
        <w:rPr>
          <w:sz w:val="24"/>
          <w:szCs w:val="24"/>
          <w:lang w:val="en-US"/>
        </w:rPr>
        <w:t>. 74,7, CV 3, 2, 788, EP 592.</w:t>
      </w:r>
    </w:p>
    <w:p w14:paraId="30CA7B86" w14:textId="77777777" w:rsidR="00514C5C" w:rsidRPr="00514C5C" w:rsidRDefault="00514C5C" w:rsidP="00514C5C">
      <w:pPr>
        <w:pStyle w:val="FootnoteText"/>
        <w:ind w:left="709" w:hanging="709"/>
        <w:jc w:val="both"/>
        <w:rPr>
          <w:sz w:val="24"/>
          <w:szCs w:val="24"/>
          <w:lang w:val="en-US"/>
        </w:rPr>
      </w:pPr>
      <w:r w:rsidRPr="00514C5C">
        <w:rPr>
          <w:sz w:val="24"/>
          <w:szCs w:val="24"/>
          <w:lang w:val="en-US"/>
        </w:rPr>
        <w:t xml:space="preserve">Cyryl Jerozolimski, </w:t>
      </w:r>
      <w:r w:rsidRPr="00514C5C">
        <w:rPr>
          <w:i/>
          <w:iCs/>
          <w:sz w:val="24"/>
          <w:szCs w:val="24"/>
          <w:lang w:val="en-US"/>
        </w:rPr>
        <w:t xml:space="preserve">Catecheses mistagogica </w:t>
      </w:r>
      <w:r w:rsidRPr="00514C5C">
        <w:rPr>
          <w:sz w:val="24"/>
          <w:szCs w:val="24"/>
          <w:lang w:val="en-US"/>
        </w:rPr>
        <w:t>3, PG XXXIII, 1089.</w:t>
      </w:r>
    </w:p>
    <w:p w14:paraId="62F19BF2" w14:textId="77777777" w:rsidR="00514C5C" w:rsidRPr="00514C5C" w:rsidRDefault="00514C5C" w:rsidP="00514C5C">
      <w:pPr>
        <w:pStyle w:val="FootnoteText"/>
        <w:ind w:left="709" w:hanging="709"/>
        <w:jc w:val="both"/>
        <w:rPr>
          <w:sz w:val="24"/>
          <w:szCs w:val="24"/>
          <w:lang w:val="en-US"/>
        </w:rPr>
      </w:pPr>
      <w:r w:rsidRPr="00514C5C">
        <w:rPr>
          <w:sz w:val="24"/>
          <w:szCs w:val="24"/>
          <w:lang w:val="en-US"/>
        </w:rPr>
        <w:t xml:space="preserve">Cyryl Jerozolimski, </w:t>
      </w:r>
      <w:r w:rsidRPr="00514C5C">
        <w:rPr>
          <w:i/>
          <w:sz w:val="24"/>
          <w:szCs w:val="24"/>
          <w:lang w:val="en-US"/>
        </w:rPr>
        <w:t>Catecheses</w:t>
      </w:r>
      <w:r w:rsidRPr="00514C5C">
        <w:rPr>
          <w:sz w:val="24"/>
          <w:szCs w:val="24"/>
          <w:lang w:val="en-US"/>
        </w:rPr>
        <w:t>, PG XXXIII, 985.</w:t>
      </w:r>
    </w:p>
    <w:p w14:paraId="69F86BB4" w14:textId="168C1CAE" w:rsidR="00514C5C" w:rsidRPr="00031DDE" w:rsidRDefault="00514C5C" w:rsidP="00031DDE">
      <w:pPr>
        <w:pStyle w:val="FootnoteText"/>
        <w:ind w:left="709" w:hanging="709"/>
        <w:jc w:val="both"/>
        <w:rPr>
          <w:color w:val="FF0000"/>
          <w:sz w:val="24"/>
          <w:szCs w:val="24"/>
          <w:lang w:val="en-US"/>
        </w:rPr>
      </w:pPr>
      <w:r w:rsidRPr="00031DDE">
        <w:rPr>
          <w:sz w:val="24"/>
          <w:szCs w:val="24"/>
          <w:lang w:val="en-US"/>
        </w:rPr>
        <w:t xml:space="preserve">Eskander M.M., </w:t>
      </w:r>
      <w:r w:rsidR="00031DDE" w:rsidRPr="00031DDE">
        <w:rPr>
          <w:i/>
          <w:iCs/>
          <w:sz w:val="24"/>
          <w:szCs w:val="24"/>
          <w:lang w:val="en-US"/>
        </w:rPr>
        <w:t>The Seven Holy Sacrament</w:t>
      </w:r>
      <w:r w:rsidR="00031DDE" w:rsidRPr="00031DDE">
        <w:rPr>
          <w:sz w:val="24"/>
          <w:szCs w:val="24"/>
          <w:lang w:val="en-US"/>
        </w:rPr>
        <w:t xml:space="preserve">, t. III, Cairo 2008. </w:t>
      </w:r>
    </w:p>
    <w:p w14:paraId="7D401A2F" w14:textId="68835BBF" w:rsidR="00514C5C" w:rsidRPr="00514C5C" w:rsidRDefault="00514C5C" w:rsidP="00514C5C">
      <w:pPr>
        <w:pStyle w:val="FootnoteText"/>
        <w:ind w:left="709" w:hanging="709"/>
        <w:jc w:val="both"/>
        <w:rPr>
          <w:sz w:val="24"/>
          <w:szCs w:val="24"/>
        </w:rPr>
      </w:pPr>
      <w:r w:rsidRPr="00514C5C">
        <w:rPr>
          <w:sz w:val="24"/>
          <w:szCs w:val="24"/>
        </w:rPr>
        <w:t>Ferdek</w:t>
      </w:r>
      <w:r>
        <w:rPr>
          <w:sz w:val="24"/>
          <w:szCs w:val="24"/>
        </w:rPr>
        <w:t xml:space="preserve"> </w:t>
      </w:r>
      <w:r w:rsidRPr="00514C5C">
        <w:rPr>
          <w:sz w:val="24"/>
          <w:szCs w:val="24"/>
        </w:rPr>
        <w:t>B., Lipniak</w:t>
      </w:r>
      <w:r>
        <w:rPr>
          <w:sz w:val="24"/>
          <w:szCs w:val="24"/>
        </w:rPr>
        <w:t xml:space="preserve"> </w:t>
      </w:r>
      <w:r w:rsidRPr="00514C5C">
        <w:rPr>
          <w:sz w:val="24"/>
          <w:szCs w:val="24"/>
        </w:rPr>
        <w:t xml:space="preserve">J.M., </w:t>
      </w:r>
      <w:r w:rsidRPr="00514C5C">
        <w:rPr>
          <w:i/>
          <w:sz w:val="24"/>
          <w:szCs w:val="24"/>
        </w:rPr>
        <w:t>„Jeden jest Pan, jedna wiara, jeden chrzest” (Ef 4,5). Chrzest symbolem wiary,</w:t>
      </w:r>
      <w:r w:rsidRPr="00514C5C">
        <w:rPr>
          <w:sz w:val="24"/>
          <w:szCs w:val="24"/>
        </w:rPr>
        <w:t xml:space="preserve"> Wrocław 2016.</w:t>
      </w:r>
    </w:p>
    <w:p w14:paraId="7A48BB98" w14:textId="77777777" w:rsidR="00514C5C" w:rsidRPr="00514C5C" w:rsidRDefault="00514C5C" w:rsidP="00514C5C">
      <w:pPr>
        <w:pStyle w:val="FootnoteText"/>
        <w:ind w:left="709" w:hanging="709"/>
        <w:jc w:val="both"/>
        <w:rPr>
          <w:sz w:val="24"/>
          <w:szCs w:val="24"/>
          <w:lang w:val="it-IT"/>
        </w:rPr>
      </w:pPr>
      <w:r w:rsidRPr="00514C5C">
        <w:rPr>
          <w:sz w:val="24"/>
          <w:szCs w:val="24"/>
          <w:lang w:val="it-IT"/>
        </w:rPr>
        <w:t xml:space="preserve">Gianazza P.G., </w:t>
      </w:r>
      <w:r w:rsidRPr="00514C5C">
        <w:rPr>
          <w:i/>
          <w:sz w:val="24"/>
          <w:szCs w:val="24"/>
          <w:lang w:val="it-IT"/>
        </w:rPr>
        <w:t>Temi di Teologia Orientale</w:t>
      </w:r>
      <w:r w:rsidRPr="00514C5C">
        <w:rPr>
          <w:sz w:val="24"/>
          <w:szCs w:val="24"/>
          <w:lang w:val="it-IT"/>
        </w:rPr>
        <w:t>, t. 1, Bologna 2010.</w:t>
      </w:r>
    </w:p>
    <w:p w14:paraId="5351A2F0" w14:textId="77777777" w:rsidR="00514C5C" w:rsidRPr="00D30578" w:rsidRDefault="00514C5C" w:rsidP="00514C5C">
      <w:pPr>
        <w:pStyle w:val="FootnoteText"/>
        <w:ind w:left="709" w:hanging="709"/>
        <w:jc w:val="both"/>
        <w:rPr>
          <w:sz w:val="24"/>
          <w:szCs w:val="24"/>
        </w:rPr>
      </w:pPr>
      <w:r w:rsidRPr="00514C5C">
        <w:rPr>
          <w:sz w:val="24"/>
          <w:szCs w:val="24"/>
        </w:rPr>
        <w:t xml:space="preserve">Halkowicz K., </w:t>
      </w:r>
      <w:r w:rsidRPr="00514C5C">
        <w:rPr>
          <w:i/>
          <w:sz w:val="24"/>
          <w:szCs w:val="24"/>
        </w:rPr>
        <w:t>Sakrament chrztu świętego w teologii Ortodoksyjnego Kościoła Koptyjskiego</w:t>
      </w:r>
      <w:r w:rsidRPr="00514C5C">
        <w:rPr>
          <w:sz w:val="24"/>
          <w:szCs w:val="24"/>
        </w:rPr>
        <w:t xml:space="preserve">, </w:t>
      </w:r>
      <w:r w:rsidRPr="00514C5C">
        <w:rPr>
          <w:sz w:val="24"/>
          <w:szCs w:val="24"/>
        </w:rPr>
        <w:br/>
        <w:t xml:space="preserve">w: B. Ferdek, J.M. Lipniak, </w:t>
      </w:r>
      <w:r w:rsidRPr="00514C5C">
        <w:rPr>
          <w:i/>
          <w:sz w:val="24"/>
          <w:szCs w:val="24"/>
        </w:rPr>
        <w:t xml:space="preserve">„Jeden jest Pan, jedna wiara, jeden chrzest” (Ef 4,5). </w:t>
      </w:r>
      <w:r w:rsidRPr="00D30578">
        <w:rPr>
          <w:i/>
          <w:sz w:val="24"/>
          <w:szCs w:val="24"/>
        </w:rPr>
        <w:t>Chrzest symbolem wiary,</w:t>
      </w:r>
      <w:r w:rsidRPr="00D30578">
        <w:rPr>
          <w:sz w:val="24"/>
          <w:szCs w:val="24"/>
        </w:rPr>
        <w:t xml:space="preserve"> Wrocław 2016.</w:t>
      </w:r>
    </w:p>
    <w:p w14:paraId="7DE4C09A" w14:textId="77777777" w:rsidR="00514C5C" w:rsidRPr="00514C5C" w:rsidRDefault="00514C5C" w:rsidP="00514C5C">
      <w:pPr>
        <w:pStyle w:val="FootnoteText"/>
        <w:ind w:left="709" w:hanging="709"/>
        <w:jc w:val="both"/>
        <w:rPr>
          <w:sz w:val="24"/>
          <w:szCs w:val="24"/>
        </w:rPr>
      </w:pPr>
      <w:r w:rsidRPr="00514C5C">
        <w:rPr>
          <w:sz w:val="24"/>
          <w:szCs w:val="24"/>
        </w:rPr>
        <w:t xml:space="preserve">I Sobór Konstantynopolitański, w: </w:t>
      </w:r>
      <w:r w:rsidRPr="00514C5C">
        <w:rPr>
          <w:i/>
          <w:sz w:val="24"/>
          <w:szCs w:val="24"/>
        </w:rPr>
        <w:t>Dokumenty Soborów Powszechnych. Sobór Konstantynopolitański I</w:t>
      </w:r>
      <w:r w:rsidRPr="00514C5C">
        <w:rPr>
          <w:sz w:val="24"/>
          <w:szCs w:val="24"/>
        </w:rPr>
        <w:t xml:space="preserve">, Kraków 2003, </w:t>
      </w:r>
      <w:r w:rsidRPr="00514C5C">
        <w:rPr>
          <w:iCs/>
          <w:sz w:val="24"/>
          <w:szCs w:val="24"/>
        </w:rPr>
        <w:t>s.</w:t>
      </w:r>
      <w:r w:rsidRPr="00514C5C">
        <w:rPr>
          <w:sz w:val="24"/>
          <w:szCs w:val="24"/>
        </w:rPr>
        <w:t xml:space="preserve"> 65-95.</w:t>
      </w:r>
    </w:p>
    <w:p w14:paraId="4BBDD7F8" w14:textId="77777777" w:rsidR="00514C5C" w:rsidRPr="00514C5C" w:rsidRDefault="00514C5C" w:rsidP="00514C5C">
      <w:pPr>
        <w:pStyle w:val="FootnoteText"/>
        <w:ind w:left="709" w:hanging="709"/>
        <w:jc w:val="both"/>
        <w:rPr>
          <w:sz w:val="24"/>
          <w:szCs w:val="24"/>
        </w:rPr>
      </w:pPr>
      <w:r w:rsidRPr="00514C5C">
        <w:rPr>
          <w:i/>
          <w:iCs/>
          <w:sz w:val="24"/>
          <w:szCs w:val="24"/>
        </w:rPr>
        <w:t>Konstytucje Apostolskie</w:t>
      </w:r>
      <w:r w:rsidRPr="00514C5C">
        <w:rPr>
          <w:sz w:val="24"/>
          <w:szCs w:val="24"/>
        </w:rPr>
        <w:t>, EP 1233.</w:t>
      </w:r>
    </w:p>
    <w:p w14:paraId="4D132108" w14:textId="77777777" w:rsidR="00514C5C" w:rsidRDefault="00514C5C" w:rsidP="00514C5C">
      <w:pPr>
        <w:pStyle w:val="FootnoteText"/>
        <w:ind w:left="709" w:hanging="709"/>
        <w:jc w:val="both"/>
        <w:rPr>
          <w:sz w:val="24"/>
          <w:szCs w:val="24"/>
        </w:rPr>
      </w:pPr>
      <w:r w:rsidRPr="00514C5C">
        <w:rPr>
          <w:sz w:val="24"/>
          <w:szCs w:val="24"/>
        </w:rPr>
        <w:t xml:space="preserve">Lipniak J.M., </w:t>
      </w:r>
      <w:r w:rsidRPr="00514C5C">
        <w:rPr>
          <w:i/>
          <w:sz w:val="24"/>
          <w:szCs w:val="24"/>
        </w:rPr>
        <w:t>Małżeństwo w teologii Ortodoksyjnego Kościoła Koptyjskiego</w:t>
      </w:r>
      <w:r w:rsidRPr="00514C5C">
        <w:rPr>
          <w:sz w:val="24"/>
          <w:szCs w:val="24"/>
        </w:rPr>
        <w:t xml:space="preserve">, w: </w:t>
      </w:r>
      <w:r w:rsidRPr="00514C5C">
        <w:rPr>
          <w:i/>
          <w:sz w:val="24"/>
          <w:szCs w:val="24"/>
        </w:rPr>
        <w:t xml:space="preserve">Ekumeniczna wizja Małżeństwa i Rodziny </w:t>
      </w:r>
      <w:r w:rsidRPr="00514C5C">
        <w:rPr>
          <w:sz w:val="24"/>
          <w:szCs w:val="24"/>
        </w:rPr>
        <w:t>–</w:t>
      </w:r>
      <w:r w:rsidRPr="00514C5C">
        <w:rPr>
          <w:rStyle w:val="Emphasis"/>
          <w:sz w:val="24"/>
          <w:szCs w:val="24"/>
        </w:rPr>
        <w:t xml:space="preserve"> </w:t>
      </w:r>
      <w:r w:rsidRPr="00514C5C">
        <w:rPr>
          <w:sz w:val="24"/>
          <w:szCs w:val="24"/>
        </w:rPr>
        <w:t xml:space="preserve">szansa i życiowe problemy, red. J.M. Lipniak, Wrocław 2015, </w:t>
      </w:r>
      <w:r w:rsidRPr="00514C5C">
        <w:rPr>
          <w:iCs/>
          <w:sz w:val="24"/>
          <w:szCs w:val="24"/>
        </w:rPr>
        <w:t>s.</w:t>
      </w:r>
      <w:r w:rsidRPr="00514C5C">
        <w:rPr>
          <w:sz w:val="24"/>
          <w:szCs w:val="24"/>
        </w:rPr>
        <w:t xml:space="preserve"> 141-148.</w:t>
      </w:r>
    </w:p>
    <w:p w14:paraId="1B645FE3" w14:textId="526DD325" w:rsidR="00514C5C" w:rsidRPr="00514C5C" w:rsidRDefault="00514C5C" w:rsidP="00514C5C">
      <w:pPr>
        <w:pStyle w:val="FootnoteText"/>
        <w:ind w:left="709" w:hanging="709"/>
        <w:jc w:val="both"/>
        <w:rPr>
          <w:sz w:val="24"/>
          <w:szCs w:val="24"/>
        </w:rPr>
      </w:pPr>
      <w:r w:rsidRPr="00514C5C">
        <w:rPr>
          <w:sz w:val="24"/>
          <w:szCs w:val="24"/>
        </w:rPr>
        <w:t>Lipniak J.M.</w:t>
      </w:r>
      <w:r>
        <w:rPr>
          <w:sz w:val="24"/>
          <w:szCs w:val="24"/>
        </w:rPr>
        <w:t xml:space="preserve"> (red.)</w:t>
      </w:r>
      <w:r w:rsidRPr="00514C5C">
        <w:rPr>
          <w:sz w:val="24"/>
          <w:szCs w:val="24"/>
        </w:rPr>
        <w:t xml:space="preserve">, </w:t>
      </w:r>
      <w:r w:rsidRPr="00514C5C">
        <w:rPr>
          <w:i/>
          <w:sz w:val="24"/>
          <w:szCs w:val="24"/>
        </w:rPr>
        <w:t xml:space="preserve">Ekumeniczna wizja Małżeństwa i Rodziny </w:t>
      </w:r>
      <w:r w:rsidRPr="00514C5C">
        <w:rPr>
          <w:sz w:val="24"/>
          <w:szCs w:val="24"/>
        </w:rPr>
        <w:t>–</w:t>
      </w:r>
      <w:r w:rsidRPr="00514C5C">
        <w:rPr>
          <w:rStyle w:val="Emphasis"/>
          <w:sz w:val="24"/>
          <w:szCs w:val="24"/>
        </w:rPr>
        <w:t xml:space="preserve"> </w:t>
      </w:r>
      <w:r w:rsidRPr="00514C5C">
        <w:rPr>
          <w:sz w:val="24"/>
          <w:szCs w:val="24"/>
        </w:rPr>
        <w:t xml:space="preserve">szansa i życiowe problemy, </w:t>
      </w:r>
      <w:r>
        <w:rPr>
          <w:sz w:val="24"/>
          <w:szCs w:val="24"/>
        </w:rPr>
        <w:t>Wrocław 2015</w:t>
      </w:r>
      <w:r w:rsidRPr="00514C5C">
        <w:rPr>
          <w:sz w:val="24"/>
          <w:szCs w:val="24"/>
        </w:rPr>
        <w:t>.</w:t>
      </w:r>
    </w:p>
    <w:p w14:paraId="71E704DF" w14:textId="77777777" w:rsidR="00514C5C" w:rsidRPr="00514C5C" w:rsidRDefault="00514C5C" w:rsidP="00514C5C">
      <w:pPr>
        <w:pStyle w:val="FootnoteText"/>
        <w:ind w:left="709" w:hanging="709"/>
        <w:jc w:val="both"/>
        <w:rPr>
          <w:sz w:val="24"/>
          <w:szCs w:val="24"/>
          <w:lang w:val="en-US"/>
        </w:rPr>
      </w:pPr>
      <w:r w:rsidRPr="00514C5C">
        <w:rPr>
          <w:sz w:val="24"/>
          <w:szCs w:val="24"/>
          <w:lang w:val="en-US"/>
        </w:rPr>
        <w:t xml:space="preserve">Malaty T.Y., </w:t>
      </w:r>
      <w:r w:rsidRPr="00514C5C">
        <w:rPr>
          <w:i/>
          <w:sz w:val="24"/>
          <w:szCs w:val="24"/>
          <w:lang w:val="en-US"/>
        </w:rPr>
        <w:t>The Gift Of The Holy Spirit</w:t>
      </w:r>
      <w:r w:rsidRPr="00514C5C">
        <w:rPr>
          <w:sz w:val="24"/>
          <w:szCs w:val="24"/>
          <w:lang w:val="en-US"/>
        </w:rPr>
        <w:t>, Cairo 1991, s. 44.</w:t>
      </w:r>
    </w:p>
    <w:p w14:paraId="46B2DE77" w14:textId="77777777" w:rsidR="00514C5C" w:rsidRPr="00514C5C" w:rsidRDefault="00514C5C" w:rsidP="00514C5C">
      <w:pPr>
        <w:pStyle w:val="FootnoteText"/>
        <w:ind w:left="709" w:hanging="709"/>
        <w:jc w:val="both"/>
        <w:rPr>
          <w:sz w:val="24"/>
          <w:szCs w:val="24"/>
          <w:lang w:val="en-US"/>
        </w:rPr>
      </w:pPr>
      <w:r w:rsidRPr="00514C5C">
        <w:rPr>
          <w:sz w:val="24"/>
          <w:szCs w:val="24"/>
          <w:lang w:val="en-US"/>
        </w:rPr>
        <w:t xml:space="preserve">Megally F, </w:t>
      </w:r>
      <w:r w:rsidRPr="00514C5C">
        <w:rPr>
          <w:i/>
          <w:sz w:val="24"/>
          <w:szCs w:val="24"/>
          <w:lang w:val="en-US"/>
        </w:rPr>
        <w:t>Chrism</w:t>
      </w:r>
      <w:r w:rsidRPr="00514C5C">
        <w:rPr>
          <w:sz w:val="24"/>
          <w:szCs w:val="24"/>
          <w:lang w:val="en-US"/>
        </w:rPr>
        <w:t xml:space="preserve">, w: A.S. Atiya (red.), </w:t>
      </w:r>
      <w:r w:rsidRPr="00514C5C">
        <w:rPr>
          <w:i/>
          <w:sz w:val="24"/>
          <w:szCs w:val="24"/>
          <w:lang w:val="en-US"/>
        </w:rPr>
        <w:t>The Coptic Encyclopedia</w:t>
      </w:r>
      <w:r w:rsidRPr="00514C5C">
        <w:rPr>
          <w:sz w:val="24"/>
          <w:szCs w:val="24"/>
          <w:lang w:val="en-US"/>
        </w:rPr>
        <w:t>, t. II, kol. 521.</w:t>
      </w:r>
    </w:p>
    <w:p w14:paraId="570D5405" w14:textId="77777777" w:rsidR="00514C5C" w:rsidRPr="00514C5C" w:rsidRDefault="00514C5C" w:rsidP="00514C5C">
      <w:pPr>
        <w:pStyle w:val="FootnoteText"/>
        <w:ind w:left="709" w:hanging="709"/>
        <w:jc w:val="both"/>
        <w:rPr>
          <w:sz w:val="24"/>
          <w:szCs w:val="24"/>
          <w:lang w:val="en-US"/>
        </w:rPr>
      </w:pPr>
      <w:r w:rsidRPr="00514C5C">
        <w:rPr>
          <w:sz w:val="24"/>
          <w:szCs w:val="24"/>
          <w:lang w:val="en-US"/>
        </w:rPr>
        <w:t xml:space="preserve">Shenouda III, </w:t>
      </w:r>
      <w:r w:rsidRPr="00514C5C">
        <w:rPr>
          <w:bCs/>
          <w:i/>
          <w:sz w:val="24"/>
          <w:szCs w:val="24"/>
          <w:lang w:val="en-US"/>
        </w:rPr>
        <w:t>Comparative Theology</w:t>
      </w:r>
      <w:r w:rsidRPr="00514C5C">
        <w:rPr>
          <w:bCs/>
          <w:sz w:val="24"/>
          <w:szCs w:val="24"/>
          <w:lang w:val="en-US"/>
        </w:rPr>
        <w:t>, London 1988.</w:t>
      </w:r>
    </w:p>
    <w:p w14:paraId="355D2706" w14:textId="1BFCD498" w:rsidR="00514C5C" w:rsidRPr="00514C5C" w:rsidRDefault="00514C5C" w:rsidP="00514C5C">
      <w:pPr>
        <w:pStyle w:val="FootnoteText"/>
        <w:ind w:left="709" w:hanging="709"/>
        <w:jc w:val="both"/>
        <w:rPr>
          <w:sz w:val="24"/>
          <w:szCs w:val="24"/>
          <w:lang w:val="en-US"/>
        </w:rPr>
      </w:pPr>
      <w:r w:rsidRPr="00514C5C">
        <w:rPr>
          <w:sz w:val="24"/>
          <w:szCs w:val="24"/>
          <w:lang w:val="en-US"/>
        </w:rPr>
        <w:t xml:space="preserve">Shenouda III, </w:t>
      </w:r>
      <w:r w:rsidRPr="00514C5C">
        <w:rPr>
          <w:bCs/>
          <w:i/>
          <w:iCs/>
          <w:color w:val="333333"/>
          <w:sz w:val="24"/>
          <w:szCs w:val="24"/>
          <w:lang w:val="en-US"/>
        </w:rPr>
        <w:t xml:space="preserve">The Epiphany, </w:t>
      </w:r>
      <w:r w:rsidR="00031DDE">
        <w:rPr>
          <w:bCs/>
          <w:iCs/>
          <w:color w:val="333333"/>
          <w:sz w:val="24"/>
          <w:szCs w:val="24"/>
          <w:lang w:val="en-US"/>
        </w:rPr>
        <w:t>Cairo 1999</w:t>
      </w:r>
      <w:r w:rsidRPr="00514C5C">
        <w:rPr>
          <w:bCs/>
          <w:iCs/>
          <w:color w:val="333333"/>
          <w:sz w:val="24"/>
          <w:szCs w:val="24"/>
          <w:lang w:val="en-US"/>
        </w:rPr>
        <w:t>.</w:t>
      </w:r>
    </w:p>
    <w:p w14:paraId="51AED789" w14:textId="62E64646" w:rsidR="00514C5C" w:rsidRPr="00514C5C" w:rsidRDefault="00514C5C" w:rsidP="00514C5C">
      <w:pPr>
        <w:pStyle w:val="FootnoteText"/>
        <w:ind w:left="709" w:hanging="709"/>
        <w:jc w:val="both"/>
        <w:rPr>
          <w:sz w:val="24"/>
          <w:szCs w:val="24"/>
          <w:lang w:val="en-US"/>
        </w:rPr>
      </w:pPr>
      <w:r w:rsidRPr="00514C5C">
        <w:rPr>
          <w:sz w:val="24"/>
          <w:szCs w:val="24"/>
          <w:lang w:val="en-US"/>
        </w:rPr>
        <w:t xml:space="preserve">Shenouda III, </w:t>
      </w:r>
      <w:r w:rsidRPr="00514C5C">
        <w:rPr>
          <w:i/>
          <w:sz w:val="24"/>
          <w:szCs w:val="24"/>
          <w:lang w:val="en-US"/>
        </w:rPr>
        <w:t>The Feast of the Annunciation</w:t>
      </w:r>
      <w:r w:rsidR="00031DDE">
        <w:rPr>
          <w:sz w:val="24"/>
          <w:szCs w:val="24"/>
          <w:lang w:val="en-US"/>
        </w:rPr>
        <w:t>, Cairo 1997</w:t>
      </w:r>
      <w:r w:rsidRPr="00514C5C">
        <w:rPr>
          <w:sz w:val="24"/>
          <w:szCs w:val="24"/>
          <w:lang w:val="en-US"/>
        </w:rPr>
        <w:t>.</w:t>
      </w:r>
    </w:p>
    <w:p w14:paraId="3B8F921D" w14:textId="77777777" w:rsidR="00514C5C" w:rsidRPr="00514C5C" w:rsidRDefault="00514C5C" w:rsidP="00514C5C">
      <w:pPr>
        <w:pStyle w:val="FootnoteText"/>
        <w:ind w:left="709" w:hanging="709"/>
        <w:jc w:val="both"/>
        <w:rPr>
          <w:sz w:val="24"/>
          <w:szCs w:val="24"/>
          <w:lang w:val="it-IT"/>
        </w:rPr>
      </w:pPr>
      <w:r w:rsidRPr="00514C5C">
        <w:rPr>
          <w:sz w:val="24"/>
          <w:szCs w:val="24"/>
          <w:lang w:val="it-IT"/>
        </w:rPr>
        <w:t xml:space="preserve">Synod w Laodycei, w: A. Znosko, </w:t>
      </w:r>
      <w:r w:rsidRPr="00514C5C">
        <w:rPr>
          <w:i/>
          <w:sz w:val="24"/>
          <w:szCs w:val="24"/>
          <w:lang w:val="it-IT"/>
        </w:rPr>
        <w:t>Kanony Kościoła prawosławnego</w:t>
      </w:r>
      <w:r w:rsidRPr="00514C5C">
        <w:rPr>
          <w:sz w:val="24"/>
          <w:szCs w:val="24"/>
          <w:lang w:val="it-IT"/>
        </w:rPr>
        <w:t xml:space="preserve">, t. I, Hajnówka 2000. </w:t>
      </w:r>
    </w:p>
    <w:p w14:paraId="0DE5393B" w14:textId="77777777" w:rsidR="00514C5C" w:rsidRPr="00514C5C" w:rsidRDefault="00514C5C" w:rsidP="00514C5C">
      <w:pPr>
        <w:pStyle w:val="FootnoteText"/>
        <w:ind w:left="709" w:hanging="709"/>
        <w:jc w:val="both"/>
        <w:rPr>
          <w:sz w:val="24"/>
          <w:szCs w:val="24"/>
          <w:lang w:val="fr-FR"/>
        </w:rPr>
      </w:pPr>
      <w:r w:rsidRPr="00514C5C">
        <w:rPr>
          <w:sz w:val="24"/>
          <w:szCs w:val="24"/>
          <w:lang w:val="fr-FR"/>
        </w:rPr>
        <w:t>Tertulian</w:t>
      </w:r>
      <w:r w:rsidRPr="00514C5C">
        <w:rPr>
          <w:smallCaps/>
          <w:color w:val="000000"/>
          <w:sz w:val="24"/>
          <w:szCs w:val="24"/>
          <w:lang w:val="fr-FR"/>
        </w:rPr>
        <w:t>,</w:t>
      </w:r>
      <w:r w:rsidRPr="00514C5C">
        <w:rPr>
          <w:sz w:val="24"/>
          <w:szCs w:val="24"/>
          <w:lang w:val="fr-FR"/>
        </w:rPr>
        <w:t xml:space="preserve"> </w:t>
      </w:r>
      <w:r w:rsidRPr="00514C5C">
        <w:rPr>
          <w:i/>
          <w:sz w:val="24"/>
          <w:szCs w:val="24"/>
          <w:lang w:val="fr-FR"/>
        </w:rPr>
        <w:t xml:space="preserve">De baptismo, </w:t>
      </w:r>
      <w:r w:rsidRPr="00514C5C">
        <w:rPr>
          <w:sz w:val="24"/>
          <w:szCs w:val="24"/>
          <w:lang w:val="fr-FR"/>
        </w:rPr>
        <w:t>CV 20,206, EP 304.</w:t>
      </w:r>
    </w:p>
    <w:p w14:paraId="2DD145FB" w14:textId="13097447" w:rsidR="00514C5C" w:rsidRPr="00514C5C" w:rsidRDefault="00514C5C" w:rsidP="00514C5C">
      <w:pPr>
        <w:pStyle w:val="FootnoteText"/>
        <w:ind w:left="709" w:hanging="709"/>
        <w:jc w:val="both"/>
        <w:rPr>
          <w:sz w:val="24"/>
          <w:szCs w:val="24"/>
          <w:lang w:val="ru-RU"/>
        </w:rPr>
      </w:pPr>
      <w:r w:rsidRPr="00514C5C">
        <w:rPr>
          <w:sz w:val="24"/>
          <w:szCs w:val="24"/>
        </w:rPr>
        <w:t>Tertulian</w:t>
      </w:r>
      <w:r w:rsidRPr="00514C5C">
        <w:rPr>
          <w:smallCaps/>
          <w:color w:val="000000"/>
          <w:sz w:val="24"/>
          <w:szCs w:val="24"/>
        </w:rPr>
        <w:t>,</w:t>
      </w:r>
      <w:r w:rsidRPr="00514C5C">
        <w:rPr>
          <w:sz w:val="24"/>
          <w:szCs w:val="24"/>
        </w:rPr>
        <w:t xml:space="preserve"> </w:t>
      </w:r>
      <w:r w:rsidRPr="00514C5C">
        <w:rPr>
          <w:i/>
          <w:sz w:val="24"/>
          <w:szCs w:val="24"/>
        </w:rPr>
        <w:t>O chrzcie</w:t>
      </w:r>
      <w:r w:rsidRPr="00514C5C">
        <w:rPr>
          <w:sz w:val="24"/>
          <w:szCs w:val="24"/>
        </w:rPr>
        <w:t xml:space="preserve">, w: J. Słomka (opr.), </w:t>
      </w:r>
      <w:r w:rsidRPr="00514C5C">
        <w:rPr>
          <w:i/>
          <w:sz w:val="24"/>
          <w:szCs w:val="24"/>
        </w:rPr>
        <w:t>Chrzest i pokuta w Kościele pierwotnym. Antologia tekstów I-III w.</w:t>
      </w:r>
      <w:r w:rsidR="00031DDE">
        <w:rPr>
          <w:sz w:val="24"/>
          <w:szCs w:val="24"/>
        </w:rPr>
        <w:t>, Kraków 2004</w:t>
      </w:r>
      <w:r w:rsidRPr="00514C5C">
        <w:rPr>
          <w:sz w:val="24"/>
          <w:szCs w:val="24"/>
        </w:rPr>
        <w:t>.</w:t>
      </w:r>
    </w:p>
    <w:p w14:paraId="710F39B6" w14:textId="77777777" w:rsidR="00514C5C" w:rsidRPr="00502E39" w:rsidRDefault="00514C5C" w:rsidP="00514C5C">
      <w:pPr>
        <w:spacing w:line="240" w:lineRule="auto"/>
        <w:jc w:val="both"/>
        <w:rPr>
          <w:szCs w:val="24"/>
          <w:lang w:bidi="pl-PL"/>
        </w:rPr>
      </w:pPr>
    </w:p>
    <w:p w14:paraId="6BEBADF5" w14:textId="77777777" w:rsidR="00F164A1" w:rsidRPr="00502E39" w:rsidRDefault="00F164A1" w:rsidP="00F164A1">
      <w:pPr>
        <w:spacing w:line="240" w:lineRule="auto"/>
        <w:jc w:val="both"/>
        <w:rPr>
          <w:szCs w:val="24"/>
          <w:lang w:bidi="pl-PL"/>
        </w:rPr>
      </w:pPr>
    </w:p>
    <w:p w14:paraId="4A863E9A" w14:textId="77777777" w:rsidR="00703DA1" w:rsidRPr="00502E39" w:rsidRDefault="00703DA1" w:rsidP="00F164A1">
      <w:pPr>
        <w:spacing w:line="240" w:lineRule="auto"/>
        <w:jc w:val="both"/>
        <w:rPr>
          <w:szCs w:val="24"/>
        </w:rPr>
      </w:pPr>
    </w:p>
    <w:sectPr w:rsidR="00703DA1" w:rsidRPr="00502E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C651" w14:textId="77777777" w:rsidR="005320A9" w:rsidRDefault="005320A9" w:rsidP="00F164A1">
      <w:pPr>
        <w:spacing w:after="0" w:line="240" w:lineRule="auto"/>
      </w:pPr>
      <w:r>
        <w:separator/>
      </w:r>
    </w:p>
  </w:endnote>
  <w:endnote w:type="continuationSeparator" w:id="0">
    <w:p w14:paraId="72C9A1B0" w14:textId="77777777" w:rsidR="005320A9" w:rsidRDefault="005320A9" w:rsidP="00F1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AC6F" w14:textId="77777777" w:rsidR="005320A9" w:rsidRDefault="005320A9" w:rsidP="00F164A1">
      <w:pPr>
        <w:spacing w:after="0" w:line="240" w:lineRule="auto"/>
      </w:pPr>
      <w:r>
        <w:separator/>
      </w:r>
    </w:p>
  </w:footnote>
  <w:footnote w:type="continuationSeparator" w:id="0">
    <w:p w14:paraId="26B95B28" w14:textId="77777777" w:rsidR="005320A9" w:rsidRDefault="005320A9" w:rsidP="00F164A1">
      <w:pPr>
        <w:spacing w:after="0" w:line="240" w:lineRule="auto"/>
      </w:pPr>
      <w:r>
        <w:continuationSeparator/>
      </w:r>
    </w:p>
  </w:footnote>
  <w:footnote w:id="1">
    <w:p w14:paraId="4B7D6EB7" w14:textId="3A3C43EE"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en-US"/>
        </w:rPr>
        <w:t>Shenouda III</w:t>
      </w:r>
      <w:r w:rsidRPr="000B250F">
        <w:rPr>
          <w:lang w:val="en-US"/>
        </w:rPr>
        <w:t xml:space="preserve">, </w:t>
      </w:r>
      <w:r w:rsidRPr="000B250F">
        <w:rPr>
          <w:bCs/>
          <w:i/>
          <w:iCs/>
          <w:color w:val="333333"/>
          <w:lang w:val="en-US"/>
        </w:rPr>
        <w:t xml:space="preserve">The Epiphany, </w:t>
      </w:r>
      <w:r w:rsidRPr="000B250F">
        <w:rPr>
          <w:bCs/>
          <w:iCs/>
          <w:color w:val="333333"/>
          <w:lang w:val="en-US"/>
        </w:rPr>
        <w:t>Cairo 1999, s. 5-6.</w:t>
      </w:r>
    </w:p>
  </w:footnote>
  <w:footnote w:id="2">
    <w:p w14:paraId="40C8CCB9" w14:textId="5C7743DE" w:rsidR="00502E39" w:rsidRPr="00502E39" w:rsidRDefault="00502E39" w:rsidP="00502E39">
      <w:pPr>
        <w:pStyle w:val="FootnoteText"/>
      </w:pPr>
      <w:r>
        <w:rPr>
          <w:rStyle w:val="FootnoteReference"/>
        </w:rPr>
        <w:footnoteRef/>
      </w:r>
      <w:r>
        <w:rPr>
          <w:color w:val="000000"/>
        </w:rPr>
        <w:t xml:space="preserve"> Sakramentami zbawczymi są</w:t>
      </w:r>
      <w:r w:rsidRPr="004319A3">
        <w:rPr>
          <w:color w:val="000000"/>
        </w:rPr>
        <w:t>: chrzest, bierzmowanie, Eucharystia</w:t>
      </w:r>
      <w:r>
        <w:rPr>
          <w:color w:val="000000"/>
        </w:rPr>
        <w:t xml:space="preserve"> i spowiedź (pokuta).</w:t>
      </w:r>
    </w:p>
  </w:footnote>
  <w:footnote w:id="3">
    <w:p w14:paraId="260D2CBC" w14:textId="667390C2"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en-US"/>
        </w:rPr>
        <w:t>T.Y.</w:t>
      </w:r>
      <w:r w:rsidR="00502E39">
        <w:rPr>
          <w:lang w:val="en-US"/>
        </w:rPr>
        <w:t xml:space="preserve"> </w:t>
      </w:r>
      <w:r w:rsidR="00232A3F">
        <w:rPr>
          <w:lang w:val="en-US"/>
        </w:rPr>
        <w:t xml:space="preserve">Malaty, </w:t>
      </w:r>
      <w:r w:rsidRPr="000B250F">
        <w:rPr>
          <w:i/>
          <w:lang w:val="en-US"/>
        </w:rPr>
        <w:t>The Gift Of The Holy Spirit</w:t>
      </w:r>
      <w:r w:rsidRPr="000B250F">
        <w:rPr>
          <w:lang w:val="en-US"/>
        </w:rPr>
        <w:t>, Cairo 1991, s. 44.</w:t>
      </w:r>
    </w:p>
  </w:footnote>
  <w:footnote w:id="4">
    <w:p w14:paraId="627A025C" w14:textId="3BBCCCB5"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en-US"/>
        </w:rPr>
        <w:t>Shenouda III</w:t>
      </w:r>
      <w:r w:rsidRPr="000B250F">
        <w:rPr>
          <w:lang w:val="en-US"/>
        </w:rPr>
        <w:t xml:space="preserve">, </w:t>
      </w:r>
      <w:r w:rsidRPr="000B250F">
        <w:rPr>
          <w:i/>
          <w:lang w:val="en-US"/>
        </w:rPr>
        <w:t>The Feast of the Annunciation</w:t>
      </w:r>
      <w:r w:rsidRPr="000B250F">
        <w:rPr>
          <w:lang w:val="en-US"/>
        </w:rPr>
        <w:t>, Cairo 1997, s. 13.</w:t>
      </w:r>
    </w:p>
  </w:footnote>
  <w:footnote w:id="5">
    <w:p w14:paraId="7DB969FF" w14:textId="0A4F5521" w:rsidR="00F164A1" w:rsidRPr="000B250F" w:rsidRDefault="00F164A1" w:rsidP="00232A3F">
      <w:pPr>
        <w:autoSpaceDE w:val="0"/>
        <w:autoSpaceDN w:val="0"/>
        <w:adjustRightInd w:val="0"/>
        <w:spacing w:after="0"/>
        <w:jc w:val="both"/>
        <w:rPr>
          <w:sz w:val="20"/>
          <w:szCs w:val="20"/>
          <w:lang w:val="fr-FR"/>
        </w:rPr>
      </w:pPr>
      <w:r w:rsidRPr="000B250F">
        <w:rPr>
          <w:rStyle w:val="FootnoteReference"/>
          <w:sz w:val="20"/>
          <w:szCs w:val="20"/>
        </w:rPr>
        <w:footnoteRef/>
      </w:r>
      <w:r w:rsidRPr="000B250F">
        <w:rPr>
          <w:sz w:val="20"/>
          <w:szCs w:val="20"/>
          <w:lang w:val="fr-FR"/>
        </w:rPr>
        <w:t xml:space="preserve"> O.H.E. </w:t>
      </w:r>
      <w:r w:rsidR="00232A3F">
        <w:rPr>
          <w:sz w:val="20"/>
          <w:szCs w:val="20"/>
          <w:lang w:val="fr-FR"/>
        </w:rPr>
        <w:t>Burmester</w:t>
      </w:r>
      <w:r w:rsidRPr="000B250F">
        <w:rPr>
          <w:sz w:val="20"/>
          <w:szCs w:val="20"/>
          <w:lang w:val="fr-FR"/>
        </w:rPr>
        <w:t xml:space="preserve">, </w:t>
      </w:r>
      <w:r w:rsidRPr="000B250F">
        <w:rPr>
          <w:i/>
          <w:sz w:val="20"/>
          <w:szCs w:val="20"/>
          <w:lang w:val="fr-FR"/>
        </w:rPr>
        <w:t>Tradition Concerning the Holy Myron (Chrism)</w:t>
      </w:r>
      <w:r w:rsidRPr="000B250F">
        <w:rPr>
          <w:sz w:val="20"/>
          <w:szCs w:val="20"/>
          <w:lang w:val="fr-FR"/>
        </w:rPr>
        <w:t>, w: „Publications de l’Institut d’études orientales de la Bibliothèque patriarcale d’Alexandrie” 3(1954), s. 52-58.</w:t>
      </w:r>
    </w:p>
  </w:footnote>
  <w:footnote w:id="6">
    <w:p w14:paraId="4D244F07" w14:textId="78C4A9BA" w:rsidR="00F164A1" w:rsidRPr="000B250F" w:rsidRDefault="00F164A1" w:rsidP="00102354">
      <w:pPr>
        <w:pStyle w:val="FootnoteText"/>
        <w:jc w:val="both"/>
        <w:rPr>
          <w:lang w:val="en-US"/>
        </w:rPr>
      </w:pPr>
      <w:r w:rsidRPr="000B250F">
        <w:rPr>
          <w:rStyle w:val="FootnoteReference"/>
        </w:rPr>
        <w:footnoteRef/>
      </w:r>
      <w:r w:rsidRPr="000B250F">
        <w:rPr>
          <w:lang w:val="en-US"/>
        </w:rPr>
        <w:t xml:space="preserve"> </w:t>
      </w:r>
      <w:r w:rsidR="00232A3F">
        <w:rPr>
          <w:lang w:val="it-IT"/>
        </w:rPr>
        <w:t>Bishop Mattaous,</w:t>
      </w:r>
      <w:r w:rsidRPr="000B250F">
        <w:rPr>
          <w:lang w:val="en-US"/>
        </w:rPr>
        <w:t xml:space="preserve"> </w:t>
      </w:r>
      <w:r w:rsidRPr="000B250F">
        <w:rPr>
          <w:i/>
          <w:lang w:val="en-US"/>
        </w:rPr>
        <w:t>Sacramental Rites in the Coptic Orthodox Church</w:t>
      </w:r>
      <w:r w:rsidRPr="000B250F">
        <w:rPr>
          <w:lang w:val="en-US"/>
        </w:rPr>
        <w:t>, Cairo 2002, s. 2; zob.</w:t>
      </w:r>
      <w:r w:rsidR="00102354">
        <w:rPr>
          <w:lang w:val="en-US"/>
        </w:rPr>
        <w:t xml:space="preserve"> Archbishop Basilios</w:t>
      </w:r>
      <w:r w:rsidRPr="000B250F">
        <w:rPr>
          <w:lang w:val="en-US"/>
        </w:rPr>
        <w:t xml:space="preserve">, </w:t>
      </w:r>
      <w:r w:rsidRPr="000B250F">
        <w:rPr>
          <w:i/>
          <w:lang w:val="en-US"/>
        </w:rPr>
        <w:t>Confirmation</w:t>
      </w:r>
      <w:r w:rsidRPr="000B250F">
        <w:rPr>
          <w:lang w:val="en-US"/>
        </w:rPr>
        <w:t>, w: A.S.</w:t>
      </w:r>
      <w:r w:rsidR="00102354">
        <w:rPr>
          <w:lang w:val="en-US"/>
        </w:rPr>
        <w:t xml:space="preserve"> Atiya</w:t>
      </w:r>
      <w:r w:rsidRPr="000B250F">
        <w:rPr>
          <w:lang w:val="en-US"/>
        </w:rPr>
        <w:t xml:space="preserve"> (red.), </w:t>
      </w:r>
      <w:r w:rsidRPr="000B250F">
        <w:rPr>
          <w:i/>
          <w:lang w:val="en-US"/>
        </w:rPr>
        <w:t>The Coptic Encyclopedia</w:t>
      </w:r>
      <w:r w:rsidRPr="000B250F">
        <w:rPr>
          <w:lang w:val="en-US"/>
        </w:rPr>
        <w:t>, t. II, New York 1991, kol. 585-586.</w:t>
      </w:r>
    </w:p>
  </w:footnote>
  <w:footnote w:id="7">
    <w:p w14:paraId="04F88EE5" w14:textId="267A5919"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it-IT"/>
        </w:rPr>
        <w:t>Bishop Mattaous,</w:t>
      </w:r>
      <w:r w:rsidRPr="000B250F">
        <w:rPr>
          <w:lang w:val="en-US"/>
        </w:rPr>
        <w:t xml:space="preserve"> </w:t>
      </w:r>
      <w:r w:rsidRPr="000B250F">
        <w:rPr>
          <w:i/>
          <w:lang w:val="en-US"/>
        </w:rPr>
        <w:t>Sacramental Rites…,</w:t>
      </w:r>
      <w:r w:rsidRPr="000B250F">
        <w:rPr>
          <w:lang w:val="en-US"/>
        </w:rPr>
        <w:t xml:space="preserve"> s. 2.</w:t>
      </w:r>
    </w:p>
  </w:footnote>
  <w:footnote w:id="8">
    <w:p w14:paraId="4E8EA861" w14:textId="7FCA481E"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en-US"/>
        </w:rPr>
        <w:t>Shenouda III</w:t>
      </w:r>
      <w:r w:rsidRPr="000B250F">
        <w:rPr>
          <w:lang w:val="en-US"/>
        </w:rPr>
        <w:t xml:space="preserve">, </w:t>
      </w:r>
      <w:r w:rsidRPr="000B250F">
        <w:rPr>
          <w:bCs/>
          <w:i/>
          <w:lang w:val="en-US"/>
        </w:rPr>
        <w:t>Comparative Theology</w:t>
      </w:r>
      <w:r w:rsidRPr="000B250F">
        <w:rPr>
          <w:bCs/>
          <w:lang w:val="en-US"/>
        </w:rPr>
        <w:t>, London 1988, s. 140.</w:t>
      </w:r>
    </w:p>
  </w:footnote>
  <w:footnote w:id="9">
    <w:p w14:paraId="51DE6C20" w14:textId="56EE2F85"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it-IT"/>
        </w:rPr>
        <w:t>Bishop Mattaous,</w:t>
      </w:r>
      <w:r w:rsidRPr="000B250F">
        <w:rPr>
          <w:lang w:val="en-US"/>
        </w:rPr>
        <w:t xml:space="preserve"> </w:t>
      </w:r>
      <w:r w:rsidRPr="000B250F">
        <w:rPr>
          <w:i/>
          <w:lang w:val="en-US"/>
        </w:rPr>
        <w:t xml:space="preserve">Sacramental Rites…, </w:t>
      </w:r>
      <w:r w:rsidRPr="000B250F">
        <w:rPr>
          <w:iCs/>
          <w:lang w:val="en-US"/>
        </w:rPr>
        <w:t>s.</w:t>
      </w:r>
      <w:r w:rsidRPr="000B250F">
        <w:rPr>
          <w:lang w:val="en-US"/>
        </w:rPr>
        <w:t xml:space="preserve"> 3.</w:t>
      </w:r>
    </w:p>
  </w:footnote>
  <w:footnote w:id="10">
    <w:p w14:paraId="5CE6EE20" w14:textId="647222CE" w:rsidR="00F164A1" w:rsidRPr="00232A3F" w:rsidRDefault="00F164A1" w:rsidP="00232A3F">
      <w:pPr>
        <w:pStyle w:val="FootnoteText"/>
        <w:jc w:val="both"/>
        <w:rPr>
          <w:lang w:val="en-US"/>
        </w:rPr>
      </w:pPr>
      <w:r w:rsidRPr="000B250F">
        <w:rPr>
          <w:rStyle w:val="FootnoteReference"/>
        </w:rPr>
        <w:footnoteRef/>
      </w:r>
      <w:r w:rsidRPr="00232A3F">
        <w:rPr>
          <w:lang w:val="en-US"/>
        </w:rPr>
        <w:t xml:space="preserve"> F. </w:t>
      </w:r>
      <w:r w:rsidR="00232A3F" w:rsidRPr="00232A3F">
        <w:rPr>
          <w:lang w:val="en-US"/>
        </w:rPr>
        <w:t xml:space="preserve">Megally, </w:t>
      </w:r>
      <w:r w:rsidRPr="00232A3F">
        <w:rPr>
          <w:i/>
          <w:lang w:val="en-US"/>
        </w:rPr>
        <w:t>Chrism</w:t>
      </w:r>
      <w:r w:rsidRPr="00232A3F">
        <w:rPr>
          <w:lang w:val="en-US"/>
        </w:rPr>
        <w:t>, w: A.S.</w:t>
      </w:r>
      <w:r w:rsidR="00232A3F" w:rsidRPr="00232A3F">
        <w:rPr>
          <w:lang w:val="en-US"/>
        </w:rPr>
        <w:t xml:space="preserve"> Ati</w:t>
      </w:r>
      <w:r w:rsidR="00232A3F">
        <w:rPr>
          <w:lang w:val="en-US"/>
        </w:rPr>
        <w:t>ya</w:t>
      </w:r>
      <w:r w:rsidRPr="00232A3F">
        <w:rPr>
          <w:lang w:val="en-US"/>
        </w:rPr>
        <w:t xml:space="preserve"> (red.), </w:t>
      </w:r>
      <w:r w:rsidRPr="00232A3F">
        <w:rPr>
          <w:i/>
          <w:lang w:val="en-US"/>
        </w:rPr>
        <w:t>The Coptic Encyclopedia</w:t>
      </w:r>
      <w:r w:rsidRPr="00232A3F">
        <w:rPr>
          <w:lang w:val="en-US"/>
        </w:rPr>
        <w:t>, t. II, kol. 521.</w:t>
      </w:r>
    </w:p>
  </w:footnote>
  <w:footnote w:id="11">
    <w:p w14:paraId="224A2E0C" w14:textId="76AE0DDD" w:rsidR="00F164A1" w:rsidRPr="000B250F" w:rsidRDefault="00F164A1" w:rsidP="00232A3F">
      <w:pPr>
        <w:pStyle w:val="FootnoteText"/>
        <w:jc w:val="both"/>
        <w:rPr>
          <w:lang w:val="ru-RU"/>
        </w:rPr>
      </w:pPr>
      <w:r w:rsidRPr="000B250F">
        <w:rPr>
          <w:rStyle w:val="FootnoteReference"/>
        </w:rPr>
        <w:footnoteRef/>
      </w:r>
      <w:r w:rsidRPr="000B250F">
        <w:rPr>
          <w:smallCaps/>
          <w:color w:val="000000"/>
        </w:rPr>
        <w:t xml:space="preserve"> </w:t>
      </w:r>
      <w:r w:rsidR="00232A3F">
        <w:t>Tertulian</w:t>
      </w:r>
      <w:r w:rsidRPr="000B250F">
        <w:rPr>
          <w:smallCaps/>
          <w:color w:val="000000"/>
        </w:rPr>
        <w:t>,</w:t>
      </w:r>
      <w:r w:rsidRPr="000B250F">
        <w:t xml:space="preserve"> </w:t>
      </w:r>
      <w:r w:rsidRPr="000B250F">
        <w:rPr>
          <w:i/>
        </w:rPr>
        <w:t>O chrzcie</w:t>
      </w:r>
      <w:r w:rsidRPr="000B250F">
        <w:t>, w: J.</w:t>
      </w:r>
      <w:r w:rsidR="00232A3F">
        <w:t xml:space="preserve"> Słomka</w:t>
      </w:r>
      <w:r w:rsidRPr="000B250F">
        <w:t xml:space="preserve"> (opr.), </w:t>
      </w:r>
      <w:r w:rsidRPr="000B250F">
        <w:rPr>
          <w:i/>
        </w:rPr>
        <w:t>Chrzest i pokuta w Kościele pierwotnym. Antologia tekstów I-III w.</w:t>
      </w:r>
      <w:r w:rsidRPr="000B250F">
        <w:t>, Kraków 2004, s. 161.</w:t>
      </w:r>
    </w:p>
  </w:footnote>
  <w:footnote w:id="12">
    <w:p w14:paraId="12D555D5" w14:textId="77777777" w:rsidR="00F164A1" w:rsidRPr="000B250F" w:rsidRDefault="00F164A1" w:rsidP="00F164A1">
      <w:pPr>
        <w:pStyle w:val="FootnoteText"/>
        <w:jc w:val="both"/>
      </w:pPr>
      <w:r w:rsidRPr="000B250F">
        <w:rPr>
          <w:rStyle w:val="FootnoteReference"/>
        </w:rPr>
        <w:footnoteRef/>
      </w:r>
      <w:r w:rsidRPr="000B250F">
        <w:t xml:space="preserve"> </w:t>
      </w:r>
      <w:r w:rsidRPr="000B250F">
        <w:rPr>
          <w:iCs/>
        </w:rPr>
        <w:t>Tamże, s. 166</w:t>
      </w:r>
    </w:p>
  </w:footnote>
  <w:footnote w:id="13">
    <w:p w14:paraId="1D4A8D32" w14:textId="28860FEB" w:rsidR="00F164A1" w:rsidRPr="00514C5C" w:rsidRDefault="00F164A1" w:rsidP="00232A3F">
      <w:pPr>
        <w:pStyle w:val="FootnoteText"/>
        <w:jc w:val="both"/>
      </w:pPr>
      <w:r w:rsidRPr="000B250F">
        <w:rPr>
          <w:rStyle w:val="FootnoteReference"/>
        </w:rPr>
        <w:footnoteRef/>
      </w:r>
      <w:r w:rsidRPr="00514C5C">
        <w:t xml:space="preserve"> </w:t>
      </w:r>
      <w:r w:rsidR="00232A3F" w:rsidRPr="00514C5C">
        <w:t>Tertulian</w:t>
      </w:r>
      <w:r w:rsidRPr="00514C5C">
        <w:rPr>
          <w:smallCaps/>
          <w:color w:val="000000"/>
        </w:rPr>
        <w:t>,</w:t>
      </w:r>
      <w:r w:rsidRPr="00514C5C">
        <w:t xml:space="preserve"> </w:t>
      </w:r>
      <w:r w:rsidRPr="00514C5C">
        <w:rPr>
          <w:i/>
        </w:rPr>
        <w:t xml:space="preserve">De baptismo, </w:t>
      </w:r>
      <w:r w:rsidRPr="00514C5C">
        <w:t>CV 20,206, EP 304.</w:t>
      </w:r>
    </w:p>
  </w:footnote>
  <w:footnote w:id="14">
    <w:p w14:paraId="50176F36" w14:textId="1D32EDBD" w:rsidR="00F164A1" w:rsidRPr="000B250F" w:rsidRDefault="00F164A1" w:rsidP="00102354">
      <w:pPr>
        <w:pStyle w:val="FootnoteText"/>
        <w:jc w:val="both"/>
        <w:rPr>
          <w:lang w:val="en-GB"/>
        </w:rPr>
      </w:pPr>
      <w:r w:rsidRPr="000B250F">
        <w:rPr>
          <w:rStyle w:val="FootnoteReference"/>
        </w:rPr>
        <w:footnoteRef/>
      </w:r>
      <w:r w:rsidRPr="000B250F">
        <w:rPr>
          <w:lang w:val="en-GB"/>
        </w:rPr>
        <w:t xml:space="preserve"> </w:t>
      </w:r>
      <w:r w:rsidRPr="000B250F">
        <w:rPr>
          <w:iCs/>
          <w:lang w:val="en-US"/>
        </w:rPr>
        <w:t>Tam</w:t>
      </w:r>
      <w:r w:rsidRPr="000B250F">
        <w:rPr>
          <w:iCs/>
          <w:lang w:val="en-GB"/>
        </w:rPr>
        <w:t>ż</w:t>
      </w:r>
      <w:r w:rsidRPr="000B250F">
        <w:rPr>
          <w:iCs/>
          <w:lang w:val="en-US"/>
        </w:rPr>
        <w:t>e</w:t>
      </w:r>
      <w:r w:rsidRPr="000B250F">
        <w:rPr>
          <w:lang w:val="en-GB"/>
        </w:rPr>
        <w:t xml:space="preserve">, </w:t>
      </w:r>
      <w:r w:rsidRPr="000B250F">
        <w:rPr>
          <w:lang w:val="en-US"/>
        </w:rPr>
        <w:t>CV</w:t>
      </w:r>
      <w:r w:rsidRPr="000B250F">
        <w:rPr>
          <w:lang w:val="en-GB"/>
        </w:rPr>
        <w:t xml:space="preserve"> 47,36, </w:t>
      </w:r>
      <w:r w:rsidRPr="000B250F">
        <w:rPr>
          <w:lang w:val="en-US"/>
        </w:rPr>
        <w:t>EP</w:t>
      </w:r>
      <w:r w:rsidRPr="000B250F">
        <w:rPr>
          <w:lang w:val="en-GB"/>
        </w:rPr>
        <w:t xml:space="preserve"> 362; </w:t>
      </w:r>
      <w:r w:rsidRPr="000B250F">
        <w:rPr>
          <w:lang w:val="en-US"/>
        </w:rPr>
        <w:t>zob</w:t>
      </w:r>
      <w:r w:rsidRPr="000B250F">
        <w:rPr>
          <w:lang w:val="en-GB"/>
        </w:rPr>
        <w:t xml:space="preserve">. </w:t>
      </w:r>
      <w:r w:rsidR="00102354">
        <w:rPr>
          <w:lang w:val="it-IT"/>
        </w:rPr>
        <w:t>Bishop Mattaous,</w:t>
      </w:r>
      <w:r w:rsidR="00102354" w:rsidRPr="000B250F">
        <w:rPr>
          <w:lang w:val="en-US"/>
        </w:rPr>
        <w:t xml:space="preserve"> </w:t>
      </w:r>
      <w:r w:rsidRPr="000B250F">
        <w:rPr>
          <w:i/>
          <w:lang w:val="en-US"/>
        </w:rPr>
        <w:t>Sacramental Rites</w:t>
      </w:r>
      <w:r w:rsidRPr="000B250F">
        <w:rPr>
          <w:i/>
          <w:lang w:val="en-GB"/>
        </w:rPr>
        <w:t>…,</w:t>
      </w:r>
      <w:r w:rsidRPr="000B250F">
        <w:rPr>
          <w:lang w:val="en-GB"/>
        </w:rPr>
        <w:t xml:space="preserve"> </w:t>
      </w:r>
      <w:r w:rsidRPr="000B250F">
        <w:rPr>
          <w:lang w:val="en-US"/>
        </w:rPr>
        <w:t>s</w:t>
      </w:r>
      <w:r w:rsidRPr="000B250F">
        <w:rPr>
          <w:lang w:val="en-GB"/>
        </w:rPr>
        <w:t>. 5.</w:t>
      </w:r>
    </w:p>
  </w:footnote>
  <w:footnote w:id="15">
    <w:p w14:paraId="2E123F5D" w14:textId="53478B66" w:rsidR="00F164A1" w:rsidRPr="000B250F" w:rsidRDefault="00F164A1" w:rsidP="00102354">
      <w:pPr>
        <w:pStyle w:val="FootnoteText"/>
        <w:jc w:val="both"/>
        <w:rPr>
          <w:lang w:val="en-US"/>
        </w:rPr>
      </w:pPr>
      <w:r w:rsidRPr="000B250F">
        <w:rPr>
          <w:rStyle w:val="FootnoteReference"/>
        </w:rPr>
        <w:footnoteRef/>
      </w:r>
      <w:r w:rsidRPr="000B250F">
        <w:rPr>
          <w:lang w:val="en-GB"/>
        </w:rPr>
        <w:t xml:space="preserve"> </w:t>
      </w:r>
      <w:r w:rsidR="00102354">
        <w:rPr>
          <w:lang w:val="en-GB"/>
        </w:rPr>
        <w:t>Cyprian</w:t>
      </w:r>
      <w:r w:rsidRPr="000B250F">
        <w:rPr>
          <w:lang w:val="en-GB"/>
        </w:rPr>
        <w:t xml:space="preserve">, </w:t>
      </w:r>
      <w:r w:rsidRPr="000B250F">
        <w:rPr>
          <w:i/>
          <w:lang w:val="en-US"/>
        </w:rPr>
        <w:t>Epist</w:t>
      </w:r>
      <w:r w:rsidRPr="000B250F">
        <w:rPr>
          <w:lang w:val="en-GB"/>
        </w:rPr>
        <w:t xml:space="preserve">. </w:t>
      </w:r>
      <w:r w:rsidRPr="000B250F">
        <w:rPr>
          <w:lang w:val="en-US"/>
        </w:rPr>
        <w:t xml:space="preserve">74,7, CV 3, 2, 804, zob. </w:t>
      </w:r>
      <w:r w:rsidR="00102354">
        <w:rPr>
          <w:lang w:val="it-IT"/>
        </w:rPr>
        <w:t>Bishop Mattaous,</w:t>
      </w:r>
      <w:r w:rsidR="00102354" w:rsidRPr="000B250F">
        <w:rPr>
          <w:lang w:val="en-US"/>
        </w:rPr>
        <w:t xml:space="preserve"> </w:t>
      </w:r>
      <w:r w:rsidRPr="000B250F">
        <w:rPr>
          <w:i/>
          <w:lang w:val="en-US"/>
        </w:rPr>
        <w:t xml:space="preserve">Sacramental Rites…, </w:t>
      </w:r>
      <w:r w:rsidRPr="000B250F">
        <w:rPr>
          <w:iCs/>
          <w:lang w:val="en-US"/>
        </w:rPr>
        <w:t>s.</w:t>
      </w:r>
      <w:r w:rsidRPr="000B250F">
        <w:rPr>
          <w:lang w:val="en-US"/>
        </w:rPr>
        <w:t xml:space="preserve"> 5.</w:t>
      </w:r>
    </w:p>
  </w:footnote>
  <w:footnote w:id="16">
    <w:p w14:paraId="0D1596F9" w14:textId="0CB3F61C" w:rsidR="00F164A1" w:rsidRPr="000B250F" w:rsidRDefault="00F164A1" w:rsidP="00102354">
      <w:pPr>
        <w:pStyle w:val="FootnoteText"/>
        <w:jc w:val="both"/>
        <w:rPr>
          <w:lang w:val="en-US"/>
        </w:rPr>
      </w:pPr>
      <w:r w:rsidRPr="000B250F">
        <w:rPr>
          <w:rStyle w:val="FootnoteReference"/>
        </w:rPr>
        <w:footnoteRef/>
      </w:r>
      <w:r w:rsidRPr="000B250F">
        <w:rPr>
          <w:lang w:val="en-US"/>
        </w:rPr>
        <w:t xml:space="preserve"> </w:t>
      </w:r>
      <w:r w:rsidR="00102354">
        <w:rPr>
          <w:lang w:val="en-US"/>
        </w:rPr>
        <w:t>Cyprian</w:t>
      </w:r>
      <w:r w:rsidR="00102354">
        <w:rPr>
          <w:smallCaps/>
          <w:color w:val="000000"/>
          <w:lang w:val="en-US"/>
        </w:rPr>
        <w:t>,</w:t>
      </w:r>
      <w:r w:rsidRPr="000B250F">
        <w:rPr>
          <w:lang w:val="en-US"/>
        </w:rPr>
        <w:t xml:space="preserve"> </w:t>
      </w:r>
      <w:r w:rsidRPr="000B250F">
        <w:rPr>
          <w:i/>
          <w:lang w:val="en-US"/>
        </w:rPr>
        <w:t>Epist</w:t>
      </w:r>
      <w:r w:rsidRPr="000B250F">
        <w:rPr>
          <w:lang w:val="en-US"/>
        </w:rPr>
        <w:t>. 74,7, CV 3, 2, 788, EP 592.</w:t>
      </w:r>
    </w:p>
  </w:footnote>
  <w:footnote w:id="17">
    <w:p w14:paraId="104D8D2D" w14:textId="1C005214"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it-IT"/>
        </w:rPr>
        <w:t>Bishop Mattaous,</w:t>
      </w:r>
      <w:r w:rsidR="00232A3F" w:rsidRPr="000B250F">
        <w:rPr>
          <w:lang w:val="en-US"/>
        </w:rPr>
        <w:t xml:space="preserve"> </w:t>
      </w:r>
      <w:r w:rsidRPr="000B250F">
        <w:rPr>
          <w:i/>
          <w:lang w:val="en-US"/>
        </w:rPr>
        <w:t xml:space="preserve">Sacramental Rites…, </w:t>
      </w:r>
      <w:r w:rsidRPr="000B250F">
        <w:rPr>
          <w:lang w:val="en-US"/>
        </w:rPr>
        <w:t>s. 5.</w:t>
      </w:r>
    </w:p>
  </w:footnote>
  <w:footnote w:id="18">
    <w:p w14:paraId="0A2DAC1A" w14:textId="17F8C2EE" w:rsidR="00F164A1" w:rsidRPr="000B250F" w:rsidRDefault="00F164A1" w:rsidP="00102354">
      <w:pPr>
        <w:pStyle w:val="FootnoteText"/>
        <w:jc w:val="both"/>
        <w:rPr>
          <w:lang w:val="en-US"/>
        </w:rPr>
      </w:pPr>
      <w:r w:rsidRPr="000B250F">
        <w:rPr>
          <w:rStyle w:val="FootnoteReference"/>
        </w:rPr>
        <w:footnoteRef/>
      </w:r>
      <w:r w:rsidRPr="000B250F">
        <w:rPr>
          <w:lang w:val="en-US"/>
        </w:rPr>
        <w:t xml:space="preserve"> </w:t>
      </w:r>
      <w:r w:rsidR="00102354" w:rsidRPr="00D30578">
        <w:rPr>
          <w:lang w:val="en-US"/>
        </w:rPr>
        <w:t xml:space="preserve">Cyryl Jerozolimski, </w:t>
      </w:r>
      <w:r w:rsidRPr="000B250F">
        <w:rPr>
          <w:i/>
          <w:lang w:val="en-US"/>
        </w:rPr>
        <w:t>Catecheses</w:t>
      </w:r>
      <w:r w:rsidRPr="000B250F">
        <w:rPr>
          <w:lang w:val="en-US"/>
        </w:rPr>
        <w:t>, PG XXXIII, 985.</w:t>
      </w:r>
    </w:p>
  </w:footnote>
  <w:footnote w:id="19">
    <w:p w14:paraId="15301021" w14:textId="48A7D992" w:rsidR="00F164A1" w:rsidRPr="000B250F" w:rsidRDefault="00F164A1" w:rsidP="00102354">
      <w:pPr>
        <w:pStyle w:val="FootnoteText"/>
        <w:jc w:val="both"/>
        <w:rPr>
          <w:lang w:val="en-US"/>
        </w:rPr>
      </w:pPr>
      <w:r w:rsidRPr="000B250F">
        <w:rPr>
          <w:rStyle w:val="FootnoteReference"/>
        </w:rPr>
        <w:footnoteRef/>
      </w:r>
      <w:r w:rsidRPr="000B250F">
        <w:rPr>
          <w:lang w:val="en-US"/>
        </w:rPr>
        <w:t xml:space="preserve"> </w:t>
      </w:r>
      <w:r w:rsidRPr="000B250F">
        <w:rPr>
          <w:iCs/>
          <w:lang w:val="en-US"/>
        </w:rPr>
        <w:t>Tamże,</w:t>
      </w:r>
      <w:r w:rsidRPr="000B250F">
        <w:rPr>
          <w:lang w:val="en-US"/>
        </w:rPr>
        <w:t xml:space="preserve"> 1089. Zob. </w:t>
      </w:r>
      <w:r w:rsidR="00102354">
        <w:rPr>
          <w:lang w:val="it-IT"/>
        </w:rPr>
        <w:t>Bishop Mattaous,</w:t>
      </w:r>
      <w:r w:rsidR="00102354" w:rsidRPr="000B250F">
        <w:rPr>
          <w:lang w:val="en-US"/>
        </w:rPr>
        <w:t xml:space="preserve"> </w:t>
      </w:r>
      <w:r w:rsidRPr="000B250F">
        <w:rPr>
          <w:i/>
          <w:lang w:val="en-US"/>
        </w:rPr>
        <w:t xml:space="preserve">Sacramental Rites…, </w:t>
      </w:r>
      <w:r w:rsidRPr="000B250F">
        <w:rPr>
          <w:iCs/>
          <w:lang w:val="en-US"/>
        </w:rPr>
        <w:t>s.</w:t>
      </w:r>
      <w:r w:rsidRPr="000B250F">
        <w:rPr>
          <w:lang w:val="en-US"/>
        </w:rPr>
        <w:t xml:space="preserve"> 5.</w:t>
      </w:r>
    </w:p>
  </w:footnote>
  <w:footnote w:id="20">
    <w:p w14:paraId="6FE77BAE" w14:textId="64B42156"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en-US"/>
        </w:rPr>
        <w:t>Shenouda III</w:t>
      </w:r>
      <w:r w:rsidRPr="000B250F">
        <w:rPr>
          <w:lang w:val="en-US"/>
        </w:rPr>
        <w:t xml:space="preserve">, </w:t>
      </w:r>
      <w:r w:rsidRPr="000B250F">
        <w:rPr>
          <w:bCs/>
          <w:i/>
          <w:lang w:val="en-US"/>
        </w:rPr>
        <w:t>Comparative Theology</w:t>
      </w:r>
      <w:r w:rsidRPr="000B250F">
        <w:rPr>
          <w:bCs/>
          <w:lang w:val="en-US"/>
        </w:rPr>
        <w:t>, s. 140.</w:t>
      </w:r>
    </w:p>
  </w:footnote>
  <w:footnote w:id="21">
    <w:p w14:paraId="1E80BD2C" w14:textId="2E0D146D"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it-IT"/>
        </w:rPr>
        <w:t>Bishop Mattaous,</w:t>
      </w:r>
      <w:r w:rsidR="00232A3F" w:rsidRPr="000B250F">
        <w:rPr>
          <w:lang w:val="en-US"/>
        </w:rPr>
        <w:t xml:space="preserve"> </w:t>
      </w:r>
      <w:r w:rsidRPr="000B250F">
        <w:rPr>
          <w:i/>
          <w:lang w:val="en-US"/>
        </w:rPr>
        <w:t xml:space="preserve">Sacramental Rites…, </w:t>
      </w:r>
      <w:r w:rsidRPr="000B250F">
        <w:rPr>
          <w:iCs/>
          <w:lang w:val="en-US"/>
        </w:rPr>
        <w:t>s.</w:t>
      </w:r>
      <w:r w:rsidRPr="000B250F">
        <w:rPr>
          <w:lang w:val="en-US"/>
        </w:rPr>
        <w:t xml:space="preserve"> 3.</w:t>
      </w:r>
    </w:p>
  </w:footnote>
  <w:footnote w:id="22">
    <w:p w14:paraId="4BE5F74F" w14:textId="77777777" w:rsidR="00F164A1" w:rsidRPr="000B250F" w:rsidRDefault="00F164A1" w:rsidP="00F164A1">
      <w:pPr>
        <w:pStyle w:val="FootnoteText"/>
        <w:jc w:val="both"/>
        <w:rPr>
          <w:lang w:val="en-US"/>
        </w:rPr>
      </w:pPr>
      <w:r w:rsidRPr="000B250F">
        <w:rPr>
          <w:rStyle w:val="FootnoteReference"/>
        </w:rPr>
        <w:footnoteRef/>
      </w:r>
      <w:r w:rsidRPr="000B250F">
        <w:rPr>
          <w:lang w:val="en-US"/>
        </w:rPr>
        <w:t xml:space="preserve"> </w:t>
      </w:r>
      <w:r w:rsidRPr="000B250F">
        <w:rPr>
          <w:iCs/>
          <w:lang w:val="en-US"/>
        </w:rPr>
        <w:t>Tamże,</w:t>
      </w:r>
      <w:r w:rsidRPr="000B250F">
        <w:rPr>
          <w:lang w:val="en-US"/>
        </w:rPr>
        <w:t xml:space="preserve"> s. 4.</w:t>
      </w:r>
    </w:p>
  </w:footnote>
  <w:footnote w:id="23">
    <w:p w14:paraId="504D5FA0" w14:textId="14D940AD" w:rsidR="00F164A1" w:rsidRPr="000B250F" w:rsidRDefault="00F164A1" w:rsidP="00102354">
      <w:pPr>
        <w:pStyle w:val="FootnoteText"/>
        <w:jc w:val="both"/>
        <w:rPr>
          <w:lang w:val="en-US"/>
        </w:rPr>
      </w:pPr>
      <w:r w:rsidRPr="000B250F">
        <w:rPr>
          <w:rStyle w:val="FootnoteReference"/>
        </w:rPr>
        <w:footnoteRef/>
      </w:r>
      <w:r w:rsidRPr="000B250F">
        <w:rPr>
          <w:lang w:val="en-US"/>
        </w:rPr>
        <w:t xml:space="preserve"> </w:t>
      </w:r>
      <w:r w:rsidR="00102354">
        <w:rPr>
          <w:lang w:val="en-US"/>
        </w:rPr>
        <w:t>Coptic Orthodox Diocese of the Southern United States</w:t>
      </w:r>
      <w:r w:rsidR="00102354" w:rsidRPr="000B250F">
        <w:rPr>
          <w:lang w:val="en-US"/>
        </w:rPr>
        <w:t>,</w:t>
      </w:r>
      <w:r w:rsidRPr="000B250F">
        <w:rPr>
          <w:lang w:val="en-US"/>
        </w:rPr>
        <w:t xml:space="preserve"> </w:t>
      </w:r>
      <w:r w:rsidRPr="000B250F">
        <w:rPr>
          <w:i/>
          <w:lang w:val="en-US"/>
        </w:rPr>
        <w:t>Rit 102. Rituals of Sacraments</w:t>
      </w:r>
      <w:r w:rsidRPr="000B250F">
        <w:rPr>
          <w:lang w:val="en-US"/>
        </w:rPr>
        <w:t>, New York 2006, s. 7.</w:t>
      </w:r>
    </w:p>
  </w:footnote>
  <w:footnote w:id="24">
    <w:p w14:paraId="435A535E" w14:textId="35C3C8C0" w:rsidR="00F164A1" w:rsidRPr="000B250F" w:rsidRDefault="00F164A1" w:rsidP="00102354">
      <w:pPr>
        <w:pStyle w:val="FootnoteText"/>
        <w:jc w:val="both"/>
        <w:rPr>
          <w:lang w:val="en-US"/>
        </w:rPr>
      </w:pPr>
      <w:r w:rsidRPr="000B250F">
        <w:rPr>
          <w:rStyle w:val="FootnoteReference"/>
        </w:rPr>
        <w:footnoteRef/>
      </w:r>
      <w:r w:rsidRPr="000B250F">
        <w:rPr>
          <w:lang w:val="en-US"/>
        </w:rPr>
        <w:t xml:space="preserve"> F. </w:t>
      </w:r>
      <w:r w:rsidR="00102354">
        <w:rPr>
          <w:lang w:val="en-US"/>
        </w:rPr>
        <w:t>Megally</w:t>
      </w:r>
      <w:r w:rsidRPr="000B250F">
        <w:rPr>
          <w:lang w:val="en-US"/>
        </w:rPr>
        <w:t xml:space="preserve"> </w:t>
      </w:r>
      <w:r w:rsidRPr="000B250F">
        <w:rPr>
          <w:i/>
          <w:lang w:val="en-US"/>
        </w:rPr>
        <w:t>Chrism</w:t>
      </w:r>
      <w:r w:rsidRPr="000B250F">
        <w:rPr>
          <w:lang w:val="en-US"/>
        </w:rPr>
        <w:t>, kol. 523.</w:t>
      </w:r>
    </w:p>
  </w:footnote>
  <w:footnote w:id="25">
    <w:p w14:paraId="7B3D199B" w14:textId="02FA210C" w:rsidR="00F164A1" w:rsidRPr="000B250F" w:rsidRDefault="00F164A1" w:rsidP="00232A3F">
      <w:pPr>
        <w:pStyle w:val="FootnoteText"/>
        <w:jc w:val="both"/>
        <w:rPr>
          <w:lang w:val="ru-RU"/>
        </w:rPr>
      </w:pPr>
      <w:r w:rsidRPr="000B250F">
        <w:rPr>
          <w:rStyle w:val="FootnoteReference"/>
        </w:rPr>
        <w:footnoteRef/>
      </w:r>
      <w:r w:rsidRPr="00232A3F">
        <w:rPr>
          <w:lang w:val="en-US"/>
        </w:rPr>
        <w:t xml:space="preserve"> </w:t>
      </w:r>
      <w:r w:rsidR="00232A3F">
        <w:rPr>
          <w:lang w:val="it-IT"/>
        </w:rPr>
        <w:t>Bishop Mattaous,</w:t>
      </w:r>
      <w:r w:rsidR="00232A3F" w:rsidRPr="000B250F">
        <w:rPr>
          <w:lang w:val="en-US"/>
        </w:rPr>
        <w:t xml:space="preserve"> </w:t>
      </w:r>
      <w:r w:rsidRPr="00232A3F">
        <w:rPr>
          <w:i/>
          <w:lang w:val="en-US"/>
        </w:rPr>
        <w:t xml:space="preserve">Sacramental Rites…, </w:t>
      </w:r>
      <w:r w:rsidRPr="00232A3F">
        <w:rPr>
          <w:iCs/>
          <w:lang w:val="en-US"/>
        </w:rPr>
        <w:t>s.</w:t>
      </w:r>
      <w:r w:rsidRPr="00232A3F">
        <w:rPr>
          <w:lang w:val="en-US"/>
        </w:rPr>
        <w:t xml:space="preserve"> 4.</w:t>
      </w:r>
    </w:p>
  </w:footnote>
  <w:footnote w:id="26">
    <w:p w14:paraId="720C550E" w14:textId="148E7554" w:rsidR="00F164A1" w:rsidRPr="000B250F" w:rsidRDefault="00F164A1" w:rsidP="00102354">
      <w:pPr>
        <w:pStyle w:val="FootnoteText"/>
        <w:jc w:val="both"/>
        <w:rPr>
          <w:lang w:val="en-US"/>
        </w:rPr>
      </w:pPr>
      <w:r w:rsidRPr="000B250F">
        <w:rPr>
          <w:rStyle w:val="FootnoteReference"/>
        </w:rPr>
        <w:footnoteRef/>
      </w:r>
      <w:r w:rsidRPr="000B250F">
        <w:t xml:space="preserve"> K.</w:t>
      </w:r>
      <w:r w:rsidR="00102354">
        <w:t xml:space="preserve"> Halkowicz</w:t>
      </w:r>
      <w:r w:rsidRPr="000B250F">
        <w:t xml:space="preserve">, </w:t>
      </w:r>
      <w:r w:rsidRPr="000B250F">
        <w:rPr>
          <w:i/>
        </w:rPr>
        <w:t>Sakrament chrztu świętego w teologii Ortodoksyjnego Kościoła Koptyjskiego</w:t>
      </w:r>
      <w:r w:rsidRPr="000B250F">
        <w:t xml:space="preserve">, </w:t>
      </w:r>
      <w:r w:rsidRPr="000B250F">
        <w:br/>
        <w:t xml:space="preserve">w: </w:t>
      </w:r>
      <w:r w:rsidR="00102354">
        <w:t xml:space="preserve">B. Ferdek, J.M. Lipniak, </w:t>
      </w:r>
      <w:r w:rsidRPr="000B250F">
        <w:rPr>
          <w:i/>
        </w:rPr>
        <w:t xml:space="preserve">„Jeden jest Pan, jedna wiara, jeden chrzest” (Ef 4,5). </w:t>
      </w:r>
      <w:r w:rsidRPr="000B250F">
        <w:rPr>
          <w:i/>
          <w:lang w:val="en-US"/>
        </w:rPr>
        <w:t>Chrzest symbolem wiary,</w:t>
      </w:r>
      <w:r w:rsidRPr="000B250F">
        <w:rPr>
          <w:lang w:val="en-US"/>
        </w:rPr>
        <w:t xml:space="preserve"> Wrocław 2016.</w:t>
      </w:r>
    </w:p>
  </w:footnote>
  <w:footnote w:id="27">
    <w:p w14:paraId="5E27DCC4" w14:textId="37CF3B1D"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it-IT"/>
        </w:rPr>
        <w:t>Bishop Mattaous,</w:t>
      </w:r>
      <w:r w:rsidR="00232A3F" w:rsidRPr="000B250F">
        <w:rPr>
          <w:lang w:val="en-US"/>
        </w:rPr>
        <w:t xml:space="preserve"> </w:t>
      </w:r>
      <w:r w:rsidRPr="000B250F">
        <w:rPr>
          <w:i/>
          <w:lang w:val="en-US"/>
        </w:rPr>
        <w:t xml:space="preserve">Sacramental Rites…, </w:t>
      </w:r>
      <w:r w:rsidRPr="000B250F">
        <w:rPr>
          <w:iCs/>
          <w:lang w:val="en-US"/>
        </w:rPr>
        <w:t xml:space="preserve">s. </w:t>
      </w:r>
      <w:r w:rsidRPr="000B250F">
        <w:rPr>
          <w:lang w:val="en-US"/>
        </w:rPr>
        <w:t>6.</w:t>
      </w:r>
    </w:p>
  </w:footnote>
  <w:footnote w:id="28">
    <w:p w14:paraId="3A4D2D96" w14:textId="66DA6B54" w:rsidR="00F164A1" w:rsidRPr="000B250F" w:rsidRDefault="00F164A1" w:rsidP="00102354">
      <w:pPr>
        <w:pStyle w:val="FootnoteText"/>
        <w:jc w:val="both"/>
        <w:rPr>
          <w:lang w:val="en-US"/>
        </w:rPr>
      </w:pPr>
      <w:r w:rsidRPr="000B250F">
        <w:rPr>
          <w:rStyle w:val="FootnoteReference"/>
        </w:rPr>
        <w:footnoteRef/>
      </w:r>
      <w:r w:rsidRPr="000B250F">
        <w:rPr>
          <w:lang w:val="en-US"/>
        </w:rPr>
        <w:t xml:space="preserve"> </w:t>
      </w:r>
      <w:r w:rsidR="00102354">
        <w:rPr>
          <w:lang w:val="en-US"/>
        </w:rPr>
        <w:t>Coptic Orthodox Diocese of the Southern United States</w:t>
      </w:r>
      <w:r w:rsidR="00102354" w:rsidRPr="000B250F">
        <w:rPr>
          <w:lang w:val="en-US"/>
        </w:rPr>
        <w:t>,</w:t>
      </w:r>
      <w:r w:rsidRPr="000B250F">
        <w:rPr>
          <w:lang w:val="en-US"/>
        </w:rPr>
        <w:t xml:space="preserve"> </w:t>
      </w:r>
      <w:r w:rsidRPr="000B250F">
        <w:rPr>
          <w:i/>
          <w:lang w:val="en-US"/>
        </w:rPr>
        <w:t>Rit 102…</w:t>
      </w:r>
      <w:r w:rsidRPr="000B250F">
        <w:rPr>
          <w:lang w:val="en-US"/>
        </w:rPr>
        <w:t xml:space="preserve">, </w:t>
      </w:r>
      <w:r w:rsidRPr="000B250F">
        <w:rPr>
          <w:iCs/>
          <w:lang w:val="en-US"/>
        </w:rPr>
        <w:t>s.</w:t>
      </w:r>
      <w:r w:rsidRPr="000B250F">
        <w:rPr>
          <w:lang w:val="en-US"/>
        </w:rPr>
        <w:t xml:space="preserve"> 7.</w:t>
      </w:r>
    </w:p>
  </w:footnote>
  <w:footnote w:id="29">
    <w:p w14:paraId="3DDA99ED" w14:textId="517283E9"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it-IT"/>
        </w:rPr>
        <w:t>Bishop Mattaous,</w:t>
      </w:r>
      <w:r w:rsidR="00232A3F" w:rsidRPr="000B250F">
        <w:rPr>
          <w:lang w:val="en-US"/>
        </w:rPr>
        <w:t xml:space="preserve"> </w:t>
      </w:r>
      <w:r w:rsidRPr="000B250F">
        <w:rPr>
          <w:i/>
          <w:lang w:val="en-US"/>
        </w:rPr>
        <w:t xml:space="preserve">Sacramental Rites…, </w:t>
      </w:r>
      <w:r w:rsidRPr="000B250F">
        <w:rPr>
          <w:iCs/>
          <w:lang w:val="en-US"/>
        </w:rPr>
        <w:t>s.</w:t>
      </w:r>
      <w:r w:rsidRPr="000B250F">
        <w:rPr>
          <w:lang w:val="en-US"/>
        </w:rPr>
        <w:t xml:space="preserve"> 7.</w:t>
      </w:r>
    </w:p>
  </w:footnote>
  <w:footnote w:id="30">
    <w:p w14:paraId="064FE90D" w14:textId="77777777" w:rsidR="00F164A1" w:rsidRPr="000B250F" w:rsidRDefault="00F164A1" w:rsidP="00F164A1">
      <w:pPr>
        <w:pStyle w:val="FootnoteText"/>
        <w:jc w:val="both"/>
        <w:rPr>
          <w:lang w:val="en-US"/>
        </w:rPr>
      </w:pPr>
      <w:r w:rsidRPr="000B250F">
        <w:rPr>
          <w:rStyle w:val="FootnoteReference"/>
        </w:rPr>
        <w:footnoteRef/>
      </w:r>
      <w:r w:rsidRPr="000B250F">
        <w:rPr>
          <w:lang w:val="en-US"/>
        </w:rPr>
        <w:t xml:space="preserve"> </w:t>
      </w:r>
      <w:r w:rsidRPr="000B250F">
        <w:rPr>
          <w:iCs/>
          <w:lang w:val="en-US"/>
        </w:rPr>
        <w:t>Tamże,</w:t>
      </w:r>
      <w:r w:rsidRPr="000B250F">
        <w:rPr>
          <w:lang w:val="en-US"/>
        </w:rPr>
        <w:t xml:space="preserve"> </w:t>
      </w:r>
      <w:r w:rsidRPr="000B250F">
        <w:rPr>
          <w:iCs/>
          <w:lang w:val="en-US"/>
        </w:rPr>
        <w:t>s.</w:t>
      </w:r>
      <w:r w:rsidRPr="000B250F">
        <w:rPr>
          <w:lang w:val="en-US"/>
        </w:rPr>
        <w:t xml:space="preserve"> 8.</w:t>
      </w:r>
    </w:p>
  </w:footnote>
  <w:footnote w:id="31">
    <w:p w14:paraId="42AC43EE" w14:textId="42589CE6" w:rsidR="00F164A1" w:rsidRPr="000B250F" w:rsidRDefault="00F164A1" w:rsidP="00102354">
      <w:pPr>
        <w:pStyle w:val="FootnoteText"/>
        <w:jc w:val="both"/>
        <w:rPr>
          <w:lang w:val="en-US"/>
        </w:rPr>
      </w:pPr>
      <w:r w:rsidRPr="000B250F">
        <w:rPr>
          <w:rStyle w:val="FootnoteReference"/>
        </w:rPr>
        <w:footnoteRef/>
      </w:r>
      <w:r w:rsidRPr="000B250F">
        <w:rPr>
          <w:lang w:val="en-US"/>
        </w:rPr>
        <w:t xml:space="preserve"> </w:t>
      </w:r>
      <w:r w:rsidR="00102354">
        <w:rPr>
          <w:lang w:val="en-US"/>
        </w:rPr>
        <w:t>Coptic Orthodox Diocese of the Southern United States</w:t>
      </w:r>
      <w:r w:rsidR="00102354" w:rsidRPr="000B250F">
        <w:rPr>
          <w:lang w:val="en-US"/>
        </w:rPr>
        <w:t>,</w:t>
      </w:r>
      <w:r w:rsidRPr="000B250F">
        <w:rPr>
          <w:lang w:val="en-US"/>
        </w:rPr>
        <w:t xml:space="preserve"> </w:t>
      </w:r>
      <w:r w:rsidRPr="000B250F">
        <w:rPr>
          <w:i/>
          <w:lang w:val="en-US"/>
        </w:rPr>
        <w:t>Rit 102…</w:t>
      </w:r>
      <w:r w:rsidRPr="000B250F">
        <w:rPr>
          <w:lang w:val="en-US"/>
        </w:rPr>
        <w:t xml:space="preserve">, </w:t>
      </w:r>
      <w:r w:rsidRPr="000B250F">
        <w:rPr>
          <w:iCs/>
          <w:lang w:val="en-US"/>
        </w:rPr>
        <w:t>s.</w:t>
      </w:r>
      <w:r w:rsidRPr="000B250F">
        <w:rPr>
          <w:lang w:val="en-US"/>
        </w:rPr>
        <w:t xml:space="preserve"> 8.</w:t>
      </w:r>
    </w:p>
  </w:footnote>
  <w:footnote w:id="32">
    <w:p w14:paraId="65B6E1BE" w14:textId="4E95E5AF"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it-IT"/>
        </w:rPr>
        <w:t>Bishop Mattaous,</w:t>
      </w:r>
      <w:r w:rsidR="00232A3F" w:rsidRPr="000B250F">
        <w:rPr>
          <w:lang w:val="en-US"/>
        </w:rPr>
        <w:t xml:space="preserve"> </w:t>
      </w:r>
      <w:r w:rsidRPr="000B250F">
        <w:rPr>
          <w:i/>
          <w:lang w:val="en-US"/>
        </w:rPr>
        <w:t xml:space="preserve">Sacramental Rites…, </w:t>
      </w:r>
      <w:r w:rsidRPr="000B250F">
        <w:rPr>
          <w:iCs/>
          <w:lang w:val="en-US"/>
        </w:rPr>
        <w:t>s.</w:t>
      </w:r>
      <w:r w:rsidRPr="000B250F">
        <w:rPr>
          <w:lang w:val="en-US"/>
        </w:rPr>
        <w:t xml:space="preserve"> 8.</w:t>
      </w:r>
    </w:p>
  </w:footnote>
  <w:footnote w:id="33">
    <w:p w14:paraId="33FF1F86" w14:textId="2BBAFE9E" w:rsidR="00F164A1" w:rsidRPr="000B250F" w:rsidRDefault="00F164A1" w:rsidP="00102354">
      <w:pPr>
        <w:pStyle w:val="FootnoteText"/>
        <w:jc w:val="both"/>
        <w:rPr>
          <w:lang w:val="en-US"/>
        </w:rPr>
      </w:pPr>
      <w:r w:rsidRPr="000B250F">
        <w:rPr>
          <w:rStyle w:val="FootnoteReference"/>
        </w:rPr>
        <w:footnoteRef/>
      </w:r>
      <w:r w:rsidRPr="000B250F">
        <w:rPr>
          <w:lang w:val="en-US"/>
        </w:rPr>
        <w:t xml:space="preserve"> </w:t>
      </w:r>
      <w:r w:rsidR="00102354">
        <w:rPr>
          <w:lang w:val="en-US"/>
        </w:rPr>
        <w:t>Coptic Orthodox Diocese of the Southern United States</w:t>
      </w:r>
      <w:r w:rsidR="00102354" w:rsidRPr="000B250F">
        <w:rPr>
          <w:lang w:val="en-US"/>
        </w:rPr>
        <w:t xml:space="preserve">, </w:t>
      </w:r>
      <w:r w:rsidRPr="000B250F">
        <w:rPr>
          <w:i/>
          <w:lang w:val="en-US"/>
        </w:rPr>
        <w:t>Rit 102…</w:t>
      </w:r>
      <w:r w:rsidRPr="000B250F">
        <w:rPr>
          <w:lang w:val="en-US"/>
        </w:rPr>
        <w:t xml:space="preserve">, </w:t>
      </w:r>
      <w:r w:rsidRPr="000B250F">
        <w:rPr>
          <w:iCs/>
          <w:lang w:val="en-US"/>
        </w:rPr>
        <w:t xml:space="preserve">s. </w:t>
      </w:r>
      <w:r w:rsidRPr="000B250F">
        <w:rPr>
          <w:lang w:val="en-US"/>
        </w:rPr>
        <w:t>7.</w:t>
      </w:r>
    </w:p>
  </w:footnote>
  <w:footnote w:id="34">
    <w:p w14:paraId="5D6927ED" w14:textId="7BF9BE29"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it-IT"/>
        </w:rPr>
        <w:t>Bishop Mattaous,</w:t>
      </w:r>
      <w:r w:rsidR="00232A3F" w:rsidRPr="000B250F">
        <w:rPr>
          <w:lang w:val="en-US"/>
        </w:rPr>
        <w:t xml:space="preserve"> </w:t>
      </w:r>
      <w:r w:rsidRPr="000B250F">
        <w:rPr>
          <w:i/>
          <w:lang w:val="en-US"/>
        </w:rPr>
        <w:t>Sacramental Rites…,</w:t>
      </w:r>
      <w:r w:rsidRPr="000B250F">
        <w:rPr>
          <w:lang w:val="en-US"/>
        </w:rPr>
        <w:t xml:space="preserve"> </w:t>
      </w:r>
      <w:r w:rsidRPr="000B250F">
        <w:rPr>
          <w:iCs/>
          <w:lang w:val="en-US"/>
        </w:rPr>
        <w:t>s.</w:t>
      </w:r>
      <w:r w:rsidRPr="000B250F">
        <w:rPr>
          <w:lang w:val="en-US"/>
        </w:rPr>
        <w:t xml:space="preserve"> 10.</w:t>
      </w:r>
    </w:p>
  </w:footnote>
  <w:footnote w:id="35">
    <w:p w14:paraId="262D9D8B" w14:textId="77777777" w:rsidR="00F164A1" w:rsidRPr="00D30578" w:rsidRDefault="00F164A1" w:rsidP="00F164A1">
      <w:pPr>
        <w:pStyle w:val="FootnoteText"/>
        <w:jc w:val="both"/>
        <w:rPr>
          <w:iCs/>
        </w:rPr>
      </w:pPr>
      <w:r w:rsidRPr="000B250F">
        <w:rPr>
          <w:rStyle w:val="FootnoteReference"/>
        </w:rPr>
        <w:footnoteRef/>
      </w:r>
      <w:r w:rsidRPr="00D30578">
        <w:t xml:space="preserve"> </w:t>
      </w:r>
      <w:r w:rsidRPr="00D30578">
        <w:rPr>
          <w:iCs/>
        </w:rPr>
        <w:t xml:space="preserve">Tamże. </w:t>
      </w:r>
    </w:p>
  </w:footnote>
  <w:footnote w:id="36">
    <w:p w14:paraId="3F01AD4C" w14:textId="77777777" w:rsidR="00F164A1" w:rsidRPr="00D30578" w:rsidRDefault="00F164A1" w:rsidP="00F164A1">
      <w:pPr>
        <w:pStyle w:val="FootnoteText"/>
        <w:jc w:val="both"/>
        <w:rPr>
          <w:iCs/>
        </w:rPr>
      </w:pPr>
      <w:r w:rsidRPr="000B250F">
        <w:rPr>
          <w:rStyle w:val="FootnoteReference"/>
        </w:rPr>
        <w:footnoteRef/>
      </w:r>
      <w:r w:rsidRPr="00D30578">
        <w:rPr>
          <w:iCs/>
        </w:rPr>
        <w:t xml:space="preserve"> Tamże. </w:t>
      </w:r>
    </w:p>
  </w:footnote>
  <w:footnote w:id="37">
    <w:p w14:paraId="3E62013E" w14:textId="77777777" w:rsidR="00F164A1" w:rsidRPr="00D30578" w:rsidRDefault="00F164A1" w:rsidP="00F164A1">
      <w:pPr>
        <w:pStyle w:val="FootnoteText"/>
        <w:jc w:val="both"/>
        <w:rPr>
          <w:iCs/>
        </w:rPr>
      </w:pPr>
      <w:r w:rsidRPr="000B250F">
        <w:rPr>
          <w:rStyle w:val="FootnoteReference"/>
        </w:rPr>
        <w:footnoteRef/>
      </w:r>
      <w:r w:rsidRPr="00D30578">
        <w:rPr>
          <w:iCs/>
        </w:rPr>
        <w:t xml:space="preserve"> Tamże. </w:t>
      </w:r>
    </w:p>
  </w:footnote>
  <w:footnote w:id="38">
    <w:p w14:paraId="50D6900C" w14:textId="77777777" w:rsidR="00F164A1" w:rsidRPr="00D30578" w:rsidRDefault="00F164A1" w:rsidP="00F164A1">
      <w:pPr>
        <w:pStyle w:val="FootnoteText"/>
        <w:jc w:val="both"/>
        <w:rPr>
          <w:iCs/>
        </w:rPr>
      </w:pPr>
      <w:r w:rsidRPr="000B250F">
        <w:rPr>
          <w:rStyle w:val="FootnoteReference"/>
        </w:rPr>
        <w:footnoteRef/>
      </w:r>
      <w:r w:rsidRPr="00D30578">
        <w:rPr>
          <w:iCs/>
        </w:rPr>
        <w:t xml:space="preserve"> Tamże, s. 10-11.</w:t>
      </w:r>
    </w:p>
  </w:footnote>
  <w:footnote w:id="39">
    <w:p w14:paraId="5261051C" w14:textId="77777777" w:rsidR="00F164A1" w:rsidRPr="000B250F" w:rsidRDefault="00F164A1" w:rsidP="00F164A1">
      <w:pPr>
        <w:pStyle w:val="FootnoteText"/>
        <w:jc w:val="both"/>
        <w:rPr>
          <w:lang w:val="en-US"/>
        </w:rPr>
      </w:pPr>
      <w:r w:rsidRPr="000B250F">
        <w:rPr>
          <w:rStyle w:val="FootnoteReference"/>
        </w:rPr>
        <w:footnoteRef/>
      </w:r>
      <w:r w:rsidRPr="000B250F">
        <w:rPr>
          <w:iCs/>
          <w:lang w:val="en-US"/>
        </w:rPr>
        <w:t xml:space="preserve"> Tamże,</w:t>
      </w:r>
      <w:r w:rsidRPr="000B250F">
        <w:rPr>
          <w:lang w:val="en-US"/>
        </w:rPr>
        <w:t xml:space="preserve"> </w:t>
      </w:r>
      <w:r w:rsidRPr="000B250F">
        <w:rPr>
          <w:iCs/>
          <w:lang w:val="en-US"/>
        </w:rPr>
        <w:t>s.</w:t>
      </w:r>
      <w:r w:rsidRPr="000B250F">
        <w:rPr>
          <w:lang w:val="en-US"/>
        </w:rPr>
        <w:t xml:space="preserve"> 11.</w:t>
      </w:r>
    </w:p>
  </w:footnote>
  <w:footnote w:id="40">
    <w:p w14:paraId="6F0DDA76" w14:textId="1567ED1F" w:rsidR="00F164A1" w:rsidRPr="000B250F" w:rsidRDefault="00F164A1" w:rsidP="00102354">
      <w:pPr>
        <w:pStyle w:val="FootnoteText"/>
        <w:jc w:val="both"/>
        <w:rPr>
          <w:lang w:val="en-US"/>
        </w:rPr>
      </w:pPr>
      <w:r w:rsidRPr="000B250F">
        <w:rPr>
          <w:rStyle w:val="FootnoteReference"/>
        </w:rPr>
        <w:footnoteRef/>
      </w:r>
      <w:r w:rsidRPr="000B250F">
        <w:rPr>
          <w:lang w:val="en-US"/>
        </w:rPr>
        <w:t xml:space="preserve"> </w:t>
      </w:r>
      <w:r w:rsidR="00102354">
        <w:rPr>
          <w:lang w:val="en-US"/>
        </w:rPr>
        <w:t>Coptic Orthodox Diocese of the Southern United States</w:t>
      </w:r>
      <w:r w:rsidRPr="000B250F">
        <w:rPr>
          <w:lang w:val="en-US"/>
        </w:rPr>
        <w:t xml:space="preserve">, </w:t>
      </w:r>
      <w:r w:rsidRPr="000B250F">
        <w:rPr>
          <w:i/>
          <w:lang w:val="en-US"/>
        </w:rPr>
        <w:t>Rit 102…</w:t>
      </w:r>
      <w:r w:rsidRPr="000B250F">
        <w:rPr>
          <w:lang w:val="en-US"/>
        </w:rPr>
        <w:t xml:space="preserve">, </w:t>
      </w:r>
      <w:r w:rsidRPr="000B250F">
        <w:rPr>
          <w:iCs/>
          <w:lang w:val="en-US"/>
        </w:rPr>
        <w:t>s.</w:t>
      </w:r>
      <w:r w:rsidRPr="000B250F">
        <w:rPr>
          <w:lang w:val="en-US"/>
        </w:rPr>
        <w:t xml:space="preserve"> 8.</w:t>
      </w:r>
    </w:p>
  </w:footnote>
  <w:footnote w:id="41">
    <w:p w14:paraId="0182D22A" w14:textId="444F1F46" w:rsidR="00F164A1" w:rsidRPr="000B250F" w:rsidRDefault="00F164A1" w:rsidP="00232A3F">
      <w:pPr>
        <w:pStyle w:val="FootnoteText"/>
        <w:tabs>
          <w:tab w:val="center" w:pos="4536"/>
        </w:tabs>
        <w:jc w:val="both"/>
        <w:rPr>
          <w:lang w:val="en-US"/>
        </w:rPr>
      </w:pPr>
      <w:r w:rsidRPr="000B250F">
        <w:rPr>
          <w:rStyle w:val="FootnoteReference"/>
        </w:rPr>
        <w:footnoteRef/>
      </w:r>
      <w:r w:rsidRPr="000B250F">
        <w:rPr>
          <w:lang w:val="en-US"/>
        </w:rPr>
        <w:t xml:space="preserve"> </w:t>
      </w:r>
      <w:r w:rsidR="00232A3F">
        <w:rPr>
          <w:lang w:val="it-IT"/>
        </w:rPr>
        <w:t>Bishop Mattaous,</w:t>
      </w:r>
      <w:r w:rsidR="00232A3F" w:rsidRPr="000B250F">
        <w:rPr>
          <w:lang w:val="en-US"/>
        </w:rPr>
        <w:t xml:space="preserve"> </w:t>
      </w:r>
      <w:r w:rsidRPr="000B250F">
        <w:rPr>
          <w:i/>
          <w:lang w:val="en-US"/>
        </w:rPr>
        <w:t xml:space="preserve">Sacramental Rites…, </w:t>
      </w:r>
      <w:r w:rsidRPr="000B250F">
        <w:rPr>
          <w:iCs/>
          <w:lang w:val="en-US"/>
        </w:rPr>
        <w:t>s.</w:t>
      </w:r>
      <w:r w:rsidRPr="000B250F">
        <w:rPr>
          <w:lang w:val="en-US"/>
        </w:rPr>
        <w:t xml:space="preserve"> 11.</w:t>
      </w:r>
      <w:r w:rsidRPr="000B250F">
        <w:rPr>
          <w:lang w:val="en-US"/>
        </w:rPr>
        <w:tab/>
      </w:r>
    </w:p>
  </w:footnote>
  <w:footnote w:id="42">
    <w:p w14:paraId="12C53AF3" w14:textId="1B475E9E" w:rsidR="00F164A1" w:rsidRPr="000B250F" w:rsidRDefault="00F164A1" w:rsidP="00102354">
      <w:pPr>
        <w:pStyle w:val="FootnoteText"/>
        <w:jc w:val="both"/>
        <w:rPr>
          <w:lang w:val="en-US"/>
        </w:rPr>
      </w:pPr>
      <w:r w:rsidRPr="000B250F">
        <w:rPr>
          <w:rStyle w:val="FootnoteReference"/>
        </w:rPr>
        <w:footnoteRef/>
      </w:r>
      <w:r w:rsidRPr="000B250F">
        <w:rPr>
          <w:lang w:val="en-US"/>
        </w:rPr>
        <w:t xml:space="preserve"> </w:t>
      </w:r>
      <w:r w:rsidR="00102354">
        <w:rPr>
          <w:lang w:val="en-US"/>
        </w:rPr>
        <w:t>Coptic Orthodox Diocese of the Southern United States</w:t>
      </w:r>
      <w:r w:rsidR="00102354" w:rsidRPr="000B250F">
        <w:rPr>
          <w:lang w:val="en-US"/>
        </w:rPr>
        <w:t>,</w:t>
      </w:r>
      <w:r w:rsidR="00102354">
        <w:rPr>
          <w:lang w:val="en-US"/>
        </w:rPr>
        <w:t xml:space="preserve"> </w:t>
      </w:r>
      <w:r w:rsidRPr="000B250F">
        <w:rPr>
          <w:i/>
          <w:lang w:val="en-US"/>
        </w:rPr>
        <w:t>Rit 102…</w:t>
      </w:r>
      <w:r w:rsidRPr="000B250F">
        <w:rPr>
          <w:lang w:val="en-US"/>
        </w:rPr>
        <w:t xml:space="preserve">, </w:t>
      </w:r>
      <w:r w:rsidRPr="000B250F">
        <w:rPr>
          <w:iCs/>
          <w:lang w:val="en-US"/>
        </w:rPr>
        <w:t>s.</w:t>
      </w:r>
      <w:r w:rsidRPr="000B250F">
        <w:rPr>
          <w:lang w:val="en-US"/>
        </w:rPr>
        <w:t xml:space="preserve"> 8.</w:t>
      </w:r>
    </w:p>
  </w:footnote>
  <w:footnote w:id="43">
    <w:p w14:paraId="33733DC4" w14:textId="18E81EF0"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it-IT"/>
        </w:rPr>
        <w:t>Bishop Mattaous,</w:t>
      </w:r>
      <w:r w:rsidR="00232A3F" w:rsidRPr="000B250F">
        <w:rPr>
          <w:lang w:val="en-US"/>
        </w:rPr>
        <w:t xml:space="preserve"> </w:t>
      </w:r>
      <w:r w:rsidRPr="000B250F">
        <w:rPr>
          <w:i/>
          <w:lang w:val="en-US"/>
        </w:rPr>
        <w:t xml:space="preserve">Sacramental Rites…, </w:t>
      </w:r>
      <w:r w:rsidRPr="000B250F">
        <w:rPr>
          <w:iCs/>
          <w:lang w:val="en-US"/>
        </w:rPr>
        <w:t>s.</w:t>
      </w:r>
      <w:r w:rsidRPr="000B250F">
        <w:rPr>
          <w:lang w:val="en-US"/>
        </w:rPr>
        <w:t xml:space="preserve"> 12.</w:t>
      </w:r>
    </w:p>
  </w:footnote>
  <w:footnote w:id="44">
    <w:p w14:paraId="6715641A" w14:textId="1FD11A79" w:rsidR="00F164A1" w:rsidRPr="000B250F" w:rsidRDefault="00F164A1" w:rsidP="00102354">
      <w:pPr>
        <w:pStyle w:val="FootnoteText"/>
        <w:jc w:val="both"/>
        <w:rPr>
          <w:lang w:val="en-US"/>
        </w:rPr>
      </w:pPr>
      <w:r w:rsidRPr="000B250F">
        <w:rPr>
          <w:rStyle w:val="FootnoteReference"/>
        </w:rPr>
        <w:footnoteRef/>
      </w:r>
      <w:r w:rsidRPr="000B250F">
        <w:rPr>
          <w:lang w:val="en-US"/>
        </w:rPr>
        <w:t xml:space="preserve"> </w:t>
      </w:r>
      <w:r w:rsidR="00102354">
        <w:rPr>
          <w:lang w:val="en-US"/>
        </w:rPr>
        <w:t>Coptic Orthodox Diocese of the Southern United States</w:t>
      </w:r>
      <w:r w:rsidR="00102354" w:rsidRPr="000B250F">
        <w:rPr>
          <w:lang w:val="en-US"/>
        </w:rPr>
        <w:t>,</w:t>
      </w:r>
      <w:r w:rsidRPr="000B250F">
        <w:rPr>
          <w:lang w:val="en-US"/>
        </w:rPr>
        <w:t xml:space="preserve"> </w:t>
      </w:r>
      <w:r w:rsidRPr="000B250F">
        <w:rPr>
          <w:i/>
          <w:lang w:val="en-US"/>
        </w:rPr>
        <w:t>Rit 102…</w:t>
      </w:r>
      <w:r w:rsidRPr="000B250F">
        <w:rPr>
          <w:lang w:val="en-US"/>
        </w:rPr>
        <w:t xml:space="preserve">, </w:t>
      </w:r>
      <w:r w:rsidRPr="000B250F">
        <w:rPr>
          <w:iCs/>
          <w:lang w:val="en-US"/>
        </w:rPr>
        <w:t>s.</w:t>
      </w:r>
      <w:r w:rsidRPr="000B250F">
        <w:rPr>
          <w:lang w:val="en-US"/>
        </w:rPr>
        <w:t xml:space="preserve"> 8.</w:t>
      </w:r>
    </w:p>
  </w:footnote>
  <w:footnote w:id="45">
    <w:p w14:paraId="3AAE1E1D" w14:textId="02D7828C" w:rsidR="00F164A1" w:rsidRPr="000B250F" w:rsidRDefault="00F164A1" w:rsidP="00232A3F">
      <w:pPr>
        <w:pStyle w:val="FootnoteText"/>
        <w:jc w:val="both"/>
        <w:rPr>
          <w:lang w:val="en-US"/>
        </w:rPr>
      </w:pPr>
      <w:r w:rsidRPr="000B250F">
        <w:rPr>
          <w:rStyle w:val="FootnoteReference"/>
        </w:rPr>
        <w:footnoteRef/>
      </w:r>
      <w:r w:rsidRPr="000B250F">
        <w:rPr>
          <w:lang w:val="en-US"/>
        </w:rPr>
        <w:t xml:space="preserve"> </w:t>
      </w:r>
      <w:r w:rsidR="00232A3F">
        <w:rPr>
          <w:lang w:val="it-IT"/>
        </w:rPr>
        <w:t>Bishop Mattaous,</w:t>
      </w:r>
      <w:r w:rsidR="00232A3F" w:rsidRPr="000B250F">
        <w:rPr>
          <w:lang w:val="en-US"/>
        </w:rPr>
        <w:t xml:space="preserve"> </w:t>
      </w:r>
      <w:r w:rsidRPr="000B250F">
        <w:rPr>
          <w:i/>
          <w:lang w:val="en-US"/>
        </w:rPr>
        <w:t xml:space="preserve">Sacramental Rites…, </w:t>
      </w:r>
      <w:r w:rsidRPr="000B250F">
        <w:rPr>
          <w:iCs/>
          <w:lang w:val="en-US"/>
        </w:rPr>
        <w:t>s.</w:t>
      </w:r>
      <w:r w:rsidRPr="000B250F">
        <w:rPr>
          <w:lang w:val="en-US"/>
        </w:rPr>
        <w:t xml:space="preserve"> 12.</w:t>
      </w:r>
    </w:p>
  </w:footnote>
  <w:footnote w:id="46">
    <w:p w14:paraId="44C60677" w14:textId="77777777" w:rsidR="00F164A1" w:rsidRPr="000B250F" w:rsidRDefault="00F164A1" w:rsidP="00F164A1">
      <w:pPr>
        <w:pStyle w:val="FootnoteText"/>
        <w:jc w:val="both"/>
        <w:rPr>
          <w:iCs/>
          <w:lang w:val="en-US"/>
        </w:rPr>
      </w:pPr>
      <w:r w:rsidRPr="000B250F">
        <w:rPr>
          <w:rStyle w:val="FootnoteReference"/>
        </w:rPr>
        <w:footnoteRef/>
      </w:r>
      <w:r w:rsidRPr="000B250F">
        <w:rPr>
          <w:lang w:val="en-US"/>
        </w:rPr>
        <w:t xml:space="preserve"> </w:t>
      </w:r>
      <w:r w:rsidRPr="000B250F">
        <w:rPr>
          <w:iCs/>
          <w:lang w:val="en-US"/>
        </w:rPr>
        <w:t xml:space="preserve">Tamże. </w:t>
      </w:r>
    </w:p>
  </w:footnote>
  <w:footnote w:id="47">
    <w:p w14:paraId="7BF2EB74" w14:textId="4E14138B" w:rsidR="00F164A1" w:rsidRPr="000B250F" w:rsidRDefault="00F164A1" w:rsidP="00102354">
      <w:pPr>
        <w:pStyle w:val="FootnoteText"/>
        <w:jc w:val="both"/>
        <w:rPr>
          <w:lang w:val="en-US"/>
        </w:rPr>
      </w:pPr>
      <w:r w:rsidRPr="000B250F">
        <w:rPr>
          <w:rStyle w:val="FootnoteReference"/>
        </w:rPr>
        <w:footnoteRef/>
      </w:r>
      <w:r w:rsidRPr="000B250F">
        <w:rPr>
          <w:lang w:val="en-US"/>
        </w:rPr>
        <w:t xml:space="preserve"> </w:t>
      </w:r>
      <w:r w:rsidR="00102354">
        <w:rPr>
          <w:lang w:val="en-US"/>
        </w:rPr>
        <w:t>Coptic Orthodox Diocese of the Southern United States</w:t>
      </w:r>
      <w:r w:rsidR="00102354" w:rsidRPr="000B250F">
        <w:rPr>
          <w:lang w:val="en-US"/>
        </w:rPr>
        <w:t>,</w:t>
      </w:r>
      <w:r w:rsidRPr="000B250F">
        <w:rPr>
          <w:lang w:val="en-US"/>
        </w:rPr>
        <w:t xml:space="preserve"> </w:t>
      </w:r>
      <w:r w:rsidRPr="000B250F">
        <w:rPr>
          <w:i/>
          <w:lang w:val="en-US"/>
        </w:rPr>
        <w:t>Rit 102…</w:t>
      </w:r>
      <w:r w:rsidRPr="000B250F">
        <w:rPr>
          <w:lang w:val="en-US"/>
        </w:rPr>
        <w:t xml:space="preserve">, </w:t>
      </w:r>
      <w:r w:rsidRPr="000B250F">
        <w:rPr>
          <w:iCs/>
          <w:lang w:val="en-US"/>
        </w:rPr>
        <w:t>s.</w:t>
      </w:r>
      <w:r w:rsidRPr="000B250F">
        <w:rPr>
          <w:lang w:val="en-US"/>
        </w:rPr>
        <w:t xml:space="preserve"> 8.</w:t>
      </w:r>
    </w:p>
  </w:footnote>
  <w:footnote w:id="48">
    <w:p w14:paraId="313FB462" w14:textId="49C0A3C5" w:rsidR="00F164A1" w:rsidRPr="000B250F" w:rsidRDefault="00F164A1" w:rsidP="00232A3F">
      <w:pPr>
        <w:pStyle w:val="FootnoteText"/>
        <w:jc w:val="both"/>
        <w:rPr>
          <w:lang w:val="ru-RU"/>
        </w:rPr>
      </w:pPr>
      <w:r w:rsidRPr="000B250F">
        <w:rPr>
          <w:rStyle w:val="FootnoteReference"/>
        </w:rPr>
        <w:footnoteRef/>
      </w:r>
      <w:r w:rsidRPr="00232A3F">
        <w:rPr>
          <w:lang w:val="en-US"/>
        </w:rPr>
        <w:t xml:space="preserve"> </w:t>
      </w:r>
      <w:r w:rsidR="00232A3F">
        <w:rPr>
          <w:lang w:val="it-IT"/>
        </w:rPr>
        <w:t>Bishop Mattaous,</w:t>
      </w:r>
      <w:r w:rsidR="00232A3F" w:rsidRPr="000B250F">
        <w:rPr>
          <w:lang w:val="en-US"/>
        </w:rPr>
        <w:t xml:space="preserve"> </w:t>
      </w:r>
      <w:r w:rsidRPr="00232A3F">
        <w:rPr>
          <w:i/>
          <w:lang w:val="en-US"/>
        </w:rPr>
        <w:t xml:space="preserve">Sacramental Rites…, </w:t>
      </w:r>
      <w:r w:rsidRPr="00232A3F">
        <w:rPr>
          <w:iCs/>
          <w:lang w:val="en-US"/>
        </w:rPr>
        <w:t>s.</w:t>
      </w:r>
      <w:r w:rsidRPr="00232A3F">
        <w:rPr>
          <w:lang w:val="en-US"/>
        </w:rPr>
        <w:t xml:space="preserve"> 13.</w:t>
      </w:r>
    </w:p>
  </w:footnote>
  <w:footnote w:id="49">
    <w:p w14:paraId="73F7D529" w14:textId="77777777" w:rsidR="00F164A1" w:rsidRPr="000B250F" w:rsidRDefault="00F164A1" w:rsidP="00F164A1">
      <w:pPr>
        <w:pStyle w:val="FootnoteText"/>
        <w:jc w:val="both"/>
        <w:rPr>
          <w:iCs/>
        </w:rPr>
      </w:pPr>
      <w:r w:rsidRPr="000B250F">
        <w:rPr>
          <w:rStyle w:val="FootnoteReference"/>
        </w:rPr>
        <w:footnoteRef/>
      </w:r>
      <w:r w:rsidRPr="000B250F">
        <w:t xml:space="preserve"> </w:t>
      </w:r>
      <w:r w:rsidRPr="000B250F">
        <w:rPr>
          <w:iCs/>
        </w:rPr>
        <w:t>Tamże, s. 14.</w:t>
      </w:r>
    </w:p>
  </w:footnote>
  <w:footnote w:id="50">
    <w:p w14:paraId="05B983A1" w14:textId="77777777" w:rsidR="00F164A1" w:rsidRPr="000B250F" w:rsidRDefault="00F164A1" w:rsidP="00F164A1">
      <w:pPr>
        <w:pStyle w:val="NoSpacing"/>
        <w:jc w:val="both"/>
        <w:rPr>
          <w:sz w:val="20"/>
          <w:szCs w:val="20"/>
        </w:rPr>
      </w:pPr>
      <w:r w:rsidRPr="000B250F">
        <w:rPr>
          <w:rStyle w:val="FootnoteReference"/>
          <w:sz w:val="20"/>
          <w:szCs w:val="20"/>
        </w:rPr>
        <w:footnoteRef/>
      </w:r>
      <w:r w:rsidRPr="000B250F">
        <w:rPr>
          <w:iCs/>
          <w:sz w:val="20"/>
          <w:szCs w:val="20"/>
        </w:rPr>
        <w:t xml:space="preserve"> Tamże.</w:t>
      </w:r>
    </w:p>
  </w:footnote>
  <w:footnote w:id="51">
    <w:p w14:paraId="38FB632C" w14:textId="05B21BDF" w:rsidR="00F164A1" w:rsidRPr="000B250F" w:rsidRDefault="00F164A1" w:rsidP="00232A3F">
      <w:pPr>
        <w:pStyle w:val="NoSpacing"/>
        <w:jc w:val="both"/>
        <w:rPr>
          <w:sz w:val="20"/>
          <w:szCs w:val="20"/>
          <w:lang w:eastAsia="pl-PL"/>
        </w:rPr>
      </w:pPr>
      <w:r w:rsidRPr="000B250F">
        <w:rPr>
          <w:rStyle w:val="FootnoteReference"/>
          <w:sz w:val="20"/>
          <w:szCs w:val="20"/>
        </w:rPr>
        <w:footnoteRef/>
      </w:r>
      <w:r w:rsidRPr="000B250F">
        <w:rPr>
          <w:sz w:val="20"/>
          <w:szCs w:val="20"/>
        </w:rPr>
        <w:t xml:space="preserve"> Zob. </w:t>
      </w:r>
      <w:r w:rsidRPr="000B250F">
        <w:rPr>
          <w:sz w:val="20"/>
          <w:szCs w:val="20"/>
          <w:lang w:eastAsia="pl-PL"/>
        </w:rPr>
        <w:t>M.</w:t>
      </w:r>
      <w:r w:rsidR="00232A3F">
        <w:rPr>
          <w:sz w:val="20"/>
          <w:szCs w:val="20"/>
          <w:lang w:eastAsia="pl-PL"/>
        </w:rPr>
        <w:t xml:space="preserve"> Blaza</w:t>
      </w:r>
      <w:r w:rsidRPr="000B250F">
        <w:rPr>
          <w:sz w:val="20"/>
          <w:szCs w:val="20"/>
          <w:lang w:eastAsia="pl-PL"/>
        </w:rPr>
        <w:t xml:space="preserve">, </w:t>
      </w:r>
      <w:r w:rsidRPr="000B250F">
        <w:rPr>
          <w:i/>
          <w:sz w:val="20"/>
          <w:szCs w:val="20"/>
          <w:lang w:eastAsia="pl-PL"/>
        </w:rPr>
        <w:t>Pneumatologiczno-rekoncyliacyjne znaczenie sakramentu bierzmowania w teologii katolickiej i prawosławnej – geneza i rozwój historyczny</w:t>
      </w:r>
      <w:r w:rsidRPr="000B250F">
        <w:rPr>
          <w:sz w:val="20"/>
          <w:szCs w:val="20"/>
          <w:lang w:eastAsia="pl-PL"/>
        </w:rPr>
        <w:t>,</w:t>
      </w:r>
      <w:r w:rsidRPr="000B250F">
        <w:rPr>
          <w:b/>
          <w:sz w:val="20"/>
          <w:szCs w:val="20"/>
          <w:lang w:eastAsia="pl-PL"/>
        </w:rPr>
        <w:t xml:space="preserve"> </w:t>
      </w:r>
      <w:r w:rsidRPr="000B250F">
        <w:rPr>
          <w:sz w:val="20"/>
          <w:szCs w:val="20"/>
          <w:lang w:eastAsia="pl-PL"/>
        </w:rPr>
        <w:t>„Studia Bobolanum” 1(2009), s. 111-155</w:t>
      </w:r>
    </w:p>
  </w:footnote>
  <w:footnote w:id="52">
    <w:p w14:paraId="1F1864DB" w14:textId="7E793A72" w:rsidR="00F164A1" w:rsidRPr="000B250F" w:rsidRDefault="00F164A1" w:rsidP="00232A3F">
      <w:pPr>
        <w:pStyle w:val="FootnoteText"/>
        <w:jc w:val="both"/>
        <w:rPr>
          <w:lang w:val="it-IT"/>
        </w:rPr>
      </w:pPr>
      <w:r w:rsidRPr="000B250F">
        <w:rPr>
          <w:rStyle w:val="FootnoteReference"/>
        </w:rPr>
        <w:footnoteRef/>
      </w:r>
      <w:r w:rsidRPr="000B250F">
        <w:rPr>
          <w:lang w:val="it-IT"/>
        </w:rPr>
        <w:t xml:space="preserve"> P.G. </w:t>
      </w:r>
      <w:r w:rsidR="00232A3F">
        <w:rPr>
          <w:lang w:val="it-IT"/>
        </w:rPr>
        <w:t>Gianazza</w:t>
      </w:r>
      <w:r w:rsidRPr="000B250F">
        <w:rPr>
          <w:lang w:val="it-IT"/>
        </w:rPr>
        <w:t xml:space="preserve">, </w:t>
      </w:r>
      <w:r w:rsidRPr="000B250F">
        <w:rPr>
          <w:i/>
          <w:lang w:val="it-IT"/>
        </w:rPr>
        <w:t>Temi di Teologia Orientale</w:t>
      </w:r>
      <w:r w:rsidRPr="000B250F">
        <w:rPr>
          <w:lang w:val="it-IT"/>
        </w:rPr>
        <w:t>, t. 1, Bologna 2010, s. 378.</w:t>
      </w:r>
    </w:p>
  </w:footnote>
  <w:footnote w:id="53">
    <w:p w14:paraId="05E1DF2F" w14:textId="6458FE4D" w:rsidR="00F164A1" w:rsidRPr="000B250F" w:rsidRDefault="00F164A1" w:rsidP="00232A3F">
      <w:pPr>
        <w:pStyle w:val="NoSpacing"/>
        <w:jc w:val="both"/>
        <w:rPr>
          <w:sz w:val="20"/>
          <w:szCs w:val="20"/>
          <w:lang w:val="it-IT"/>
        </w:rPr>
      </w:pPr>
      <w:r w:rsidRPr="000B250F">
        <w:rPr>
          <w:rStyle w:val="FootnoteReference"/>
          <w:sz w:val="20"/>
          <w:szCs w:val="20"/>
        </w:rPr>
        <w:footnoteRef/>
      </w:r>
      <w:r w:rsidRPr="000B250F">
        <w:rPr>
          <w:sz w:val="20"/>
          <w:szCs w:val="20"/>
          <w:lang w:val="it-IT"/>
        </w:rPr>
        <w:t xml:space="preserve"> </w:t>
      </w:r>
      <w:r w:rsidR="00232A3F">
        <w:rPr>
          <w:sz w:val="20"/>
          <w:szCs w:val="20"/>
          <w:lang w:val="it-IT"/>
        </w:rPr>
        <w:t xml:space="preserve">Bishop Mattaous, </w:t>
      </w:r>
      <w:r w:rsidRPr="000B250F">
        <w:rPr>
          <w:i/>
          <w:sz w:val="20"/>
          <w:szCs w:val="20"/>
          <w:lang w:val="it-IT"/>
        </w:rPr>
        <w:t xml:space="preserve">Sacramental Rites…, </w:t>
      </w:r>
      <w:r w:rsidRPr="000B250F">
        <w:rPr>
          <w:sz w:val="20"/>
          <w:szCs w:val="20"/>
          <w:lang w:val="it-IT"/>
        </w:rPr>
        <w:t>s. 15.</w:t>
      </w:r>
    </w:p>
  </w:footnote>
  <w:footnote w:id="54">
    <w:p w14:paraId="453BB556" w14:textId="77ACD3F2" w:rsidR="00F164A1" w:rsidRPr="000B250F" w:rsidRDefault="00F164A1" w:rsidP="00102354">
      <w:pPr>
        <w:pStyle w:val="FootnoteText"/>
        <w:jc w:val="both"/>
        <w:rPr>
          <w:lang w:val="it-IT"/>
        </w:rPr>
      </w:pPr>
      <w:r w:rsidRPr="000B250F">
        <w:rPr>
          <w:rStyle w:val="FootnoteReference"/>
        </w:rPr>
        <w:footnoteRef/>
      </w:r>
      <w:r w:rsidRPr="000B250F">
        <w:rPr>
          <w:lang w:val="it-IT"/>
        </w:rPr>
        <w:t xml:space="preserve"> </w:t>
      </w:r>
      <w:r w:rsidR="00102354">
        <w:rPr>
          <w:lang w:val="en-US"/>
        </w:rPr>
        <w:t>Archbishop Basilios</w:t>
      </w:r>
      <w:r w:rsidR="00102354" w:rsidRPr="000B250F">
        <w:rPr>
          <w:lang w:val="en-US"/>
        </w:rPr>
        <w:t>,</w:t>
      </w:r>
      <w:r w:rsidRPr="000B250F">
        <w:rPr>
          <w:lang w:val="it-IT"/>
        </w:rPr>
        <w:t xml:space="preserve"> </w:t>
      </w:r>
      <w:r w:rsidRPr="000B250F">
        <w:rPr>
          <w:i/>
          <w:lang w:val="it-IT"/>
        </w:rPr>
        <w:t>Confirmation</w:t>
      </w:r>
      <w:r w:rsidRPr="000B250F">
        <w:rPr>
          <w:lang w:val="it-IT"/>
        </w:rPr>
        <w:t>, kol. 586.</w:t>
      </w:r>
    </w:p>
  </w:footnote>
  <w:footnote w:id="55">
    <w:p w14:paraId="1EA884FA" w14:textId="77777777" w:rsidR="00F164A1" w:rsidRPr="000B250F" w:rsidRDefault="00F164A1" w:rsidP="00F164A1">
      <w:pPr>
        <w:pStyle w:val="FootnoteText"/>
        <w:jc w:val="both"/>
        <w:rPr>
          <w:lang w:val="it-IT"/>
        </w:rPr>
      </w:pPr>
      <w:r w:rsidRPr="000B250F">
        <w:rPr>
          <w:rStyle w:val="FootnoteReference"/>
        </w:rPr>
        <w:footnoteRef/>
      </w:r>
      <w:r w:rsidRPr="000B250F">
        <w:rPr>
          <w:lang w:val="it-IT"/>
        </w:rPr>
        <w:t xml:space="preserve"> Zob. Kan. 7. Synodu w Laodycei w: A. </w:t>
      </w:r>
      <w:r w:rsidRPr="000B250F">
        <w:rPr>
          <w:smallCaps/>
          <w:color w:val="000000"/>
          <w:lang w:val="it-IT"/>
        </w:rPr>
        <w:t>ZNOSKO</w:t>
      </w:r>
      <w:r w:rsidRPr="000B250F">
        <w:rPr>
          <w:lang w:val="it-IT"/>
        </w:rPr>
        <w:t xml:space="preserve">, </w:t>
      </w:r>
      <w:r w:rsidRPr="000B250F">
        <w:rPr>
          <w:i/>
          <w:lang w:val="it-IT"/>
        </w:rPr>
        <w:t>Kanony Kościoła prawosławnego</w:t>
      </w:r>
      <w:r w:rsidRPr="000B250F">
        <w:rPr>
          <w:lang w:val="it-IT"/>
        </w:rPr>
        <w:t xml:space="preserve">, t. I, Hajnówka 2000, s. 154. </w:t>
      </w:r>
    </w:p>
  </w:footnote>
  <w:footnote w:id="56">
    <w:p w14:paraId="42023167" w14:textId="46D577AA" w:rsidR="00F164A1" w:rsidRPr="000B250F" w:rsidRDefault="00F164A1" w:rsidP="00102354">
      <w:pPr>
        <w:pStyle w:val="FootnoteText"/>
        <w:jc w:val="both"/>
        <w:rPr>
          <w:lang w:val="ru-RU"/>
        </w:rPr>
      </w:pPr>
      <w:r w:rsidRPr="000B250F">
        <w:rPr>
          <w:rStyle w:val="FootnoteReference"/>
        </w:rPr>
        <w:footnoteRef/>
      </w:r>
      <w:r w:rsidRPr="00D30578">
        <w:t xml:space="preserve"> </w:t>
      </w:r>
      <w:r w:rsidR="00102354" w:rsidRPr="00D30578">
        <w:t>Archbishop Basilios,</w:t>
      </w:r>
      <w:r w:rsidRPr="00D30578">
        <w:t xml:space="preserve"> </w:t>
      </w:r>
      <w:r w:rsidRPr="00D30578">
        <w:rPr>
          <w:i/>
        </w:rPr>
        <w:t>Confirmation</w:t>
      </w:r>
      <w:r w:rsidRPr="00D30578">
        <w:t>, kol. 586.</w:t>
      </w:r>
    </w:p>
  </w:footnote>
  <w:footnote w:id="57">
    <w:p w14:paraId="692E1A4D" w14:textId="697E7677" w:rsidR="00F164A1" w:rsidRPr="000B250F" w:rsidRDefault="00F164A1" w:rsidP="00232A3F">
      <w:pPr>
        <w:pStyle w:val="FootnoteText"/>
        <w:jc w:val="both"/>
      </w:pPr>
      <w:r w:rsidRPr="000B250F">
        <w:rPr>
          <w:rStyle w:val="FootnoteReference"/>
        </w:rPr>
        <w:footnoteRef/>
      </w:r>
      <w:r w:rsidRPr="000B250F">
        <w:t xml:space="preserve"> </w:t>
      </w:r>
      <w:r w:rsidR="00232A3F">
        <w:t>I Sobór Konstantynopolitański, k</w:t>
      </w:r>
      <w:r w:rsidRPr="000B250F">
        <w:t>anon 7: “W jaki sposób należy przyjmować pozyskanych dla wiary ortodoksyjnej. Tych, którzy przychodzą do wiary ortodoksyjnej i uciekają od herezji, przyjmujemy według następującego porządku i sposobu. Arianie, macedonianie, sabatianie, nowacjanie, którzy nazywają siebie katharami [czystymi] i aristerami [«lewymi»], kwartodecymanie czy tetardyci i apolinaryści mają być przyjmowani, jeśli złożą pisemne oświadczenie, w którym wyrzekną się każdej herezji, która jest niezgodna z nauką świętego Kościoła Bożego, powszechnego i apostolskiego. Naznaczamy ich znakiem Krzyża namaszczając Krzyżmem świętym czoło, oczy, nozdrza, usta i uszy, a czyniąc znak Krzyża mówimy: Znak daru Ducha Świętego. Eunomian natomiast, którzy są ochrzczeni przez jedno zanurzenie w wodzie, montanistów, którzy tutaj są nazywani Frygami, sabelian, którzy w swym nauczaniu utożsamiają Ojca i Syna i inne jeszcze poważne błędy popełniają oraz wszystkich pozostałych heretyków (ponieważ jest ich tutaj wielu, szczególnie tych, którzy przybywają z kraju Galatów), tych wszystkich, gdy pragną przyjąć prawdziwą wiarę, przyjmujemy jak Hellenów, to znaczy jakby byli poganami. Pierwszego dnia czynimy ich chrześcijanami [czyli naznaczamy znakiem Krzyża], a drugiego dnia katechumenami, następnie, trzeciego dnia, egzorcyzujemy ich przez trzykrotne tchnienie na twarz i uszy. Potem zaś nauczamy ich i każemy im przez dłuższy czas przychodzić d</w:t>
      </w:r>
      <w:r w:rsidR="009A75B1">
        <w:t>o kościoła, aby słuchali Pisma Ś</w:t>
      </w:r>
      <w:r w:rsidRPr="000B250F">
        <w:t xml:space="preserve">więtego, dopiero potem udzielamy im chrztu”. </w:t>
      </w:r>
      <w:r w:rsidRPr="000B250F">
        <w:rPr>
          <w:i/>
        </w:rPr>
        <w:t>Dokumenty Soborów Powszechnych. Sobór Konstantynopolitański I</w:t>
      </w:r>
      <w:r w:rsidRPr="000B250F">
        <w:t xml:space="preserve">, Kraków 2003, </w:t>
      </w:r>
      <w:r w:rsidRPr="000B250F">
        <w:rPr>
          <w:iCs/>
        </w:rPr>
        <w:t>s.</w:t>
      </w:r>
      <w:r w:rsidRPr="000B250F">
        <w:t xml:space="preserve"> 65-95.</w:t>
      </w:r>
    </w:p>
  </w:footnote>
  <w:footnote w:id="58">
    <w:p w14:paraId="28B3ECAB" w14:textId="02CFD2D6" w:rsidR="00F164A1" w:rsidRPr="00232A3F" w:rsidRDefault="00F164A1" w:rsidP="00232A3F">
      <w:pPr>
        <w:pStyle w:val="FootnoteText"/>
        <w:jc w:val="both"/>
        <w:rPr>
          <w:lang w:val="en-US"/>
        </w:rPr>
      </w:pPr>
      <w:r w:rsidRPr="000B250F">
        <w:rPr>
          <w:rStyle w:val="FootnoteReference"/>
        </w:rPr>
        <w:footnoteRef/>
      </w:r>
      <w:r w:rsidRPr="00232A3F">
        <w:rPr>
          <w:lang w:val="en-US"/>
        </w:rPr>
        <w:t xml:space="preserve"> </w:t>
      </w:r>
      <w:r w:rsidR="00232A3F">
        <w:rPr>
          <w:lang w:val="it-IT"/>
        </w:rPr>
        <w:t>Bishop Mattaous,</w:t>
      </w:r>
      <w:r w:rsidR="00232A3F" w:rsidRPr="000B250F">
        <w:rPr>
          <w:lang w:val="en-US"/>
        </w:rPr>
        <w:t xml:space="preserve"> </w:t>
      </w:r>
      <w:r w:rsidRPr="00232A3F">
        <w:rPr>
          <w:i/>
          <w:lang w:val="en-US"/>
        </w:rPr>
        <w:t xml:space="preserve">Sacramental Rites…, </w:t>
      </w:r>
      <w:r w:rsidRPr="00232A3F">
        <w:rPr>
          <w:iCs/>
          <w:lang w:val="en-US"/>
        </w:rPr>
        <w:t>s.</w:t>
      </w:r>
      <w:r w:rsidRPr="00232A3F">
        <w:rPr>
          <w:lang w:val="en-US"/>
        </w:rPr>
        <w:t xml:space="preserve"> 15.</w:t>
      </w:r>
    </w:p>
  </w:footnote>
  <w:footnote w:id="59">
    <w:p w14:paraId="198B16CB" w14:textId="77777777" w:rsidR="00F164A1" w:rsidRPr="000B250F" w:rsidRDefault="00F164A1" w:rsidP="00F164A1">
      <w:pPr>
        <w:pStyle w:val="FootnoteText"/>
        <w:jc w:val="both"/>
        <w:rPr>
          <w:iCs/>
        </w:rPr>
      </w:pPr>
      <w:r w:rsidRPr="000B250F">
        <w:rPr>
          <w:rStyle w:val="FootnoteReference"/>
        </w:rPr>
        <w:footnoteRef/>
      </w:r>
      <w:r w:rsidRPr="000B250F">
        <w:t xml:space="preserve"> </w:t>
      </w:r>
      <w:r w:rsidRPr="000B250F">
        <w:rPr>
          <w:iCs/>
        </w:rPr>
        <w:t xml:space="preserve">Tamże, s. 17. </w:t>
      </w:r>
    </w:p>
  </w:footnote>
  <w:footnote w:id="60">
    <w:p w14:paraId="07F625D8" w14:textId="77777777" w:rsidR="00F164A1" w:rsidRPr="000B250F" w:rsidRDefault="00F164A1" w:rsidP="00F164A1">
      <w:pPr>
        <w:pStyle w:val="FootnoteText"/>
        <w:jc w:val="both"/>
        <w:rPr>
          <w:iCs/>
        </w:rPr>
      </w:pPr>
      <w:r w:rsidRPr="000B250F">
        <w:rPr>
          <w:rStyle w:val="FootnoteReference"/>
        </w:rPr>
        <w:footnoteRef/>
      </w:r>
      <w:r w:rsidRPr="000B250F">
        <w:rPr>
          <w:iCs/>
        </w:rPr>
        <w:t xml:space="preserve"> Tamże.</w:t>
      </w:r>
    </w:p>
  </w:footnote>
  <w:footnote w:id="61">
    <w:p w14:paraId="09167683" w14:textId="6580EDDD" w:rsidR="00F164A1" w:rsidRPr="000B250F" w:rsidRDefault="00F164A1" w:rsidP="00102354">
      <w:pPr>
        <w:pStyle w:val="FootnoteText"/>
        <w:jc w:val="both"/>
      </w:pPr>
      <w:r w:rsidRPr="000B250F">
        <w:rPr>
          <w:rStyle w:val="FootnoteReference"/>
        </w:rPr>
        <w:footnoteRef/>
      </w:r>
      <w:r w:rsidRPr="000B250F">
        <w:t xml:space="preserve"> J.M.</w:t>
      </w:r>
      <w:r w:rsidR="00232A3F">
        <w:t xml:space="preserve"> Lipniak</w:t>
      </w:r>
      <w:r w:rsidRPr="000B250F">
        <w:t xml:space="preserve">, </w:t>
      </w:r>
      <w:r w:rsidRPr="000B250F">
        <w:rPr>
          <w:i/>
        </w:rPr>
        <w:t>Małżeństwo w teologii Ortodoksyjnego Kościoła Koptyjskiego</w:t>
      </w:r>
      <w:r w:rsidRPr="000B250F">
        <w:t xml:space="preserve">, w: </w:t>
      </w:r>
      <w:r w:rsidRPr="000B250F">
        <w:rPr>
          <w:i/>
        </w:rPr>
        <w:t xml:space="preserve">Ekumeniczna wizja Małżeństwa i Rodziny </w:t>
      </w:r>
      <w:r w:rsidRPr="000B250F">
        <w:t>–</w:t>
      </w:r>
      <w:r w:rsidRPr="000B250F">
        <w:rPr>
          <w:rStyle w:val="Emphasis"/>
        </w:rPr>
        <w:t xml:space="preserve"> </w:t>
      </w:r>
      <w:r w:rsidRPr="000B250F">
        <w:t>szansa i życiowe problemy, red. J.M.</w:t>
      </w:r>
      <w:r w:rsidR="00102354">
        <w:t xml:space="preserve"> Lipniak</w:t>
      </w:r>
      <w:r w:rsidRPr="000B250F">
        <w:t xml:space="preserve">, Wrocław 2015, </w:t>
      </w:r>
      <w:r w:rsidRPr="000B250F">
        <w:rPr>
          <w:iCs/>
        </w:rPr>
        <w:t>s.</w:t>
      </w:r>
      <w:r w:rsidRPr="000B250F">
        <w:t xml:space="preserve"> 141-148.</w:t>
      </w:r>
    </w:p>
  </w:footnote>
  <w:footnote w:id="62">
    <w:p w14:paraId="3DCD250E" w14:textId="19D5F39F" w:rsidR="00F164A1" w:rsidRPr="00232A3F" w:rsidRDefault="00F164A1" w:rsidP="00232A3F">
      <w:pPr>
        <w:pStyle w:val="FootnoteText"/>
        <w:jc w:val="both"/>
        <w:rPr>
          <w:lang w:val="en-US"/>
        </w:rPr>
      </w:pPr>
      <w:r w:rsidRPr="000B250F">
        <w:rPr>
          <w:rStyle w:val="FootnoteReference"/>
        </w:rPr>
        <w:footnoteRef/>
      </w:r>
      <w:r w:rsidRPr="00232A3F">
        <w:rPr>
          <w:lang w:val="en-US"/>
        </w:rPr>
        <w:t xml:space="preserve"> M.M. </w:t>
      </w:r>
      <w:r w:rsidR="00232A3F" w:rsidRPr="00232A3F">
        <w:rPr>
          <w:lang w:val="en-US"/>
        </w:rPr>
        <w:t xml:space="preserve">Eskander, </w:t>
      </w:r>
      <w:r w:rsidRPr="00232A3F">
        <w:rPr>
          <w:i/>
          <w:iCs/>
          <w:lang w:val="en-US"/>
        </w:rPr>
        <w:t>The Seven</w:t>
      </w:r>
      <w:r w:rsidRPr="00232A3F">
        <w:rPr>
          <w:lang w:val="en-US"/>
        </w:rPr>
        <w:t>…, t. IV, s. 24-25.</w:t>
      </w:r>
    </w:p>
  </w:footnote>
  <w:footnote w:id="63">
    <w:p w14:paraId="02135D09" w14:textId="39190FE4" w:rsidR="00F164A1" w:rsidRPr="000B250F" w:rsidRDefault="00F164A1" w:rsidP="00232A3F">
      <w:pPr>
        <w:pStyle w:val="FootnoteText"/>
        <w:jc w:val="both"/>
      </w:pPr>
      <w:r w:rsidRPr="000B250F">
        <w:rPr>
          <w:rStyle w:val="FootnoteReference"/>
        </w:rPr>
        <w:footnoteRef/>
      </w:r>
      <w:r w:rsidR="00232A3F">
        <w:t xml:space="preserve"> </w:t>
      </w:r>
      <w:r w:rsidRPr="000B250F">
        <w:t>C</w:t>
      </w:r>
      <w:r w:rsidR="00232A3F">
        <w:t>yryl J</w:t>
      </w:r>
      <w:r w:rsidR="00232A3F" w:rsidRPr="000B250F">
        <w:t>erozolimski</w:t>
      </w:r>
      <w:r w:rsidRPr="000B250F">
        <w:t xml:space="preserve">, </w:t>
      </w:r>
      <w:r w:rsidRPr="000B250F">
        <w:rPr>
          <w:i/>
          <w:iCs/>
        </w:rPr>
        <w:t>Catecheses</w:t>
      </w:r>
      <w:r w:rsidRPr="000B250F">
        <w:t>, PG XXXIII, 985.</w:t>
      </w:r>
    </w:p>
  </w:footnote>
  <w:footnote w:id="64">
    <w:p w14:paraId="3BE4D8AB" w14:textId="07AAA8C4" w:rsidR="00F164A1" w:rsidRPr="00232A3F" w:rsidRDefault="00F164A1" w:rsidP="00232A3F">
      <w:pPr>
        <w:pStyle w:val="FootnoteText"/>
        <w:jc w:val="both"/>
        <w:rPr>
          <w:lang w:val="en-US"/>
        </w:rPr>
      </w:pPr>
      <w:r w:rsidRPr="000B250F">
        <w:rPr>
          <w:rStyle w:val="FootnoteReference"/>
        </w:rPr>
        <w:footnoteRef/>
      </w:r>
      <w:r w:rsidR="00232A3F">
        <w:rPr>
          <w:lang w:val="en-US"/>
        </w:rPr>
        <w:t xml:space="preserve"> </w:t>
      </w:r>
      <w:r w:rsidR="00232A3F" w:rsidRPr="00232A3F">
        <w:rPr>
          <w:lang w:val="en-US"/>
        </w:rPr>
        <w:t>Cyryl Jerozolimski,</w:t>
      </w:r>
      <w:r w:rsidRPr="00232A3F">
        <w:rPr>
          <w:lang w:val="en-US"/>
        </w:rPr>
        <w:t xml:space="preserve"> </w:t>
      </w:r>
      <w:r w:rsidRPr="00232A3F">
        <w:rPr>
          <w:i/>
          <w:iCs/>
          <w:lang w:val="en-US"/>
        </w:rPr>
        <w:t xml:space="preserve">Catecheses mistagogica </w:t>
      </w:r>
      <w:r w:rsidRPr="00232A3F">
        <w:rPr>
          <w:lang w:val="en-US"/>
        </w:rPr>
        <w:t>3, PG XXXIII, 1089.</w:t>
      </w:r>
    </w:p>
  </w:footnote>
  <w:footnote w:id="65">
    <w:p w14:paraId="5558ED04" w14:textId="77777777" w:rsidR="00F164A1" w:rsidRPr="000B250F" w:rsidRDefault="00F164A1" w:rsidP="00F164A1">
      <w:pPr>
        <w:pStyle w:val="FootnoteText"/>
        <w:jc w:val="both"/>
      </w:pPr>
      <w:r w:rsidRPr="000B250F">
        <w:rPr>
          <w:rStyle w:val="FootnoteReference"/>
        </w:rPr>
        <w:footnoteRef/>
      </w:r>
      <w:r w:rsidRPr="000B250F">
        <w:t xml:space="preserve"> </w:t>
      </w:r>
      <w:r w:rsidRPr="000B250F">
        <w:rPr>
          <w:i/>
          <w:iCs/>
        </w:rPr>
        <w:t>Konstytucje Apostolskie</w:t>
      </w:r>
      <w:r w:rsidRPr="000B250F">
        <w:t>, EP 1233.</w:t>
      </w:r>
    </w:p>
  </w:footnote>
  <w:footnote w:id="66">
    <w:p w14:paraId="4F899B94" w14:textId="455CA4DF" w:rsidR="00F164A1" w:rsidRPr="00232A3F" w:rsidRDefault="00F164A1" w:rsidP="00031DDE">
      <w:pPr>
        <w:pStyle w:val="FootnoteText"/>
        <w:jc w:val="both"/>
        <w:rPr>
          <w:lang w:val="en-US"/>
        </w:rPr>
      </w:pPr>
      <w:r w:rsidRPr="000B250F">
        <w:rPr>
          <w:rStyle w:val="FootnoteReference"/>
        </w:rPr>
        <w:footnoteRef/>
      </w:r>
      <w:r w:rsidRPr="00232A3F">
        <w:rPr>
          <w:lang w:val="en-US"/>
        </w:rPr>
        <w:t xml:space="preserve"> M.M.</w:t>
      </w:r>
      <w:r w:rsidR="00232A3F" w:rsidRPr="00232A3F">
        <w:rPr>
          <w:lang w:val="en-US"/>
        </w:rPr>
        <w:t xml:space="preserve"> Eskander</w:t>
      </w:r>
      <w:r w:rsidRPr="00232A3F">
        <w:rPr>
          <w:lang w:val="en-US"/>
        </w:rPr>
        <w:t xml:space="preserve">, </w:t>
      </w:r>
      <w:r w:rsidR="00031DDE" w:rsidRPr="00171893">
        <w:rPr>
          <w:i/>
          <w:iCs/>
          <w:lang w:val="en-US"/>
        </w:rPr>
        <w:t>The Seven Holy Sacrament</w:t>
      </w:r>
      <w:r w:rsidR="00031DDE">
        <w:rPr>
          <w:lang w:val="en-US"/>
        </w:rPr>
        <w:t>, t. III, Cairo 2008</w:t>
      </w:r>
      <w:r w:rsidRPr="00232A3F">
        <w:rPr>
          <w:lang w:val="en-US"/>
        </w:rPr>
        <w:t>, t. IV, s. 19.</w:t>
      </w:r>
    </w:p>
  </w:footnote>
  <w:footnote w:id="67">
    <w:p w14:paraId="6D225088" w14:textId="77777777" w:rsidR="00F164A1" w:rsidRPr="000B250F" w:rsidRDefault="00F164A1" w:rsidP="00F164A1">
      <w:pPr>
        <w:pStyle w:val="FootnoteText"/>
        <w:jc w:val="both"/>
        <w:rPr>
          <w:lang w:val="ru-RU"/>
        </w:rPr>
      </w:pPr>
      <w:r w:rsidRPr="000B250F">
        <w:rPr>
          <w:rStyle w:val="FootnoteReference"/>
        </w:rPr>
        <w:footnoteRef/>
      </w:r>
      <w:r w:rsidRPr="000B250F">
        <w:t xml:space="preserve"> Tamże, s. 20.</w:t>
      </w:r>
    </w:p>
  </w:footnote>
  <w:footnote w:id="68">
    <w:p w14:paraId="58787474" w14:textId="77777777" w:rsidR="00F164A1" w:rsidRPr="000B250F" w:rsidRDefault="00F164A1" w:rsidP="00F164A1">
      <w:pPr>
        <w:pStyle w:val="FootnoteText"/>
        <w:jc w:val="both"/>
      </w:pPr>
      <w:r w:rsidRPr="000B250F">
        <w:rPr>
          <w:rStyle w:val="FootnoteReference"/>
        </w:rPr>
        <w:footnoteRef/>
      </w:r>
      <w:r w:rsidRPr="000B250F">
        <w:t xml:space="preserve"> Tamże, s. 21.</w:t>
      </w:r>
    </w:p>
  </w:footnote>
  <w:footnote w:id="69">
    <w:p w14:paraId="20187A82" w14:textId="77777777" w:rsidR="00F164A1" w:rsidRPr="000B250F" w:rsidRDefault="00F164A1" w:rsidP="00F164A1">
      <w:pPr>
        <w:pStyle w:val="FootnoteText"/>
        <w:jc w:val="both"/>
      </w:pPr>
      <w:r w:rsidRPr="000B250F">
        <w:rPr>
          <w:rStyle w:val="FootnoteReference"/>
        </w:rPr>
        <w:footnoteRef/>
      </w:r>
      <w:r w:rsidRPr="000B250F">
        <w:t xml:space="preserve"> Tamże, s. 21-22.</w:t>
      </w:r>
    </w:p>
  </w:footnote>
  <w:footnote w:id="70">
    <w:p w14:paraId="66208412" w14:textId="77777777" w:rsidR="00F164A1" w:rsidRPr="000B250F" w:rsidRDefault="00F164A1" w:rsidP="00F164A1">
      <w:pPr>
        <w:pStyle w:val="FootnoteText"/>
        <w:jc w:val="both"/>
      </w:pPr>
      <w:r w:rsidRPr="000B250F">
        <w:rPr>
          <w:rStyle w:val="FootnoteReference"/>
        </w:rPr>
        <w:footnoteRef/>
      </w:r>
      <w:r w:rsidRPr="000B250F">
        <w:t xml:space="preserve"> Tamże, s. 22.</w:t>
      </w:r>
    </w:p>
  </w:footnote>
  <w:footnote w:id="71">
    <w:p w14:paraId="0877A53F" w14:textId="77777777" w:rsidR="00F164A1" w:rsidRPr="000B250F" w:rsidRDefault="00F164A1" w:rsidP="00F164A1">
      <w:pPr>
        <w:pStyle w:val="FootnoteText"/>
        <w:jc w:val="both"/>
      </w:pPr>
      <w:r w:rsidRPr="000B250F">
        <w:rPr>
          <w:rStyle w:val="FootnoteReference"/>
        </w:rPr>
        <w:footnoteRef/>
      </w:r>
      <w:r w:rsidRPr="000B250F">
        <w:t xml:space="preserve"> Tamże, s. 23.</w:t>
      </w:r>
    </w:p>
  </w:footnote>
  <w:footnote w:id="72">
    <w:p w14:paraId="710B1B47" w14:textId="210F1055" w:rsidR="00F164A1" w:rsidRPr="000B250F" w:rsidRDefault="00F164A1" w:rsidP="00F164A1">
      <w:pPr>
        <w:pStyle w:val="FootnoteText"/>
        <w:jc w:val="both"/>
      </w:pPr>
      <w:r w:rsidRPr="000B250F">
        <w:rPr>
          <w:rStyle w:val="FootnoteReference"/>
        </w:rPr>
        <w:footnoteRef/>
      </w:r>
      <w:r w:rsidRPr="000B250F">
        <w:t xml:space="preserve"> </w:t>
      </w:r>
      <w:r w:rsidR="00514C5C" w:rsidRPr="000B250F">
        <w:t>Tamże</w:t>
      </w:r>
      <w:r w:rsidRPr="000B250F">
        <w:t>.</w:t>
      </w:r>
    </w:p>
  </w:footnote>
  <w:footnote w:id="73">
    <w:p w14:paraId="5222783D" w14:textId="11F4FC2C" w:rsidR="00F164A1" w:rsidRPr="000B250F" w:rsidRDefault="00F164A1" w:rsidP="00232A3F">
      <w:pPr>
        <w:pStyle w:val="FootnoteText"/>
        <w:jc w:val="both"/>
      </w:pPr>
      <w:r w:rsidRPr="000B250F">
        <w:rPr>
          <w:rStyle w:val="FootnoteReference"/>
        </w:rPr>
        <w:footnoteRef/>
      </w:r>
      <w:r w:rsidRPr="000B250F">
        <w:t xml:space="preserve"> A. C.</w:t>
      </w:r>
      <w:r w:rsidR="00232A3F">
        <w:t xml:space="preserve"> Calivas</w:t>
      </w:r>
      <w:r w:rsidRPr="000B250F">
        <w:t xml:space="preserve">, </w:t>
      </w:r>
      <w:r w:rsidRPr="000B250F">
        <w:rPr>
          <w:i/>
          <w:iCs/>
        </w:rPr>
        <w:t>Życie sakramentalne</w:t>
      </w:r>
      <w:r w:rsidRPr="000B250F">
        <w:t xml:space="preserve">, w; </w:t>
      </w:r>
      <w:r w:rsidRPr="000B250F">
        <w:rPr>
          <w:i/>
          <w:iCs/>
        </w:rPr>
        <w:t>Prawosławie</w:t>
      </w:r>
      <w:r w:rsidRPr="000B250F">
        <w:t>, red. K. Leśniewski, Lublin 2009, s. 289-318, tutaj s. 297.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445C"/>
    <w:multiLevelType w:val="multilevel"/>
    <w:tmpl w:val="91701138"/>
    <w:lvl w:ilvl="0">
      <w:start w:val="2"/>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15:restartNumberingAfterBreak="0">
    <w:nsid w:val="1CC73C16"/>
    <w:multiLevelType w:val="multilevel"/>
    <w:tmpl w:val="C1349E42"/>
    <w:lvl w:ilvl="0">
      <w:start w:val="1"/>
      <w:numFmt w:val="decimal"/>
      <w:lvlText w:val="%1."/>
      <w:lvlJc w:val="left"/>
      <w:pPr>
        <w:ind w:left="1069" w:hanging="360"/>
      </w:pPr>
      <w:rPr>
        <w:color w:val="000000" w:themeColor="text1"/>
      </w:rPr>
    </w:lvl>
    <w:lvl w:ilvl="1">
      <w:start w:val="2"/>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7BCE6C3A"/>
    <w:multiLevelType w:val="hybridMultilevel"/>
    <w:tmpl w:val="245A03DC"/>
    <w:lvl w:ilvl="0" w:tplc="0C940188">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65834370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640295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7096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4A1"/>
    <w:rsid w:val="00031DDE"/>
    <w:rsid w:val="000B250F"/>
    <w:rsid w:val="00102354"/>
    <w:rsid w:val="00232A3F"/>
    <w:rsid w:val="00362E99"/>
    <w:rsid w:val="00502E39"/>
    <w:rsid w:val="00514C5C"/>
    <w:rsid w:val="005320A9"/>
    <w:rsid w:val="006D07E5"/>
    <w:rsid w:val="00703DA1"/>
    <w:rsid w:val="008B692E"/>
    <w:rsid w:val="008D35C8"/>
    <w:rsid w:val="009168F0"/>
    <w:rsid w:val="009A75B1"/>
    <w:rsid w:val="00A22CB1"/>
    <w:rsid w:val="00A256C9"/>
    <w:rsid w:val="00A70EC3"/>
    <w:rsid w:val="00AB1730"/>
    <w:rsid w:val="00B5360A"/>
    <w:rsid w:val="00BC076C"/>
    <w:rsid w:val="00BC7B4F"/>
    <w:rsid w:val="00D0070D"/>
    <w:rsid w:val="00D30578"/>
    <w:rsid w:val="00E828F0"/>
    <w:rsid w:val="00ED2FF0"/>
    <w:rsid w:val="00F164A1"/>
    <w:rsid w:val="00FD04F3"/>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FA58"/>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8"/>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6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64A1"/>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F164A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64A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164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64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64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64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6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64A1"/>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F164A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164A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164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64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64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64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6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A1"/>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F164A1"/>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F164A1"/>
    <w:pPr>
      <w:spacing w:before="160"/>
      <w:jc w:val="center"/>
    </w:pPr>
    <w:rPr>
      <w:i/>
      <w:iCs/>
      <w:color w:val="404040" w:themeColor="text1" w:themeTint="BF"/>
    </w:rPr>
  </w:style>
  <w:style w:type="character" w:customStyle="1" w:styleId="QuoteChar">
    <w:name w:val="Quote Char"/>
    <w:basedOn w:val="DefaultParagraphFont"/>
    <w:link w:val="Quote"/>
    <w:uiPriority w:val="29"/>
    <w:rsid w:val="00F164A1"/>
    <w:rPr>
      <w:i/>
      <w:iCs/>
      <w:color w:val="404040" w:themeColor="text1" w:themeTint="BF"/>
    </w:rPr>
  </w:style>
  <w:style w:type="paragraph" w:styleId="ListParagraph">
    <w:name w:val="List Paragraph"/>
    <w:basedOn w:val="Normal"/>
    <w:uiPriority w:val="34"/>
    <w:qFormat/>
    <w:rsid w:val="00F164A1"/>
    <w:pPr>
      <w:ind w:left="720"/>
      <w:contextualSpacing/>
    </w:pPr>
  </w:style>
  <w:style w:type="character" w:styleId="IntenseEmphasis">
    <w:name w:val="Intense Emphasis"/>
    <w:basedOn w:val="DefaultParagraphFont"/>
    <w:uiPriority w:val="21"/>
    <w:qFormat/>
    <w:rsid w:val="00F164A1"/>
    <w:rPr>
      <w:i/>
      <w:iCs/>
      <w:color w:val="2F5496" w:themeColor="accent1" w:themeShade="BF"/>
    </w:rPr>
  </w:style>
  <w:style w:type="paragraph" w:styleId="IntenseQuote">
    <w:name w:val="Intense Quote"/>
    <w:basedOn w:val="Normal"/>
    <w:next w:val="Normal"/>
    <w:link w:val="IntenseQuoteChar"/>
    <w:uiPriority w:val="30"/>
    <w:qFormat/>
    <w:rsid w:val="00F16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64A1"/>
    <w:rPr>
      <w:i/>
      <w:iCs/>
      <w:color w:val="2F5496" w:themeColor="accent1" w:themeShade="BF"/>
    </w:rPr>
  </w:style>
  <w:style w:type="character" w:styleId="IntenseReference">
    <w:name w:val="Intense Reference"/>
    <w:basedOn w:val="DefaultParagraphFont"/>
    <w:uiPriority w:val="32"/>
    <w:qFormat/>
    <w:rsid w:val="00F164A1"/>
    <w:rPr>
      <w:b/>
      <w:bCs/>
      <w:smallCaps/>
      <w:color w:val="2F5496" w:themeColor="accent1" w:themeShade="BF"/>
      <w:spacing w:val="5"/>
    </w:rPr>
  </w:style>
  <w:style w:type="paragraph" w:styleId="FootnoteText">
    <w:name w:val="footnote text"/>
    <w:basedOn w:val="Normal"/>
    <w:link w:val="FootnoteTextChar"/>
    <w:uiPriority w:val="99"/>
    <w:semiHidden/>
    <w:unhideWhenUsed/>
    <w:rsid w:val="00F164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4A1"/>
    <w:rPr>
      <w:sz w:val="20"/>
      <w:szCs w:val="20"/>
    </w:rPr>
  </w:style>
  <w:style w:type="paragraph" w:styleId="NoSpacing">
    <w:name w:val="No Spacing"/>
    <w:aliases w:val="ulubiony"/>
    <w:uiPriority w:val="1"/>
    <w:qFormat/>
    <w:rsid w:val="00F164A1"/>
    <w:pPr>
      <w:spacing w:after="0" w:line="240" w:lineRule="auto"/>
    </w:pPr>
  </w:style>
  <w:style w:type="character" w:styleId="FootnoteReference">
    <w:name w:val="footnote reference"/>
    <w:basedOn w:val="DefaultParagraphFont"/>
    <w:uiPriority w:val="99"/>
    <w:semiHidden/>
    <w:unhideWhenUsed/>
    <w:rsid w:val="00F164A1"/>
    <w:rPr>
      <w:vertAlign w:val="superscript"/>
    </w:rPr>
  </w:style>
  <w:style w:type="character" w:styleId="Emphasis">
    <w:name w:val="Emphasis"/>
    <w:basedOn w:val="DefaultParagraphFont"/>
    <w:uiPriority w:val="20"/>
    <w:qFormat/>
    <w:rsid w:val="00F164A1"/>
    <w:rPr>
      <w:i/>
      <w:iCs/>
    </w:rPr>
  </w:style>
  <w:style w:type="character" w:styleId="Hyperlink">
    <w:name w:val="Hyperlink"/>
    <w:basedOn w:val="DefaultParagraphFont"/>
    <w:uiPriority w:val="99"/>
    <w:unhideWhenUsed/>
    <w:rsid w:val="00A70EC3"/>
    <w:rPr>
      <w:color w:val="0563C1" w:themeColor="hyperlink"/>
      <w:u w:val="single"/>
    </w:rPr>
  </w:style>
  <w:style w:type="character" w:customStyle="1" w:styleId="FontStyle11">
    <w:name w:val="Font Style11"/>
    <w:basedOn w:val="DefaultParagraphFont"/>
    <w:uiPriority w:val="99"/>
    <w:rsid w:val="00A70EC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21782">
      <w:bodyDiv w:val="1"/>
      <w:marLeft w:val="0"/>
      <w:marRight w:val="0"/>
      <w:marTop w:val="0"/>
      <w:marBottom w:val="0"/>
      <w:divBdr>
        <w:top w:val="none" w:sz="0" w:space="0" w:color="auto"/>
        <w:left w:val="none" w:sz="0" w:space="0" w:color="auto"/>
        <w:bottom w:val="none" w:sz="0" w:space="0" w:color="auto"/>
        <w:right w:val="none" w:sz="0" w:space="0" w:color="auto"/>
      </w:divBdr>
    </w:div>
    <w:div w:id="169923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_halkowicz@o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1BB0-C957-4766-9C67-7A224480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5377</Words>
  <Characters>30651</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Lipniak</dc:creator>
  <cp:lastModifiedBy>Bożena Futoma-Kołoch</cp:lastModifiedBy>
  <cp:revision>3</cp:revision>
  <dcterms:created xsi:type="dcterms:W3CDTF">2026-03-15T15:54:00Z</dcterms:created>
  <dcterms:modified xsi:type="dcterms:W3CDTF">2026-07-07T09:10:00Z</dcterms:modified>
</cp:coreProperties>
</file>