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8F548" w14:textId="79E3008B" w:rsidR="00684188" w:rsidRPr="00BE3D55" w:rsidRDefault="00684188" w:rsidP="00684188">
      <w:pPr>
        <w:rPr>
          <w:rFonts w:ascii="Times New Roman" w:hAnsi="Times New Roman" w:cs="Times New Roman"/>
          <w:sz w:val="24"/>
          <w:szCs w:val="24"/>
          <w:lang w:val="en-GB"/>
        </w:rPr>
      </w:pPr>
      <w:r w:rsidRPr="00BE3D55">
        <w:rPr>
          <w:rFonts w:ascii="Times New Roman" w:hAnsi="Times New Roman" w:cs="Times New Roman"/>
          <w:sz w:val="24"/>
          <w:szCs w:val="24"/>
          <w:lang w:val="en-GB"/>
        </w:rPr>
        <w:t xml:space="preserve">Ks. </w:t>
      </w:r>
      <w:r w:rsidR="00453815" w:rsidRPr="00BE3D55">
        <w:rPr>
          <w:rFonts w:ascii="Times New Roman" w:hAnsi="Times New Roman" w:cs="Times New Roman"/>
          <w:sz w:val="24"/>
          <w:szCs w:val="24"/>
          <w:lang w:val="en-GB"/>
        </w:rPr>
        <w:t>Bertram Stubenrauch</w:t>
      </w:r>
      <w:r w:rsidR="00A03F10" w:rsidRPr="00BE3D55">
        <w:rPr>
          <w:rFonts w:ascii="Times New Roman" w:hAnsi="Times New Roman" w:cs="Times New Roman"/>
          <w:sz w:val="24"/>
          <w:szCs w:val="24"/>
          <w:lang w:val="en-GB"/>
        </w:rPr>
        <w:br/>
        <w:t>Ludwig Maximilian University of Munich, Germany</w:t>
      </w:r>
      <w:r w:rsidR="00A03F10" w:rsidRPr="00BE3D55">
        <w:rPr>
          <w:rFonts w:ascii="Times New Roman" w:hAnsi="Times New Roman" w:cs="Times New Roman"/>
          <w:sz w:val="24"/>
          <w:szCs w:val="24"/>
          <w:lang w:val="en-GB"/>
        </w:rPr>
        <w:br/>
      </w:r>
      <w:r w:rsidRPr="00BE3D55">
        <w:rPr>
          <w:rFonts w:ascii="Times New Roman" w:hAnsi="Times New Roman" w:cs="Times New Roman"/>
          <w:sz w:val="24"/>
          <w:szCs w:val="24"/>
          <w:lang w:val="en-GB"/>
        </w:rPr>
        <w:t xml:space="preserve">e-mail: </w:t>
      </w:r>
      <w:hyperlink r:id="rId8" w:history="1">
        <w:r w:rsidRPr="00BE3D55">
          <w:rPr>
            <w:rStyle w:val="Hyperlink"/>
            <w:rFonts w:ascii="Times New Roman" w:hAnsi="Times New Roman" w:cs="Times New Roman"/>
            <w:color w:val="auto"/>
            <w:sz w:val="24"/>
            <w:szCs w:val="24"/>
            <w:u w:val="none"/>
            <w:lang w:val="en-GB"/>
          </w:rPr>
          <w:t>bertram.stubenrauch@lmu.de</w:t>
        </w:r>
      </w:hyperlink>
      <w:r w:rsidRPr="00BE3D55">
        <w:rPr>
          <w:rFonts w:ascii="Times New Roman" w:hAnsi="Times New Roman" w:cs="Times New Roman"/>
          <w:sz w:val="24"/>
          <w:szCs w:val="24"/>
          <w:lang w:val="en-GB"/>
        </w:rPr>
        <w:br/>
        <w:t>DOI:</w:t>
      </w:r>
      <w:r w:rsidR="00BE3D55">
        <w:rPr>
          <w:rFonts w:ascii="Times New Roman" w:hAnsi="Times New Roman" w:cs="Times New Roman"/>
          <w:sz w:val="24"/>
          <w:szCs w:val="24"/>
          <w:lang w:val="en-GB"/>
        </w:rPr>
        <w:t xml:space="preserve"> </w:t>
      </w:r>
      <w:r w:rsidR="00BE3D55" w:rsidRPr="00BE3D55">
        <w:rPr>
          <w:rFonts w:ascii="Times New Roman" w:hAnsi="Times New Roman" w:cs="Times New Roman"/>
          <w:sz w:val="24"/>
          <w:szCs w:val="24"/>
          <w:lang w:val="en-GB"/>
        </w:rPr>
        <w:t>10.48224/COM-230-2025-99</w:t>
      </w:r>
    </w:p>
    <w:p w14:paraId="278691E4" w14:textId="77777777" w:rsidR="00131E58" w:rsidRDefault="00131E58" w:rsidP="00131E58">
      <w:pPr>
        <w:pStyle w:val="NoSpacing"/>
        <w:jc w:val="both"/>
        <w:rPr>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131E58" w14:paraId="0379E1F9" w14:textId="77777777" w:rsidTr="00131E58">
        <w:trPr>
          <w:trHeight w:val="724"/>
          <w:jc w:val="right"/>
        </w:trPr>
        <w:tc>
          <w:tcPr>
            <w:tcW w:w="3685" w:type="dxa"/>
            <w:tcBorders>
              <w:top w:val="single" w:sz="4" w:space="0" w:color="auto"/>
              <w:left w:val="single" w:sz="4" w:space="0" w:color="auto"/>
              <w:bottom w:val="single" w:sz="4" w:space="0" w:color="auto"/>
              <w:right w:val="single" w:sz="4" w:space="0" w:color="auto"/>
            </w:tcBorders>
            <w:hideMark/>
          </w:tcPr>
          <w:p w14:paraId="70979D49" w14:textId="77777777" w:rsidR="00131E58" w:rsidRDefault="00131E58">
            <w:pPr>
              <w:pStyle w:val="NoSpacing"/>
              <w:spacing w:line="276" w:lineRule="auto"/>
              <w:jc w:val="center"/>
              <w:rPr>
                <w:rFonts w:ascii="Times New Roman" w:hAnsi="Times New Roman" w:cs="Times New Roman"/>
                <w:sz w:val="20"/>
                <w:szCs w:val="20"/>
              </w:rPr>
            </w:pPr>
            <w:r>
              <w:rPr>
                <w:sz w:val="20"/>
                <w:szCs w:val="20"/>
                <w:lang w:val="en-US"/>
              </w:rPr>
              <w:br/>
            </w:r>
            <w:r>
              <w:rPr>
                <w:rFonts w:ascii="Times New Roman" w:hAnsi="Times New Roman" w:cs="Times New Roman"/>
                <w:sz w:val="20"/>
                <w:szCs w:val="20"/>
              </w:rPr>
              <w:t>Communio 45(2025)2, s. 2-2</w:t>
            </w:r>
          </w:p>
        </w:tc>
      </w:tr>
    </w:tbl>
    <w:p w14:paraId="75DEC906" w14:textId="77777777" w:rsidR="00131E58" w:rsidRDefault="00131E58" w:rsidP="00131E58">
      <w:pPr>
        <w:pStyle w:val="NoSpacing"/>
        <w:jc w:val="both"/>
        <w:rPr>
          <w:b/>
        </w:rPr>
      </w:pPr>
    </w:p>
    <w:p w14:paraId="7ED2D486" w14:textId="77777777" w:rsidR="00453815" w:rsidRDefault="00453815" w:rsidP="008157CF">
      <w:pPr>
        <w:spacing w:after="0"/>
        <w:jc w:val="center"/>
        <w:rPr>
          <w:rFonts w:ascii="Times New Roman" w:hAnsi="Times New Roman" w:cs="Times New Roman"/>
          <w:sz w:val="28"/>
          <w:szCs w:val="28"/>
        </w:rPr>
      </w:pPr>
    </w:p>
    <w:p w14:paraId="793027DD" w14:textId="77777777" w:rsidR="008157CF" w:rsidRPr="00B47C6C" w:rsidRDefault="00C655D8" w:rsidP="008157CF">
      <w:pPr>
        <w:spacing w:after="0"/>
        <w:jc w:val="center"/>
        <w:rPr>
          <w:rFonts w:ascii="Times New Roman" w:hAnsi="Times New Roman" w:cs="Times New Roman"/>
          <w:b/>
          <w:bCs/>
          <w:sz w:val="28"/>
          <w:szCs w:val="28"/>
        </w:rPr>
      </w:pPr>
      <w:r w:rsidRPr="00B47C6C">
        <w:rPr>
          <w:rFonts w:ascii="Times New Roman" w:hAnsi="Times New Roman" w:cs="Times New Roman"/>
          <w:b/>
          <w:bCs/>
          <w:sz w:val="28"/>
          <w:szCs w:val="28"/>
        </w:rPr>
        <w:t>Niepomylone</w:t>
      </w:r>
      <w:r w:rsidR="00D3065E" w:rsidRPr="00B47C6C">
        <w:rPr>
          <w:rFonts w:ascii="Times New Roman" w:hAnsi="Times New Roman" w:cs="Times New Roman"/>
          <w:b/>
          <w:bCs/>
          <w:sz w:val="28"/>
          <w:szCs w:val="28"/>
        </w:rPr>
        <w:t xml:space="preserve"> i Nie</w:t>
      </w:r>
      <w:r w:rsidRPr="00B47C6C">
        <w:rPr>
          <w:rFonts w:ascii="Times New Roman" w:hAnsi="Times New Roman" w:cs="Times New Roman"/>
          <w:b/>
          <w:bCs/>
          <w:sz w:val="28"/>
          <w:szCs w:val="28"/>
        </w:rPr>
        <w:t>podzielone</w:t>
      </w:r>
    </w:p>
    <w:p w14:paraId="47764DFC" w14:textId="77777777" w:rsidR="00351B93" w:rsidRPr="00B47C6C" w:rsidRDefault="00E43B13" w:rsidP="008157CF">
      <w:pPr>
        <w:spacing w:after="0"/>
        <w:jc w:val="center"/>
        <w:rPr>
          <w:rFonts w:ascii="Times New Roman" w:eastAsia="Times New Roman" w:hAnsi="Times New Roman" w:cs="Times New Roman"/>
          <w:b/>
          <w:bCs/>
          <w:sz w:val="28"/>
          <w:szCs w:val="28"/>
        </w:rPr>
      </w:pPr>
      <w:r w:rsidRPr="00B47C6C">
        <w:rPr>
          <w:rFonts w:ascii="Times New Roman" w:eastAsia="Times New Roman" w:hAnsi="Times New Roman" w:cs="Times New Roman"/>
          <w:b/>
          <w:bCs/>
          <w:sz w:val="28"/>
          <w:szCs w:val="28"/>
        </w:rPr>
        <w:t>Magisterium</w:t>
      </w:r>
      <w:r w:rsidR="00453815" w:rsidRPr="00B47C6C">
        <w:rPr>
          <w:rFonts w:ascii="Times New Roman" w:eastAsia="Times New Roman" w:hAnsi="Times New Roman" w:cs="Times New Roman"/>
          <w:b/>
          <w:bCs/>
          <w:sz w:val="28"/>
          <w:szCs w:val="28"/>
        </w:rPr>
        <w:t xml:space="preserve"> K</w:t>
      </w:r>
      <w:r w:rsidR="008157CF" w:rsidRPr="00B47C6C">
        <w:rPr>
          <w:rFonts w:ascii="Times New Roman" w:eastAsia="Times New Roman" w:hAnsi="Times New Roman" w:cs="Times New Roman"/>
          <w:b/>
          <w:bCs/>
          <w:sz w:val="28"/>
          <w:szCs w:val="28"/>
        </w:rPr>
        <w:t>ościoła</w:t>
      </w:r>
      <w:r w:rsidR="00453815" w:rsidRPr="00B47C6C">
        <w:rPr>
          <w:rFonts w:ascii="Times New Roman" w:eastAsia="Times New Roman" w:hAnsi="Times New Roman" w:cs="Times New Roman"/>
          <w:b/>
          <w:bCs/>
          <w:sz w:val="28"/>
          <w:szCs w:val="28"/>
        </w:rPr>
        <w:t xml:space="preserve"> w</w:t>
      </w:r>
      <w:r w:rsidRPr="00B47C6C">
        <w:rPr>
          <w:rFonts w:ascii="Times New Roman" w:eastAsia="Times New Roman" w:hAnsi="Times New Roman" w:cs="Times New Roman"/>
          <w:b/>
          <w:bCs/>
          <w:sz w:val="28"/>
          <w:szCs w:val="28"/>
        </w:rPr>
        <w:t>e</w:t>
      </w:r>
      <w:r w:rsidR="00453815" w:rsidRPr="00B47C6C">
        <w:rPr>
          <w:rFonts w:ascii="Times New Roman" w:eastAsia="Times New Roman" w:hAnsi="Times New Roman" w:cs="Times New Roman"/>
          <w:b/>
          <w:bCs/>
          <w:sz w:val="28"/>
          <w:szCs w:val="28"/>
        </w:rPr>
        <w:t xml:space="preserve"> Wspólnocie Kościelnej</w:t>
      </w:r>
    </w:p>
    <w:p w14:paraId="209A8A66" w14:textId="77777777" w:rsidR="00B47C6C" w:rsidRPr="00F40192" w:rsidRDefault="00B47C6C" w:rsidP="008157CF">
      <w:pPr>
        <w:spacing w:after="0"/>
        <w:jc w:val="center"/>
        <w:rPr>
          <w:b/>
          <w:bCs/>
        </w:rPr>
      </w:pPr>
    </w:p>
    <w:p w14:paraId="63BC3A54" w14:textId="77777777" w:rsidR="00B47C6C" w:rsidRPr="00B47C6C" w:rsidRDefault="00B47C6C" w:rsidP="008157CF">
      <w:pPr>
        <w:spacing w:after="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Unconfused and Indivisible</w:t>
      </w:r>
    </w:p>
    <w:p w14:paraId="47168919" w14:textId="77777777" w:rsidR="008157CF" w:rsidRPr="00B47C6C" w:rsidRDefault="00B47C6C" w:rsidP="008157CF">
      <w:pPr>
        <w:spacing w:after="0"/>
        <w:jc w:val="center"/>
        <w:rPr>
          <w:rFonts w:ascii="Times New Roman" w:hAnsi="Times New Roman" w:cs="Times New Roman"/>
          <w:b/>
          <w:bCs/>
          <w:sz w:val="28"/>
          <w:szCs w:val="28"/>
          <w:lang w:val="en-US"/>
        </w:rPr>
      </w:pPr>
      <w:r w:rsidRPr="00B47C6C">
        <w:rPr>
          <w:rFonts w:ascii="Times New Roman" w:hAnsi="Times New Roman" w:cs="Times New Roman"/>
          <w:b/>
          <w:bCs/>
          <w:sz w:val="28"/>
          <w:szCs w:val="28"/>
          <w:lang w:val="en-US"/>
        </w:rPr>
        <w:t>The Mag</w:t>
      </w:r>
      <w:r>
        <w:rPr>
          <w:rFonts w:ascii="Times New Roman" w:hAnsi="Times New Roman" w:cs="Times New Roman"/>
          <w:b/>
          <w:bCs/>
          <w:sz w:val="28"/>
          <w:szCs w:val="28"/>
          <w:lang w:val="en-US"/>
        </w:rPr>
        <w:t>isterium in Ecclesial Communion</w:t>
      </w:r>
    </w:p>
    <w:p w14:paraId="46966317" w14:textId="77777777" w:rsidR="00E43B13" w:rsidRPr="00B47C6C" w:rsidRDefault="00E43B13" w:rsidP="00453815">
      <w:pPr>
        <w:pStyle w:val="NormalWeb"/>
        <w:spacing w:before="0" w:beforeAutospacing="0" w:after="0" w:afterAutospacing="0"/>
        <w:ind w:firstLine="708"/>
        <w:jc w:val="both"/>
        <w:rPr>
          <w:sz w:val="28"/>
          <w:szCs w:val="28"/>
          <w:lang w:val="en-US"/>
        </w:rPr>
      </w:pPr>
    </w:p>
    <w:p w14:paraId="12644F7C" w14:textId="77777777" w:rsidR="00E43B13" w:rsidRPr="00B47C6C" w:rsidRDefault="00E43B13" w:rsidP="00E43B13">
      <w:pPr>
        <w:pStyle w:val="NormalWeb"/>
        <w:spacing w:before="0" w:beforeAutospacing="0" w:after="0" w:afterAutospacing="0"/>
        <w:jc w:val="center"/>
        <w:rPr>
          <w:b/>
          <w:bCs/>
          <w:sz w:val="20"/>
          <w:szCs w:val="20"/>
          <w:lang w:val="en-US"/>
        </w:rPr>
      </w:pPr>
      <w:r w:rsidRPr="00B47C6C">
        <w:rPr>
          <w:b/>
          <w:bCs/>
          <w:sz w:val="20"/>
          <w:szCs w:val="20"/>
          <w:lang w:val="en-US"/>
        </w:rPr>
        <w:t>Abstract</w:t>
      </w:r>
    </w:p>
    <w:p w14:paraId="2D4A11A1" w14:textId="77777777" w:rsidR="00E43B13" w:rsidRPr="00E43B13" w:rsidRDefault="00E43B13" w:rsidP="00E43B13">
      <w:pPr>
        <w:pStyle w:val="NormalWeb"/>
        <w:spacing w:before="0" w:beforeAutospacing="0" w:after="0" w:afterAutospacing="0"/>
        <w:jc w:val="both"/>
        <w:rPr>
          <w:sz w:val="20"/>
          <w:szCs w:val="20"/>
          <w:lang w:val="en-US"/>
        </w:rPr>
      </w:pPr>
      <w:r w:rsidRPr="00E43B13">
        <w:rPr>
          <w:sz w:val="20"/>
          <w:szCs w:val="20"/>
          <w:lang w:val="en-US"/>
        </w:rPr>
        <w:t xml:space="preserve">It is by no means self-evident that within a community of faith there should exist an institution endowed with doctrinal authority. How can this phenomenon be theologically understood? Most fundamental is the sacramental dimension of the Church’s life, expressed most clearly in the Eucharist. The hierarchical Magisterium, itself sacra mentally qualified, possesses a liturgically grounded authority. For it points to what has been given to the Church as the essence of her faith. By contrast, it belongs to the task of all the faithful, and in a particular way of theologians, to translate what is given to the Church into their lives and thoughts. The hierarchical Magisterium is therefore bound to speculative abstinence, whereas the faithful as a whole, in relation to the Gospel – which is also guaranteed by the Magisterium – is called to cha rismatic creativity. As the essay further shows, this idea is communicable in an ecumenical context. </w:t>
      </w:r>
    </w:p>
    <w:p w14:paraId="0D930F34" w14:textId="77777777" w:rsidR="00E43B13" w:rsidRPr="00E43B13" w:rsidRDefault="00E43B13" w:rsidP="00E43B13">
      <w:pPr>
        <w:pStyle w:val="NormalWeb"/>
        <w:spacing w:before="0" w:beforeAutospacing="0" w:after="0" w:afterAutospacing="0"/>
        <w:jc w:val="both"/>
        <w:rPr>
          <w:sz w:val="20"/>
          <w:szCs w:val="20"/>
          <w:lang w:val="en-US"/>
        </w:rPr>
      </w:pPr>
    </w:p>
    <w:p w14:paraId="5DBAFCD4" w14:textId="77777777" w:rsidR="00E43B13" w:rsidRPr="00E43B13" w:rsidRDefault="00E43B13" w:rsidP="00E43B13">
      <w:pPr>
        <w:pStyle w:val="NormalWeb"/>
        <w:spacing w:before="0" w:beforeAutospacing="0" w:after="0" w:afterAutospacing="0"/>
        <w:jc w:val="both"/>
        <w:rPr>
          <w:sz w:val="20"/>
          <w:szCs w:val="20"/>
          <w:lang w:val="en-US"/>
        </w:rPr>
      </w:pPr>
      <w:r w:rsidRPr="00E43B13">
        <w:rPr>
          <w:b/>
          <w:bCs/>
          <w:sz w:val="20"/>
          <w:szCs w:val="20"/>
          <w:lang w:val="en-US"/>
        </w:rPr>
        <w:t>Keywords:</w:t>
      </w:r>
      <w:r w:rsidRPr="00E43B13">
        <w:rPr>
          <w:sz w:val="20"/>
          <w:szCs w:val="20"/>
          <w:lang w:val="en-US"/>
        </w:rPr>
        <w:t xml:space="preserve"> Pope – Bishops – regula fidei – sensus fidei of the faithful – Obedience – Institution – Dual system</w:t>
      </w:r>
    </w:p>
    <w:p w14:paraId="69824108" w14:textId="77777777" w:rsidR="00E43B13" w:rsidRPr="00E43B13" w:rsidRDefault="00E43B13" w:rsidP="00E43B13">
      <w:pPr>
        <w:pStyle w:val="NormalWeb"/>
        <w:spacing w:before="0" w:beforeAutospacing="0" w:after="0" w:afterAutospacing="0"/>
        <w:jc w:val="both"/>
        <w:rPr>
          <w:sz w:val="20"/>
          <w:szCs w:val="20"/>
          <w:lang w:val="en-US"/>
        </w:rPr>
      </w:pPr>
    </w:p>
    <w:p w14:paraId="4505BEF3" w14:textId="77777777" w:rsidR="00E43B13" w:rsidRPr="00E43B13" w:rsidRDefault="00E43B13" w:rsidP="00E43B13">
      <w:pPr>
        <w:pStyle w:val="NoSpacing"/>
        <w:jc w:val="center"/>
        <w:rPr>
          <w:rStyle w:val="Strong"/>
          <w:rFonts w:ascii="Times New Roman" w:hAnsi="Times New Roman" w:cs="Times New Roman"/>
          <w:sz w:val="20"/>
          <w:szCs w:val="20"/>
        </w:rPr>
      </w:pPr>
      <w:r w:rsidRPr="00E43B13">
        <w:rPr>
          <w:rStyle w:val="Strong"/>
          <w:rFonts w:ascii="Times New Roman" w:hAnsi="Times New Roman" w:cs="Times New Roman"/>
          <w:sz w:val="20"/>
          <w:szCs w:val="20"/>
        </w:rPr>
        <w:t>Streszczenie</w:t>
      </w:r>
    </w:p>
    <w:p w14:paraId="087B5177" w14:textId="77777777" w:rsidR="00E43B13" w:rsidRPr="00E43B13" w:rsidRDefault="00E43B13" w:rsidP="00E43B13">
      <w:pPr>
        <w:pStyle w:val="NormalWeb"/>
        <w:jc w:val="both"/>
        <w:rPr>
          <w:sz w:val="20"/>
          <w:szCs w:val="20"/>
        </w:rPr>
      </w:pPr>
      <w:r w:rsidRPr="00E43B13">
        <w:rPr>
          <w:sz w:val="20"/>
          <w:szCs w:val="20"/>
        </w:rPr>
        <w:t>Nie jest wcale oczywiste, że w ramach wspólnoty wiary powinna istnieć instytucja obdarzona autorytetem doktrynalnym. Jak można to zjawisko zrozumieć teologicznie? Najbardziej fundamentalnym wymiarem jest wymiar sakramentalny życia Kościoła, wyrażający się najpełniej w Eucharystii. Hierarchiczne nauczanie Kościoła, samo sakramentalnie kwalifikowane, posiada autorytet ugruntowany liturgicznie, ponieważ wskazuje na to, co zostało dane Kościołowi jako istota jego wiary. Natomiast do zadania wszystkich wiernych, a w szczególności teologów, należy przekładanie tego, co dane Kościołowi, na własne życie i myśli. Hierarchiczne nauczanie Kościoła jest zatem zobowiązane do powściągliwości spekulatywnej, podczas gdy wierni jako całość, w relacji do Ewangelii – która również jest gwarantowana przez nauczanie Kościoła – są wezwani do charyzmatycznej kreatywności. Jak pokazuje dalsza część eseju, ta idea jest komunikowalna również w kontekście ekumenicznym.</w:t>
      </w:r>
    </w:p>
    <w:p w14:paraId="7DF0E5E5" w14:textId="77777777" w:rsidR="00E43B13" w:rsidRPr="00E43B13" w:rsidRDefault="00E43B13" w:rsidP="00E43B13">
      <w:pPr>
        <w:pStyle w:val="NormalWeb"/>
        <w:spacing w:before="0" w:beforeAutospacing="0" w:after="0" w:afterAutospacing="0"/>
        <w:jc w:val="both"/>
        <w:rPr>
          <w:sz w:val="20"/>
          <w:szCs w:val="20"/>
        </w:rPr>
      </w:pPr>
      <w:r w:rsidRPr="00E43B13">
        <w:rPr>
          <w:rStyle w:val="Strong"/>
          <w:sz w:val="20"/>
          <w:szCs w:val="20"/>
        </w:rPr>
        <w:t>Słowa kluczowe:</w:t>
      </w:r>
      <w:r w:rsidRPr="00E43B13">
        <w:rPr>
          <w:sz w:val="20"/>
          <w:szCs w:val="20"/>
        </w:rPr>
        <w:t xml:space="preserve"> papież – biskupi – </w:t>
      </w:r>
      <w:r w:rsidRPr="00E43B13">
        <w:rPr>
          <w:rStyle w:val="Emphasis"/>
          <w:sz w:val="20"/>
          <w:szCs w:val="20"/>
        </w:rPr>
        <w:t>regula fidei</w:t>
      </w:r>
      <w:r w:rsidRPr="00E43B13">
        <w:rPr>
          <w:sz w:val="20"/>
          <w:szCs w:val="20"/>
        </w:rPr>
        <w:t xml:space="preserve"> – </w:t>
      </w:r>
      <w:r w:rsidRPr="00E43B13">
        <w:rPr>
          <w:rStyle w:val="Emphasis"/>
          <w:sz w:val="20"/>
          <w:szCs w:val="20"/>
        </w:rPr>
        <w:t>sensus fidei</w:t>
      </w:r>
      <w:r w:rsidRPr="00E43B13">
        <w:rPr>
          <w:sz w:val="20"/>
          <w:szCs w:val="20"/>
        </w:rPr>
        <w:t xml:space="preserve"> wiernych – posłuszeństwo – instytucja – system dualny</w:t>
      </w:r>
    </w:p>
    <w:p w14:paraId="1DB06DB7" w14:textId="77777777" w:rsidR="00E43B13" w:rsidRPr="00E43B13" w:rsidRDefault="00E43B13" w:rsidP="00E43B13">
      <w:pPr>
        <w:pStyle w:val="NormalWeb"/>
        <w:spacing w:before="0" w:beforeAutospacing="0" w:after="0" w:afterAutospacing="0"/>
        <w:jc w:val="both"/>
      </w:pPr>
    </w:p>
    <w:p w14:paraId="146DD223" w14:textId="77777777" w:rsidR="00E43B13" w:rsidRPr="00E43B13" w:rsidRDefault="00E43B13" w:rsidP="00453815">
      <w:pPr>
        <w:pStyle w:val="NormalWeb"/>
        <w:spacing w:before="0" w:beforeAutospacing="0" w:after="0" w:afterAutospacing="0"/>
        <w:ind w:firstLine="708"/>
        <w:jc w:val="both"/>
      </w:pPr>
    </w:p>
    <w:p w14:paraId="54233539" w14:textId="77777777" w:rsidR="00D91547" w:rsidRDefault="00351B93" w:rsidP="00453815">
      <w:pPr>
        <w:pStyle w:val="NormalWeb"/>
        <w:spacing w:before="0" w:beforeAutospacing="0" w:after="0" w:afterAutospacing="0"/>
        <w:ind w:firstLine="708"/>
        <w:jc w:val="both"/>
      </w:pPr>
      <w:r>
        <w:t>Dziwnie jest odczuwać, że religijna korporacja, która w swojej idei pojmowana jest jako wspólnota równych sobie, utrzymuje instancję posiadającą doktrynalne prawo do wydawania wytycznych</w:t>
      </w:r>
      <w:r>
        <w:rPr>
          <w:rStyle w:val="FootnoteReference"/>
        </w:rPr>
        <w:footnoteReference w:id="1"/>
      </w:r>
      <w:r>
        <w:t xml:space="preserve">. W rzeczywistości od dawna pojawia się pewien niepokój wobec </w:t>
      </w:r>
      <w:r>
        <w:lastRenderedPageBreak/>
        <w:t xml:space="preserve">tego, co ostatnio </w:t>
      </w:r>
      <w:r w:rsidR="00414F98">
        <w:t>ujawnia się w celach tak zwanej Synodalnej</w:t>
      </w:r>
      <w:r>
        <w:t xml:space="preserve"> Drogi w Niemczech. Pytanie brzmi: w jaki sposób możliwe są partycypacyjne formy praktycznego kierowania wspólnotą parafialną, a być może także – tradycyjnie mówiąc – władzy nauczania Kościoła? Krytykuje się „nieufność wobec form demokratycznych”, przy czym jako kontrargument przywołuje się m.in. przeszłość: wcześniej dobrze znano przecież „wybory, głosowania, żądania większości, ograniczenia kadencji, podział władzy, kontrolę i odpowiedzialność”</w:t>
      </w:r>
      <w:r w:rsidR="00A45DF7">
        <w:rPr>
          <w:rStyle w:val="FootnoteReference"/>
        </w:rPr>
        <w:footnoteReference w:id="2"/>
      </w:r>
      <w:r>
        <w:t>. Z tego powodu oczywiste jest, że „metody demokratycznego rozumienia samego siebie” są „dla ludzi współczesnych po prostu nie do pominięcia”</w:t>
      </w:r>
      <w:r w:rsidR="00A45DF7">
        <w:rPr>
          <w:rStyle w:val="FootnoteReference"/>
        </w:rPr>
        <w:footnoteReference w:id="3"/>
      </w:r>
      <w:r>
        <w:t>.</w:t>
      </w:r>
    </w:p>
    <w:p w14:paraId="65BDA17F" w14:textId="77777777" w:rsidR="00D91547" w:rsidRDefault="00D91547" w:rsidP="00D91547">
      <w:pPr>
        <w:pStyle w:val="NormalWeb"/>
        <w:spacing w:before="0" w:beforeAutospacing="0" w:after="0" w:afterAutospacing="0"/>
        <w:ind w:firstLine="708"/>
        <w:jc w:val="both"/>
      </w:pPr>
      <w:r>
        <w:t>Choć wniosek ten brzmi przekonująco, należy zachować ostrożność! Po pierwsze, mieszanki Pisma Świętego i Tradycji nie da się bezpośrednio zestawić z oczekiwaniami współczesnej świadomości demokratycznej, a po drugie, każde z wymienionych zjawisk odzwierciedla przeżyty poziom duchowy, który dziś trzeba dopiero osiągnąć w kontekście apeli o reformy.</w:t>
      </w:r>
    </w:p>
    <w:p w14:paraId="36E98484" w14:textId="77777777" w:rsidR="00351B93" w:rsidRPr="00453815" w:rsidRDefault="00D91547" w:rsidP="00453815">
      <w:pPr>
        <w:pStyle w:val="ListParagraph"/>
        <w:numPr>
          <w:ilvl w:val="0"/>
          <w:numId w:val="2"/>
        </w:numPr>
        <w:spacing w:beforeAutospacing="1" w:after="0" w:afterAutospacing="1" w:line="240" w:lineRule="auto"/>
        <w:jc w:val="both"/>
        <w:rPr>
          <w:rFonts w:ascii="Times New Roman" w:eastAsia="Times New Roman" w:hAnsi="Times New Roman" w:cs="Times New Roman"/>
          <w:b/>
          <w:bCs/>
          <w:iCs/>
          <w:sz w:val="24"/>
          <w:szCs w:val="24"/>
        </w:rPr>
      </w:pPr>
      <w:r w:rsidRPr="00453815">
        <w:rPr>
          <w:rFonts w:ascii="Times New Roman" w:hAnsi="Times New Roman" w:cs="Times New Roman"/>
          <w:b/>
          <w:bCs/>
          <w:iCs/>
          <w:sz w:val="24"/>
          <w:szCs w:val="24"/>
        </w:rPr>
        <w:t>Magisterium w procesie kształtowania</w:t>
      </w:r>
    </w:p>
    <w:p w14:paraId="378D8DB3" w14:textId="77777777" w:rsidR="00980FF4" w:rsidRDefault="000A7EE6" w:rsidP="00453815">
      <w:pPr>
        <w:pStyle w:val="NormalWeb"/>
        <w:spacing w:before="0" w:beforeAutospacing="0" w:after="0" w:afterAutospacing="0"/>
        <w:ind w:firstLine="708"/>
        <w:jc w:val="both"/>
      </w:pPr>
      <w:r>
        <w:t>We wczesnym K</w:t>
      </w:r>
      <w:r w:rsidR="00E43B13">
        <w:t>ościele zachowanie Magisterium</w:t>
      </w:r>
      <w:r>
        <w:t xml:space="preserve"> rozwijało się stosunkowo organicznie. Podstawowym elementem był zapewne związek między biskupią odpowiedzialnością za duszpasterstwo a biskupim zadaniem głoszenia kazań. To ostatnie zyskało co najmniej od III wieku trwałe znaczenie społeczne, ponieważ przyczyniało się do wychowania i edukacji ludu</w:t>
      </w:r>
      <w:r w:rsidR="00980FF4">
        <w:rPr>
          <w:rStyle w:val="FootnoteReference"/>
        </w:rPr>
        <w:footnoteReference w:id="4"/>
      </w:r>
      <w:r>
        <w:t>. Kultura grecko-rzymska przygotowała grunt w tej dziedzinie, a chrześcijańskie wspólnoty osadzone w jej ramach korzystały z tego. Ich biskupi wyostrzali profil wiary kościelnej z katedry, a ponieważ pozostawali ze sobą w kontakcie, ich myśl przyczyniła się do wykształcenia kolegialnej odpowiedzialności nauczania dla całych regionów. Wystąpienia homiletyczne wspierane były katechezami dla osób chcących nawrócenia, a do tego dochodziły „coroczne listy świąteczne oraz rozległa korespondencja osobista i oficjalna”</w:t>
      </w:r>
      <w:r w:rsidR="00980FF4">
        <w:rPr>
          <w:rStyle w:val="FootnoteReference"/>
        </w:rPr>
        <w:footnoteReference w:id="5"/>
      </w:r>
      <w:r>
        <w:t>. Kolegialnemu charakterowi nauczania wspólnotowego sprzyjały także akta synodalne, które przynajmniej częściowo „zostały zebrane w kolekcje kanoniczne”</w:t>
      </w:r>
      <w:r w:rsidR="006A6258">
        <w:rPr>
          <w:rStyle w:val="FootnoteReference"/>
        </w:rPr>
        <w:footnoteReference w:id="6"/>
      </w:r>
      <w:r>
        <w:t xml:space="preserve">. W miarę jak wczesny Kościół prezentował się jako </w:t>
      </w:r>
      <w:r>
        <w:rPr>
          <w:rStyle w:val="Emphasis"/>
        </w:rPr>
        <w:t>ecclesia episcoporum</w:t>
      </w:r>
      <w:r>
        <w:t>, umacniała się również jego instytucjonalizowana świadomość nauczania.</w:t>
      </w:r>
    </w:p>
    <w:p w14:paraId="4C81EC62" w14:textId="77777777" w:rsidR="00FB02E9" w:rsidRDefault="00FB02E9" w:rsidP="00E43B13">
      <w:pPr>
        <w:pStyle w:val="NormalWeb"/>
        <w:spacing w:before="0" w:beforeAutospacing="0" w:after="0" w:afterAutospacing="0"/>
        <w:ind w:firstLine="708"/>
        <w:jc w:val="both"/>
      </w:pPr>
      <w:r>
        <w:t xml:space="preserve">Z tego wynika przynajmniej jedna rzecz: autorytet </w:t>
      </w:r>
      <w:r w:rsidR="00E43B13">
        <w:t xml:space="preserve">Magisterium </w:t>
      </w:r>
      <w:r>
        <w:t xml:space="preserve">w Kościele wciąż wymaga oparcia w </w:t>
      </w:r>
      <w:r w:rsidRPr="00E43B13">
        <w:rPr>
          <w:rStyle w:val="Strong"/>
          <w:b w:val="0"/>
          <w:i/>
          <w:iCs/>
        </w:rPr>
        <w:t>Ordo Sacramentorum</w:t>
      </w:r>
      <w:r>
        <w:t xml:space="preserve">. Gdyby był motywowany jedynie prawniczo lub wyłącznie intelektualnie, siedziałby jak ciało obce w rodzinie wiary zrodzonej z misterium. Potrzebowałby uzasadnienia </w:t>
      </w:r>
      <w:r w:rsidRPr="00E43B13">
        <w:rPr>
          <w:rStyle w:val="Strong"/>
          <w:b w:val="0"/>
          <w:i/>
          <w:iCs/>
        </w:rPr>
        <w:t>sui generis</w:t>
      </w:r>
      <w:r>
        <w:t xml:space="preserve"> i w tym celu musiałby być albo wyżej oceniany niż sakramentalne, albo podporządkowany mu jedynie jako administracyjne uzupełnienie. Ani jedno, ani drugie nie oddawałoby sprawiedliwości misji kościelnego głoszenia wobec jej jezuicko-apostolskiego powiązania. Decyzje kierunkowe w ramach wspólnoty wierzących opierają się bowiem na kwestiach wiary, czyli mają charakter dogmatyczny; dogmat zaś jest </w:t>
      </w:r>
      <w:r w:rsidR="00414F98">
        <w:t>strukturą wielowarstwową. U</w:t>
      </w:r>
      <w:r>
        <w:t>praszczając: posiada „miękką” stronę wewnętrzną i stosunkowo „twardszą” stronę zewnętrzną. Prowadzi – indywidualnie i dobrowolnie – w duchowe głębie, ale wymaga też od wiernego wprost, w trzeźwej postaci, poczucia wspólnoty kościelnej. Odpowiednio więc autorytet magisterialny musi być użyteczny i celowy.</w:t>
      </w:r>
    </w:p>
    <w:p w14:paraId="2F565C12" w14:textId="77777777" w:rsidR="006A6258" w:rsidRDefault="006A6258" w:rsidP="006A6258">
      <w:pPr>
        <w:pStyle w:val="NormalWeb"/>
        <w:spacing w:before="0" w:beforeAutospacing="0" w:after="0" w:afterAutospacing="0"/>
        <w:jc w:val="both"/>
      </w:pPr>
    </w:p>
    <w:p w14:paraId="1F16EAAB" w14:textId="77777777" w:rsidR="006A6258" w:rsidRPr="00453815" w:rsidRDefault="006A6258" w:rsidP="00453815">
      <w:pPr>
        <w:pStyle w:val="NormalWeb"/>
        <w:numPr>
          <w:ilvl w:val="0"/>
          <w:numId w:val="2"/>
        </w:numPr>
        <w:spacing w:before="0" w:beforeAutospacing="0" w:after="0" w:afterAutospacing="0"/>
        <w:jc w:val="both"/>
        <w:rPr>
          <w:b/>
          <w:bCs/>
          <w:iCs/>
        </w:rPr>
      </w:pPr>
      <w:r w:rsidRPr="00453815">
        <w:rPr>
          <w:b/>
          <w:bCs/>
          <w:iCs/>
        </w:rPr>
        <w:t>Ten jeden nauczycie</w:t>
      </w:r>
      <w:r w:rsidR="00414F98">
        <w:rPr>
          <w:b/>
          <w:bCs/>
          <w:iCs/>
        </w:rPr>
        <w:t>l</w:t>
      </w:r>
    </w:p>
    <w:p w14:paraId="4D356A94" w14:textId="77777777" w:rsidR="00480F94" w:rsidRDefault="00480F94" w:rsidP="006A6258">
      <w:pPr>
        <w:pStyle w:val="NormalWeb"/>
        <w:spacing w:before="0" w:beforeAutospacing="0" w:after="0" w:afterAutospacing="0"/>
        <w:jc w:val="both"/>
      </w:pPr>
    </w:p>
    <w:p w14:paraId="15467C0C" w14:textId="77777777" w:rsidR="006A6258" w:rsidRDefault="00480F94" w:rsidP="00453815">
      <w:pPr>
        <w:pStyle w:val="NormalWeb"/>
        <w:spacing w:before="0" w:beforeAutospacing="0" w:after="0" w:afterAutospacing="0"/>
        <w:ind w:firstLine="708"/>
        <w:jc w:val="both"/>
      </w:pPr>
      <w:r>
        <w:t>Chociaż Stary Kościół znał regionalnie i koncepcyjnie różne akcenty w charakteryzowaniu posługi biskupiej (obok innych wysoko odpowiedzialnych form urzędowych), szczególną uwagę przyciągała idea „misji”: misja Jezusa od Ojca kontynuowała się – w Duchu Świętym – na poziomie kierowania Kościołem</w:t>
      </w:r>
      <w:r>
        <w:rPr>
          <w:rStyle w:val="FootnoteReference"/>
        </w:rPr>
        <w:footnoteReference w:id="7"/>
      </w:r>
      <w:r>
        <w:t>. W praktyce z głoszenia Słowa wypływała każda inna działalność duszpasterska, przede wszystkim troska o inicjację sakramentalną, a tym samym o uświęcenie całej wspólnoty wierzących.</w:t>
      </w:r>
    </w:p>
    <w:p w14:paraId="4C118863" w14:textId="77777777" w:rsidR="00480F94" w:rsidRDefault="00480F94" w:rsidP="00480F94">
      <w:pPr>
        <w:pStyle w:val="NormalWeb"/>
        <w:spacing w:before="0" w:beforeAutospacing="0" w:after="0" w:afterAutospacing="0"/>
        <w:ind w:firstLine="708"/>
        <w:jc w:val="both"/>
      </w:pPr>
      <w:r>
        <w:t>Takie rozumienie ustanawia w Kościele trwałe relacje „między równymi sobie”. Oznacza to, że urząd kościeln</w:t>
      </w:r>
      <w:r w:rsidR="00E43B13">
        <w:t>y na poziomie episkopalno - prez</w:t>
      </w:r>
      <w:r>
        <w:t>biter</w:t>
      </w:r>
      <w:r w:rsidR="00E43B13">
        <w:t>i</w:t>
      </w:r>
      <w:r>
        <w:t xml:space="preserve">alnym może być akceptowalny jedynie w formie powiernictwa, z pominięciem osobistych przywilejów. W tym właśnie tkwi jego sakramentalny charakter: biskup kieruje wspólnotą i czyni to w najwyższy sposób jako powołany </w:t>
      </w:r>
      <w:r w:rsidRPr="00684188">
        <w:t xml:space="preserve">Mistagog </w:t>
      </w:r>
      <w:r>
        <w:t>Ewangelii – a jednocześnie, jak wszyscy inni chrześcijanie, pozostaje słuchaczem Słowa bez żadnego szczególnego statusu. Patrolog Louis Bouyer formułuje – pozornie prowokacyjnie, lecz w duchu Ojców Kościoła, jako paradoks – następująco: „Bez sakramentalnego urzędu nie byłoby powszechnego kapłaństwa, ponieważ to ostatnie może być sprawowane jedynie przez ciało, którego niezbędną głową jest biskup. Gdyby biskup nie przewodniczył głoszeniu Słowa i celebracji eucharystycznej, nikt nie mógłby się modlić, ofiarować i przyjmować Komunii”</w:t>
      </w:r>
      <w:r>
        <w:rPr>
          <w:rStyle w:val="FootnoteReference"/>
        </w:rPr>
        <w:footnoteReference w:id="8"/>
      </w:r>
      <w:r>
        <w:t>.</w:t>
      </w:r>
    </w:p>
    <w:p w14:paraId="57AA285D" w14:textId="77777777" w:rsidR="00480F94" w:rsidRDefault="00480F94" w:rsidP="00480F94">
      <w:pPr>
        <w:pStyle w:val="NormalWeb"/>
        <w:spacing w:before="0" w:beforeAutospacing="0" w:after="0" w:afterAutospacing="0"/>
        <w:ind w:firstLine="708"/>
        <w:jc w:val="both"/>
      </w:pPr>
      <w:r>
        <w:t xml:space="preserve">Jeżeli ten sposób patrzenia, wykształcony w toku rozwoju wielkiego Kościoła, znajduje dziś uznanie, wyłania się jako kolejne elementarne rozumienie sakramentalnie wyposażonego magisterium następująca zasada: jego </w:t>
      </w:r>
      <w:r w:rsidRPr="00684188">
        <w:rPr>
          <w:rStyle w:val="Strong"/>
          <w:b w:val="0"/>
          <w:i/>
          <w:iCs/>
        </w:rPr>
        <w:t>signum</w:t>
      </w:r>
      <w:r w:rsidRPr="00684188">
        <w:rPr>
          <w:b/>
          <w:i/>
          <w:iCs/>
        </w:rPr>
        <w:t xml:space="preserve"> </w:t>
      </w:r>
      <w:r>
        <w:t>polega na tym, że nie jest rozdzielone na barki wszystkich ochrzczonych i dlatego nie jest także polifoniczne. Musi natomiast przemawiać jednym głosem, analogicznie do jednego Słowa Ewangelii w jego soteriologicznej niepowtarzalności</w:t>
      </w:r>
      <w:r w:rsidR="00065B62">
        <w:rPr>
          <w:rStyle w:val="FootnoteReference"/>
        </w:rPr>
        <w:footnoteReference w:id="9"/>
      </w:r>
      <w:r>
        <w:t xml:space="preserve">. W tym kontekście systematyk </w:t>
      </w:r>
      <w:r w:rsidRPr="00480F94">
        <w:rPr>
          <w:rStyle w:val="Strong"/>
          <w:b w:val="0"/>
        </w:rPr>
        <w:t>Gregory Baum</w:t>
      </w:r>
      <w:r>
        <w:t xml:space="preserve">, działający w bliskim kręgu </w:t>
      </w:r>
      <w:r w:rsidR="00414F98">
        <w:t>II Soboru Watykańskiego</w:t>
      </w:r>
      <w:r>
        <w:t>, zauważa: „Ta posługa Słowa sprawowana przez hierarchiczne kapłaństwo jest magisterium kościelnym w jego pierwszym i najprawdziwszym sensie. Poprzez to magisterium Chrystus sprawuje własne nauczanie w Kościele”. Baum podkreśla liturgiczne osadzenie Chrystusowego przesłania. Odpowiednio kwalifikuje (eucharystyczną) celebrację jako „stałe magisterium” i, podobnie jak Bouyer, docenia całe zgromadzenie wiernych za jego wysokie powołanie: w liturgii „lud zostaje ukształtowany i pouczony przez Słowo Boże. Tutaj Pisma otrzymują swoje najgłębsze znaczenie w kontekście zgromadzonej na nabożeństwie wspólnoty wierzących. Tutaj Ewangelia znajduje zastosowanie do konkretnej sytuacji wiernych”</w:t>
      </w:r>
      <w:r w:rsidR="00065B62">
        <w:rPr>
          <w:rStyle w:val="FootnoteReference"/>
        </w:rPr>
        <w:footnoteReference w:id="10"/>
      </w:r>
      <w:r>
        <w:t>.</w:t>
      </w:r>
    </w:p>
    <w:p w14:paraId="35DB4EED" w14:textId="77777777" w:rsidR="00FD4B3E" w:rsidRDefault="00FD4B3E" w:rsidP="00FD4B3E">
      <w:pPr>
        <w:pStyle w:val="NormalWeb"/>
        <w:spacing w:before="0" w:beforeAutospacing="0" w:after="0" w:afterAutospacing="0"/>
        <w:jc w:val="both"/>
      </w:pPr>
    </w:p>
    <w:p w14:paraId="396FBD74" w14:textId="77777777" w:rsidR="00FD4B3E" w:rsidRPr="00453815" w:rsidRDefault="00FD4B3E" w:rsidP="00453815">
      <w:pPr>
        <w:pStyle w:val="NormalWeb"/>
        <w:numPr>
          <w:ilvl w:val="0"/>
          <w:numId w:val="2"/>
        </w:numPr>
        <w:spacing w:before="0" w:beforeAutospacing="0" w:after="0" w:afterAutospacing="0"/>
        <w:jc w:val="both"/>
        <w:rPr>
          <w:b/>
          <w:bCs/>
          <w:iCs/>
        </w:rPr>
      </w:pPr>
      <w:r w:rsidRPr="00453815">
        <w:rPr>
          <w:b/>
          <w:bCs/>
          <w:iCs/>
        </w:rPr>
        <w:t>Nauczanie i posłuszeństwo</w:t>
      </w:r>
    </w:p>
    <w:p w14:paraId="0EC3DF70" w14:textId="77777777" w:rsidR="00FD4B3E" w:rsidRPr="00FD4B3E" w:rsidRDefault="00FD4B3E" w:rsidP="00480F94">
      <w:pPr>
        <w:pStyle w:val="NormalWeb"/>
        <w:spacing w:before="0" w:beforeAutospacing="0" w:after="0" w:afterAutospacing="0"/>
        <w:ind w:firstLine="708"/>
        <w:jc w:val="both"/>
        <w:rPr>
          <w:i/>
        </w:rPr>
      </w:pPr>
    </w:p>
    <w:p w14:paraId="0B5F8C6E" w14:textId="77777777" w:rsidR="00FD4B3E" w:rsidRDefault="00FD4B3E" w:rsidP="00453815">
      <w:pPr>
        <w:pStyle w:val="NormalWeb"/>
        <w:spacing w:before="0" w:beforeAutospacing="0" w:after="0" w:afterAutospacing="0"/>
        <w:ind w:firstLine="708"/>
        <w:jc w:val="both"/>
      </w:pPr>
      <w:r>
        <w:t xml:space="preserve">Hierarchiczne magisterium jest zatem osadzone liturgicznie. W związku z tym pozostaje zorientowane liturgicznie i z tendencją konserwatywną. Liturgia – w każdym </w:t>
      </w:r>
      <w:r>
        <w:lastRenderedPageBreak/>
        <w:t>przypadku eucharystyczna – żyje powtarzalnością wypracowanych porządków, możliwie zrównoważonych tekstów modlitw i standardowych odniesień biblijnych. W analogiczny sposób nauczanie Kościoła nie przedstawia niczego innego, jak Ewangelii zgodnie z Pismem Świętym.</w:t>
      </w:r>
    </w:p>
    <w:p w14:paraId="6B9B0909" w14:textId="77777777" w:rsidR="00FD4B3E" w:rsidRDefault="00414F98" w:rsidP="00FD4B3E">
      <w:pPr>
        <w:pStyle w:val="NormalWeb"/>
        <w:spacing w:before="0" w:beforeAutospacing="0" w:after="0" w:afterAutospacing="0"/>
        <w:ind w:firstLine="708"/>
        <w:jc w:val="both"/>
      </w:pPr>
      <w:r>
        <w:t>Pierwotne chrześcijański</w:t>
      </w:r>
      <w:r w:rsidR="00FD4B3E">
        <w:t xml:space="preserve"> </w:t>
      </w:r>
      <w:r w:rsidR="00FD4B3E" w:rsidRPr="00FD4B3E">
        <w:rPr>
          <w:rStyle w:val="Strong"/>
          <w:b w:val="0"/>
        </w:rPr>
        <w:t>kerygmat</w:t>
      </w:r>
      <w:r w:rsidR="00FD4B3E">
        <w:t xml:space="preserve"> pozostaje pod opieką magisterium, o ile stał się wraz z </w:t>
      </w:r>
      <w:r w:rsidR="00FD4B3E">
        <w:rPr>
          <w:rStyle w:val="Emphasis"/>
        </w:rPr>
        <w:t>regula fidei</w:t>
      </w:r>
      <w:r w:rsidR="00FD4B3E">
        <w:t xml:space="preserve"> żelazną racją chrześcijaństwa i w ten sposób ustanawia standardy – że Bóg w swoim Synu objawił się światu raz na zawsze, że oddał go na krzyżu i przez moc Ducha wyrwał śmierci, że tym samym Duchem lud Boży przechodzi przez dzieje, aż pewnego dnia wraz z nim zostanie uwielbione „wszystkie ciało”</w:t>
      </w:r>
      <w:r w:rsidR="00FD4B3E">
        <w:rPr>
          <w:rStyle w:val="FootnoteReference"/>
        </w:rPr>
        <w:footnoteReference w:id="11"/>
      </w:r>
      <w:r w:rsidR="00FD4B3E">
        <w:t xml:space="preserve"> (Jl 3,1a).</w:t>
      </w:r>
    </w:p>
    <w:p w14:paraId="35B69D80" w14:textId="77777777" w:rsidR="00FD4B3E" w:rsidRDefault="00FD4B3E" w:rsidP="00FD4B3E">
      <w:pPr>
        <w:pStyle w:val="NormalWeb"/>
        <w:spacing w:before="0" w:beforeAutospacing="0" w:after="0" w:afterAutospacing="0"/>
        <w:ind w:firstLine="708"/>
        <w:jc w:val="both"/>
      </w:pPr>
      <w:r>
        <w:t>Zobowiązanie do uważności, odnoszące się do rdzenia wiary, nakłada na hierarchiczne magisterium teologiczno-spekulatywną powściągliwość, jeśli nie wręcz surową abstynencję. Reakcje na Słowo, które ono gwarantuje, leżą bowiem poza jego przynależną ekspresją. Magisterium urzędników Kościoła zachowuje jednolitość Ewangelii poprzez słowo biblijno-liturgiczne, podczas gdy odpowiedź na nie jest polifoniczna i przyjmuje formę w egzystencjalnej przestrzeni rezonansu całej wspólnoty celebrującej. Jej spekulatywny geniusz wykracza poza liturgiczne zgromadzenie i w ten sposób kreuje argument teologiczny: myślenie biblijne, wiedzę filozoficzną, etos inspirowany chrześcijaństwem. Zarówno podejrzliwa, jak i zapewniająca uwaga, że twórcza moc kierunkowa jest aktem posłuszeństwa dla wiernych bez urzędu hierarchicznego, podważałaby godność chrztu tych osób.</w:t>
      </w:r>
    </w:p>
    <w:p w14:paraId="39C4FB76" w14:textId="77777777" w:rsidR="009E259C" w:rsidRDefault="009E259C" w:rsidP="009E259C">
      <w:pPr>
        <w:pStyle w:val="NormalWeb"/>
        <w:spacing w:before="0" w:beforeAutospacing="0" w:after="0" w:afterAutospacing="0"/>
        <w:ind w:firstLine="708"/>
        <w:jc w:val="both"/>
      </w:pPr>
      <w:r>
        <w:t xml:space="preserve">Cała wspólnota wierzących jest zobowiązana do posłuszeństwa i w związku z tym odwołana do </w:t>
      </w:r>
      <w:r>
        <w:rPr>
          <w:rStyle w:val="Emphasis"/>
        </w:rPr>
        <w:t>regula fidei</w:t>
      </w:r>
      <w:r>
        <w:t xml:space="preserve"> oraz jej liturgicznej struktury zaczerpniętej z </w:t>
      </w:r>
      <w:r w:rsidRPr="00E10FD8">
        <w:rPr>
          <w:rStyle w:val="Strong"/>
          <w:b w:val="0"/>
        </w:rPr>
        <w:t>thesaurus</w:t>
      </w:r>
      <w:r>
        <w:t xml:space="preserve"> biblijnie poświadczonej historii zbawienia</w:t>
      </w:r>
      <w:r w:rsidR="00E10FD8">
        <w:rPr>
          <w:rStyle w:val="FootnoteReference"/>
        </w:rPr>
        <w:footnoteReference w:id="12"/>
      </w:r>
      <w:r>
        <w:t xml:space="preserve">. W ten sposób wola kształtowania liturgii, zwłaszcza w nurcie świeckich uczuć życiowych, napotyka granice. Chrześcijańskie posłuszeństwo jest posłuszeństwem oświeconym. Jest to „posłuszeństwo synowskie” (Louis Bouyer), ponieważ hamuje popęd do autoprezentacji i w ten sposób desubiektywizuje liturgię: nie należy ani do kleru, ani do żadnych grup aktywistycznych. W kręgu wspólnoty celebrującej nie ma potężnych i bezsilnych, ani spiskujących protagonistów z oklaskującą ich publicznością. Raczej słuchający Słowa pełnią wobec siebie nawzajem funkcje proklamacyjne i wzajemnie recepcyjne. Hierarchiczne magisterium pojawia się niejako jako megafon liturgicznie ogłoszonej Ewangelii, aby chronić ją dla siebie i innych zarówno jako zapewnienie, jak i jako korektyw przed trywializacją. Orzeczenia magisterialne pełnią rolę znaków ostrzegawczych, jak sygnał alarmowy, a nie nowego paliwa w rywalizacji szkół teologicznych. Mówienie magisterialne ma z tego powodu również charakter wytrwały, powtarzalny i dbający o przekazaną tradycją porządkową strukturę. </w:t>
      </w:r>
      <w:r w:rsidRPr="00684188">
        <w:rPr>
          <w:rStyle w:val="Strong"/>
          <w:b w:val="0"/>
          <w:i/>
          <w:iCs/>
        </w:rPr>
        <w:t>Sententialiter determinare</w:t>
      </w:r>
      <w:r>
        <w:t xml:space="preserve"> (Tomasz z Akwinu) – to jego fach, swobodnie tłumacząc: coś umocować, coś wytyczyć, coś przez podwójne podkreślenie wyróżnić jako wartość</w:t>
      </w:r>
      <w:r w:rsidR="00E10FD8">
        <w:rPr>
          <w:rStyle w:val="FootnoteReference"/>
        </w:rPr>
        <w:footnoteReference w:id="13"/>
      </w:r>
      <w:r>
        <w:t xml:space="preserve">. Na korzyść oficjalnie ogłaszanego podczas liturgii Kościoła Słowa Ewangelii hierarchiczne magisterium ma w przypadku upartej nieprzejednalności – gdyż liturgia zakłada pojednanie – ostatnie słowo. O </w:t>
      </w:r>
      <w:r w:rsidRPr="00A5129F">
        <w:rPr>
          <w:color w:val="FF0000"/>
        </w:rPr>
        <w:t>teologiczne systemy lub ich kontakt z pulsem czasu w idealnym przypadku nie decyduje się wówczas nic</w:t>
      </w:r>
      <w:r>
        <w:t>. Za to odpowiada świat akademicki, za to odpowiada duchowe zmaganie ochrzczonych. Oczywiście także teologiczna rywalizacja musi móc zabrzmieć i dojrzeć. Bywała ona zbyt często pochopnie tłumiona lub po prostu ignorowana.</w:t>
      </w:r>
    </w:p>
    <w:p w14:paraId="54EFAE0A" w14:textId="77777777" w:rsidR="0028048C" w:rsidRDefault="0028048C" w:rsidP="009E259C">
      <w:pPr>
        <w:pStyle w:val="NormalWeb"/>
        <w:spacing w:before="0" w:beforeAutospacing="0" w:after="0" w:afterAutospacing="0"/>
        <w:ind w:firstLine="708"/>
        <w:jc w:val="both"/>
      </w:pPr>
    </w:p>
    <w:p w14:paraId="09F49D1D" w14:textId="77777777" w:rsidR="0028048C" w:rsidRPr="00453815" w:rsidRDefault="0028048C" w:rsidP="00453815">
      <w:pPr>
        <w:pStyle w:val="NormalWeb"/>
        <w:numPr>
          <w:ilvl w:val="0"/>
          <w:numId w:val="2"/>
        </w:numPr>
        <w:spacing w:before="0" w:beforeAutospacing="0" w:after="0" w:afterAutospacing="0"/>
        <w:jc w:val="both"/>
        <w:rPr>
          <w:b/>
          <w:bCs/>
          <w:iCs/>
        </w:rPr>
      </w:pPr>
      <w:r w:rsidRPr="00453815">
        <w:rPr>
          <w:b/>
          <w:bCs/>
          <w:iCs/>
        </w:rPr>
        <w:lastRenderedPageBreak/>
        <w:t>Magisterium teologii</w:t>
      </w:r>
    </w:p>
    <w:p w14:paraId="083C0F18" w14:textId="77777777" w:rsidR="00BA5095" w:rsidRPr="0028048C" w:rsidRDefault="00BA5095" w:rsidP="0028048C">
      <w:pPr>
        <w:pStyle w:val="NormalWeb"/>
        <w:spacing w:before="0" w:beforeAutospacing="0" w:after="0" w:afterAutospacing="0"/>
        <w:jc w:val="both"/>
        <w:rPr>
          <w:i/>
        </w:rPr>
      </w:pPr>
    </w:p>
    <w:p w14:paraId="031BCFFC" w14:textId="77777777" w:rsidR="00255911" w:rsidRDefault="0028048C" w:rsidP="00453815">
      <w:pPr>
        <w:pStyle w:val="NormalWeb"/>
        <w:spacing w:before="0" w:beforeAutospacing="0" w:after="0" w:afterAutospacing="0"/>
        <w:ind w:firstLine="708"/>
        <w:jc w:val="both"/>
      </w:pPr>
      <w:r>
        <w:t xml:space="preserve">Podejmowanie działalności magisterialnej oznacza więc rezygnację ze spekulatywnych wzlotów myśli. Aby lepiej zrozumieć to zdanie, trzeba jeszcze raz odwołać się do genezy magisterium opartego na </w:t>
      </w:r>
      <w:r w:rsidRPr="0028048C">
        <w:rPr>
          <w:rStyle w:val="Strong"/>
          <w:b w:val="0"/>
        </w:rPr>
        <w:t>ordo</w:t>
      </w:r>
      <w:r>
        <w:t xml:space="preserve"> w czasach Kościoła starożytnego: biskupi głoszą kazania w duchu Pisma Świętego i ukształtowanej tradycji liturgicznej. Z katedry interpretują celebrowaną Ewangelię zgodnie z </w:t>
      </w:r>
      <w:r>
        <w:rPr>
          <w:rStyle w:val="Emphasis"/>
        </w:rPr>
        <w:t>regula fidei</w:t>
      </w:r>
      <w:r>
        <w:t>. Piszą do siebie listy i od czasu do czasu organizują synody. Nie ulega wątpliwości, że chodzi przy tym również o problemy teologiczne, jednak wymiana ta odbywa się w celu wzajemnego upewnienia się na drodze poszukiwania minimalnego stopnia zgodności w nauczaniu.</w:t>
      </w:r>
    </w:p>
    <w:p w14:paraId="5D0695DE" w14:textId="77777777" w:rsidR="00255911" w:rsidRDefault="00255911" w:rsidP="00255911">
      <w:pPr>
        <w:pStyle w:val="NormalWeb"/>
        <w:spacing w:before="0" w:beforeAutospacing="0" w:after="0" w:afterAutospacing="0"/>
        <w:ind w:firstLine="708"/>
        <w:jc w:val="both"/>
      </w:pPr>
      <w:r>
        <w:t xml:space="preserve">Takie zainteresowanie charakteryzuje również wielkie wydarzenia soborowe, podczas których należało rozstrzygać o wiążących normach w obliczu wysoce złożonych rozważań myślowych. Na przykład w </w:t>
      </w:r>
      <w:r>
        <w:rPr>
          <w:rStyle w:val="whitespace-normal"/>
          <w:bCs/>
        </w:rPr>
        <w:t>Soborze</w:t>
      </w:r>
      <w:r w:rsidRPr="00255911">
        <w:rPr>
          <w:rStyle w:val="whitespace-normal"/>
          <w:bCs/>
        </w:rPr>
        <w:t xml:space="preserve"> Chalcedoński</w:t>
      </w:r>
      <w:r>
        <w:rPr>
          <w:rStyle w:val="whitespace-normal"/>
          <w:bCs/>
        </w:rPr>
        <w:t>m</w:t>
      </w:r>
      <w:r>
        <w:t xml:space="preserve"> w roku 451 zastosowano formułę kompromisową, która zawdzięcza swoje powstanie kilku – także przeciwstawnych – stanowiskom szkół teologicznych</w:t>
      </w:r>
      <w:r>
        <w:rPr>
          <w:rStyle w:val="FootnoteReference"/>
        </w:rPr>
        <w:footnoteReference w:id="14"/>
      </w:r>
      <w:r>
        <w:t xml:space="preserve">. Decyzję podejmowano w nadziei na pokój wewnątrz Kościoła, przy czym przypuszczalnie bardziej wyostrzone myślenie aktualnie zgromadzonych nie odgrywało decydującej roli. W codziennym życiu i w konkretnych miejscach – co stanowi normalny kontekst działania biskupów – obowiązuje coś podobnego. Od posiadaczy katedr nie oczekuje się wybitnej wiedzy specjalistycznej, lecz raczej gotowości do umacniania zdolności do jedności poszczególnych Kościołów lokalnych zarówno </w:t>
      </w:r>
      <w:r w:rsidRPr="00255911">
        <w:rPr>
          <w:rStyle w:val="Strong"/>
          <w:b w:val="0"/>
          <w:i/>
        </w:rPr>
        <w:t>ad intra</w:t>
      </w:r>
      <w:r>
        <w:t xml:space="preserve">, jak i </w:t>
      </w:r>
      <w:r w:rsidRPr="00255911">
        <w:rPr>
          <w:rStyle w:val="Strong"/>
          <w:b w:val="0"/>
          <w:i/>
        </w:rPr>
        <w:t>ad extra</w:t>
      </w:r>
      <w:r>
        <w:rPr>
          <w:rStyle w:val="FootnoteReference"/>
          <w:bCs/>
          <w:i/>
        </w:rPr>
        <w:footnoteReference w:id="15"/>
      </w:r>
      <w:r>
        <w:t>. Troska o tę jedność może niekiedy prowadzić nie tylko do kompromisów, lecz także do decyzji podejmowanych bez w pełni wyjaśnionej argumentacji</w:t>
      </w:r>
      <w:r>
        <w:rPr>
          <w:rStyle w:val="FootnoteReference"/>
        </w:rPr>
        <w:footnoteReference w:id="16"/>
      </w:r>
      <w:r>
        <w:t xml:space="preserve">. Czy jest to intelektualne wyzwanie? </w:t>
      </w:r>
    </w:p>
    <w:p w14:paraId="60B03CA4" w14:textId="77777777" w:rsidR="00FF37E1" w:rsidRDefault="00FF37E1" w:rsidP="00FF37E1">
      <w:pPr>
        <w:pStyle w:val="NormalWeb"/>
        <w:spacing w:before="0" w:beforeAutospacing="0" w:after="0" w:afterAutospacing="0"/>
        <w:ind w:firstLine="708"/>
        <w:jc w:val="both"/>
      </w:pPr>
      <w:r>
        <w:t>Być może. Jest to jednak również konieczny akt pokory. Bez niego biskupi i papież mogliby dopuścić się zgubnego przekroczenia granicy. Mogliby ulec pokusie sprawowania swojego magisterium jako dumni wszystkowiedzący, a nie jako neutralni powiernicy podstawowych danych właściwych Kościołowi. Istniałoby wtedy niebezpieczeństwo, że własne stanowisko teologiczne – które z natury rzeczy jest ukształtowane biograficznie i socjologicznie w zakresie wiedzy, a zatem z konieczności selektywne – zostałoby podniesione do rangi niepodważalnej, fundamentalnej nauki obowiązującej wszystkich.</w:t>
      </w:r>
    </w:p>
    <w:p w14:paraId="64134BFF" w14:textId="77777777" w:rsidR="00FF37E1" w:rsidRDefault="00FF37E1" w:rsidP="00FF37E1">
      <w:pPr>
        <w:pStyle w:val="NormalWeb"/>
        <w:spacing w:before="0" w:beforeAutospacing="0" w:after="0" w:afterAutospacing="0"/>
        <w:ind w:firstLine="708"/>
        <w:jc w:val="both"/>
      </w:pPr>
      <w:r>
        <w:t xml:space="preserve">Opublikowana przed kilkoma laty trylogia o Jezusie autorstwa </w:t>
      </w:r>
      <w:r w:rsidRPr="00FF37E1">
        <w:rPr>
          <w:rStyle w:val="whitespace-normal"/>
          <w:bCs/>
        </w:rPr>
        <w:t>Papieża Benedykta</w:t>
      </w:r>
      <w:r>
        <w:rPr>
          <w:rStyle w:val="whitespace-normal"/>
          <w:b/>
          <w:bCs/>
        </w:rPr>
        <w:t xml:space="preserve"> </w:t>
      </w:r>
      <w:r w:rsidRPr="00FF37E1">
        <w:rPr>
          <w:rStyle w:val="whitespace-normal"/>
          <w:bCs/>
        </w:rPr>
        <w:t>XVI</w:t>
      </w:r>
      <w:r>
        <w:t xml:space="preserve"> stanowi w tym kontekście dobry przykład. Wiadomo przecież, że pojawia się tam wezwanie, aby w razie potrzeby sprzeciwiać się nie papieżowi Ben</w:t>
      </w:r>
      <w:r w:rsidR="00A54263">
        <w:t xml:space="preserve">edyktowi, lecz </w:t>
      </w:r>
      <w:r>
        <w:t xml:space="preserve"> </w:t>
      </w:r>
      <w:r w:rsidRPr="00FF37E1">
        <w:rPr>
          <w:rStyle w:val="whitespace-normal"/>
          <w:bCs/>
        </w:rPr>
        <w:t>Joseph</w:t>
      </w:r>
      <w:r w:rsidR="00A54263">
        <w:rPr>
          <w:rStyle w:val="whitespace-normal"/>
          <w:bCs/>
        </w:rPr>
        <w:t>owi</w:t>
      </w:r>
      <w:r w:rsidRPr="00FF37E1">
        <w:rPr>
          <w:rStyle w:val="whitespace-normal"/>
          <w:bCs/>
        </w:rPr>
        <w:t xml:space="preserve"> Ratzinger</w:t>
      </w:r>
      <w:r w:rsidR="00A54263">
        <w:rPr>
          <w:rStyle w:val="whitespace-normal"/>
          <w:bCs/>
        </w:rPr>
        <w:t>owi</w:t>
      </w:r>
      <w:r w:rsidR="0099705D">
        <w:rPr>
          <w:rStyle w:val="FootnoteReference"/>
          <w:bCs/>
        </w:rPr>
        <w:footnoteReference w:id="17"/>
      </w:r>
      <w:r>
        <w:t xml:space="preserve">. </w:t>
      </w:r>
      <w:r>
        <w:rPr>
          <w:rStyle w:val="Emphasis"/>
        </w:rPr>
        <w:t>Nota bene:</w:t>
      </w:r>
      <w:r>
        <w:t xml:space="preserve"> najwyższy, a w pewnych okolicznościach jedyny w Kościele katolickim </w:t>
      </w:r>
      <w:r w:rsidR="00A54263">
        <w:t xml:space="preserve">przedstawiciel </w:t>
      </w:r>
      <w:r>
        <w:t>autorytetu nauczania dla całego Kościoła wypowiada się tu prywatnie jako teolog. Jak zatem mają się do siebie papieskie rozstrzygnięcie i teologiczna subtelność, jeśli jedno i drugie wychodzi spod tego samego pióra?</w:t>
      </w:r>
    </w:p>
    <w:p w14:paraId="53576F78" w14:textId="77777777" w:rsidR="00FF37E1" w:rsidRDefault="0099705D" w:rsidP="00255911">
      <w:pPr>
        <w:pStyle w:val="NormalWeb"/>
        <w:spacing w:before="0" w:beforeAutospacing="0" w:after="0" w:afterAutospacing="0"/>
        <w:ind w:firstLine="708"/>
        <w:jc w:val="both"/>
      </w:pPr>
      <w:r>
        <w:t xml:space="preserve">Pokora działa tu i tam w sposób uspokajający. Papież stoi w służbie jedności Kościoła oraz </w:t>
      </w:r>
      <w:r>
        <w:rPr>
          <w:rStyle w:val="Emphasis"/>
        </w:rPr>
        <w:t>una traditio catholica</w:t>
      </w:r>
      <w:r>
        <w:t>; nie ma mandatu do przejęcia władzy intelektualnej.</w:t>
      </w:r>
      <w:r w:rsidR="00A5129F">
        <w:t xml:space="preserve"> Natomiast teologowie</w:t>
      </w:r>
      <w:r>
        <w:t xml:space="preserve"> są przygotowani do dyskursu, lecz nie dysponują pastoralną władzą decyzyjną. Dlatego też nie przysługuje im równoległe ani uzupełniające magisterium. Zakładałoby to bowiem, że poszukują oni konsensu i – podobnie jak papież oraz biskupi – przemawiają jednomyślnie. Tymczasem właściwością teologii jest wielogłosowość. Żyje ona z pytań </w:t>
      </w:r>
      <w:r>
        <w:lastRenderedPageBreak/>
        <w:t>stawianych w odniesieniu do czasu, z krytycznej refleksji oraz z różnorodności stanowisk. „Kolegialność” niewiele w tym względzie znaczy dla jej pracy.</w:t>
      </w:r>
    </w:p>
    <w:p w14:paraId="5C5C35C5" w14:textId="77777777" w:rsidR="00C266E0" w:rsidRPr="00453815" w:rsidRDefault="00C266E0" w:rsidP="00453815">
      <w:pPr>
        <w:pStyle w:val="NormalWeb"/>
        <w:numPr>
          <w:ilvl w:val="0"/>
          <w:numId w:val="2"/>
        </w:numPr>
        <w:jc w:val="both"/>
        <w:rPr>
          <w:b/>
          <w:bCs/>
          <w:iCs/>
        </w:rPr>
      </w:pPr>
      <w:r w:rsidRPr="00453815">
        <w:rPr>
          <w:b/>
          <w:bCs/>
          <w:iCs/>
        </w:rPr>
        <w:t>Nauczanie w systemie dualnym</w:t>
      </w:r>
    </w:p>
    <w:p w14:paraId="5887A4FA" w14:textId="77777777" w:rsidR="00F57136" w:rsidRDefault="00C266E0" w:rsidP="00453815">
      <w:pPr>
        <w:pStyle w:val="NormalWeb"/>
        <w:spacing w:before="0" w:beforeAutospacing="0" w:after="0" w:afterAutospacing="0"/>
        <w:ind w:firstLine="708"/>
        <w:jc w:val="both"/>
        <w:rPr>
          <w:b/>
        </w:rPr>
      </w:pPr>
      <w:r w:rsidRPr="00C266E0">
        <w:rPr>
          <w:rStyle w:val="Strong"/>
          <w:b w:val="0"/>
        </w:rPr>
        <w:t xml:space="preserve">Dzięki wspomnianemu pojęciu </w:t>
      </w:r>
      <w:r w:rsidR="00A5129F">
        <w:rPr>
          <w:rStyle w:val="Strong"/>
          <w:b w:val="0"/>
        </w:rPr>
        <w:t xml:space="preserve">II Sobór Watykański </w:t>
      </w:r>
      <w:r w:rsidRPr="00C266E0">
        <w:rPr>
          <w:rStyle w:val="Strong"/>
          <w:b w:val="0"/>
        </w:rPr>
        <w:t>uwolnił hierarchiczny sposób nauczania papieża i biskupów od wcześniejszych ograniczeń:</w:t>
      </w:r>
      <w:r>
        <w:t xml:space="preserve"> biskupowi Rzymu przysługuje – razem z jego współbraćmi na całym świecie, z zachowaniem szczególnej pozycji papieskiej – </w:t>
      </w:r>
      <w:r w:rsidRPr="00C266E0">
        <w:rPr>
          <w:rStyle w:val="Strong"/>
          <w:b w:val="0"/>
        </w:rPr>
        <w:t>„najwyższa” władza nauczycielska</w:t>
      </w:r>
      <w:r>
        <w:rPr>
          <w:rStyle w:val="FootnoteReference"/>
          <w:bCs/>
        </w:rPr>
        <w:footnoteReference w:id="18"/>
      </w:r>
      <w:r w:rsidRPr="00C266E0">
        <w:rPr>
          <w:b/>
        </w:rPr>
        <w:t>.</w:t>
      </w:r>
      <w:r>
        <w:rPr>
          <w:b/>
        </w:rPr>
        <w:t xml:space="preserve"> </w:t>
      </w:r>
      <w:r>
        <w:t xml:space="preserve">Powszechna odpowiedzialność za świadomość wiary w Kościele słusznie realizuje się </w:t>
      </w:r>
      <w:r w:rsidRPr="00C266E0">
        <w:rPr>
          <w:rStyle w:val="Strong"/>
          <w:b w:val="0"/>
        </w:rPr>
        <w:t>kolegialnie</w:t>
      </w:r>
      <w:r>
        <w:t xml:space="preserve"> i w miarę możliwości </w:t>
      </w:r>
      <w:r w:rsidRPr="00C266E0">
        <w:rPr>
          <w:rStyle w:val="Strong"/>
          <w:b w:val="0"/>
        </w:rPr>
        <w:t>bez indywidualnych odstępstw czy działań wbrew wspólnemu stanowisku</w:t>
      </w:r>
      <w:r w:rsidRPr="00C266E0">
        <w:rPr>
          <w:b/>
        </w:rPr>
        <w:t>.</w:t>
      </w:r>
      <w:r>
        <w:rPr>
          <w:b/>
        </w:rPr>
        <w:t xml:space="preserve"> </w:t>
      </w:r>
      <w:r>
        <w:t xml:space="preserve">Gdyby warunkiem wstąpienia do episkopatu było ścisłe porozumienie oparte na przynależności do określonych szkół teologicznych, zasób odpowiednich kandydatów szybko by się wyczerpał. Być może zanikłoby również poczucie, że do zadań hierarchicznego urzędu nauczycielskiego należy </w:t>
      </w:r>
      <w:r w:rsidRPr="00C266E0">
        <w:rPr>
          <w:rStyle w:val="Strong"/>
          <w:b w:val="0"/>
        </w:rPr>
        <w:t>strzeżenie dziedzictwa powierzonego całemu Kościołowi</w:t>
      </w:r>
      <w:r w:rsidRPr="00C266E0">
        <w:rPr>
          <w:b/>
        </w:rPr>
        <w:t>.</w:t>
      </w:r>
    </w:p>
    <w:p w14:paraId="66D0DF90" w14:textId="77777777" w:rsidR="006F3F3F" w:rsidRDefault="00F57136" w:rsidP="006F3F3F">
      <w:pPr>
        <w:pStyle w:val="NormalWeb"/>
        <w:spacing w:before="0" w:beforeAutospacing="0" w:after="0" w:afterAutospacing="0"/>
        <w:ind w:firstLine="708"/>
        <w:jc w:val="both"/>
        <w:rPr>
          <w:b/>
        </w:rPr>
      </w:pPr>
      <w:r>
        <w:t xml:space="preserve">Dość niejasno artykułowana tendencja w tekstach </w:t>
      </w:r>
      <w:r w:rsidRPr="00F57136">
        <w:rPr>
          <w:rStyle w:val="whitespace-normal"/>
          <w:bCs/>
        </w:rPr>
        <w:t>Droga Synodalna w Niemczech</w:t>
      </w:r>
      <w:r>
        <w:t xml:space="preserve">, aby także autorytet nauczycielski Kościoła powiązać z siecią pluralistycznych opinii teologicznych — najlepiej pod opieką jednego, swobodnie wybranego gremium — niesie ze sobą ryzyko, że </w:t>
      </w:r>
      <w:r w:rsidRPr="00F57136">
        <w:rPr>
          <w:rStyle w:val="Strong"/>
          <w:b w:val="0"/>
        </w:rPr>
        <w:t>podział władzy</w:t>
      </w:r>
      <w:r>
        <w:t>, który sam w sobie jest wartością pożądaną, zacznie w sposób ukryty zanikać</w:t>
      </w:r>
      <w:r>
        <w:rPr>
          <w:rStyle w:val="FootnoteReference"/>
        </w:rPr>
        <w:footnoteReference w:id="19"/>
      </w:r>
      <w:r>
        <w:t xml:space="preserve">. Ponieważ Kościół widzi swojego autentycznego nauczyciela wyłącznie w osobie </w:t>
      </w:r>
      <w:r w:rsidRPr="00F57136">
        <w:rPr>
          <w:rStyle w:val="whitespace-normal"/>
          <w:bCs/>
        </w:rPr>
        <w:t>Jezus</w:t>
      </w:r>
      <w:r w:rsidR="00A5129F">
        <w:rPr>
          <w:rStyle w:val="whitespace-normal"/>
          <w:bCs/>
        </w:rPr>
        <w:t>a</w:t>
      </w:r>
      <w:r>
        <w:rPr>
          <w:rStyle w:val="whitespace-normal"/>
          <w:b/>
          <w:bCs/>
        </w:rPr>
        <w:t xml:space="preserve"> </w:t>
      </w:r>
      <w:r w:rsidRPr="00F57136">
        <w:rPr>
          <w:rStyle w:val="whitespace-normal"/>
          <w:bCs/>
        </w:rPr>
        <w:t>Chrystus</w:t>
      </w:r>
      <w:r w:rsidRPr="00F57136">
        <w:t>,</w:t>
      </w:r>
      <w:r>
        <w:t xml:space="preserve"> potrzebuje strukturalnego znaku swojej zależności od Niego. Kościół nie jest bowiem źródłem samego siebie ani sam siebie nie naucza. </w:t>
      </w:r>
      <w:r w:rsidRPr="00F57136">
        <w:rPr>
          <w:rStyle w:val="Strong"/>
          <w:b w:val="0"/>
        </w:rPr>
        <w:t>Słucha — i rozumie. Otrzymuje</w:t>
      </w:r>
      <w:r>
        <w:rPr>
          <w:rStyle w:val="Strong"/>
        </w:rPr>
        <w:t xml:space="preserve"> — </w:t>
      </w:r>
      <w:r w:rsidRPr="00F57136">
        <w:rPr>
          <w:rStyle w:val="Strong"/>
          <w:b w:val="0"/>
        </w:rPr>
        <w:t>i odpowiada</w:t>
      </w:r>
      <w:r>
        <w:rPr>
          <w:rStyle w:val="Strong"/>
        </w:rPr>
        <w:t>.</w:t>
      </w:r>
      <w:r>
        <w:t xml:space="preserve"> Głosi Ewangelię i rozwija jej treść. Dzieje się to w sposób </w:t>
      </w:r>
      <w:r w:rsidRPr="00F57136">
        <w:rPr>
          <w:rStyle w:val="Strong"/>
          <w:b w:val="0"/>
        </w:rPr>
        <w:t>powierniczy</w:t>
      </w:r>
      <w:r>
        <w:t xml:space="preserve">, a więc obiektywnie i urzędowo, a zarazem </w:t>
      </w:r>
      <w:r w:rsidRPr="00F57136">
        <w:rPr>
          <w:rStyle w:val="Strong"/>
          <w:b w:val="0"/>
        </w:rPr>
        <w:t>charyzmatycznie</w:t>
      </w:r>
      <w:r>
        <w:t>, gdy ochrzczeni wnoszą do tego całe swoje osobiste życie i myślenie.</w:t>
      </w:r>
    </w:p>
    <w:p w14:paraId="761D81DC" w14:textId="77777777" w:rsidR="002816B2" w:rsidRDefault="00F57136" w:rsidP="002816B2">
      <w:pPr>
        <w:pStyle w:val="NormalWeb"/>
        <w:spacing w:before="0" w:beforeAutospacing="0" w:after="0" w:afterAutospacing="0"/>
        <w:ind w:firstLine="708"/>
        <w:jc w:val="both"/>
        <w:rPr>
          <w:b/>
        </w:rPr>
      </w:pPr>
      <w:r>
        <w:t xml:space="preserve">Czy jednak może się zdarzyć, że taki w pewnym sensie </w:t>
      </w:r>
      <w:r w:rsidRPr="006F3F3F">
        <w:rPr>
          <w:rStyle w:val="Strong"/>
          <w:b w:val="0"/>
        </w:rPr>
        <w:t>dualny opis zadań</w:t>
      </w:r>
      <w:r>
        <w:t xml:space="preserve"> utrwala problematyczne myślenie stanowe — </w:t>
      </w:r>
      <w:r w:rsidRPr="006F3F3F">
        <w:rPr>
          <w:rStyle w:val="Strong"/>
          <w:b w:val="0"/>
        </w:rPr>
        <w:t>wyższy urząd nauczycielski stojący ponad ogółem</w:t>
      </w:r>
      <w:r>
        <w:rPr>
          <w:rStyle w:val="Strong"/>
        </w:rPr>
        <w:t xml:space="preserve"> </w:t>
      </w:r>
      <w:r w:rsidRPr="006F3F3F">
        <w:rPr>
          <w:rStyle w:val="Strong"/>
          <w:b w:val="0"/>
        </w:rPr>
        <w:t>ochrzczonych</w:t>
      </w:r>
      <w:r>
        <w:t>? W ten sposób synodalność z pewnością nie mogłaby się urzeczywistnić.</w:t>
      </w:r>
      <w:r w:rsidR="006F3F3F">
        <w:t xml:space="preserve"> </w:t>
      </w:r>
      <w:r>
        <w:t xml:space="preserve">Kościół jest </w:t>
      </w:r>
      <w:r w:rsidRPr="00B47C6C">
        <w:rPr>
          <w:rStyle w:val="Strong"/>
          <w:b w:val="0"/>
          <w:i/>
          <w:iCs/>
        </w:rPr>
        <w:t>communio</w:t>
      </w:r>
      <w:r w:rsidRPr="006F3F3F">
        <w:rPr>
          <w:b/>
        </w:rPr>
        <w:t xml:space="preserve"> </w:t>
      </w:r>
      <w:r>
        <w:t xml:space="preserve">— braterską, pozbawioną stopni wspólnotą dzięki swojemu powołaniu i obietnicy danej wszystkim. Jednak Kościół jest także wspólnotą </w:t>
      </w:r>
      <w:r w:rsidRPr="006F3F3F">
        <w:rPr>
          <w:rStyle w:val="Strong"/>
          <w:b w:val="0"/>
        </w:rPr>
        <w:t>stworzoną, prowadzoną, mającą własną strukturę i pozostającą zależną od czegoś, co ją przekracza</w:t>
      </w:r>
      <w:r>
        <w:t>.</w:t>
      </w:r>
      <w:r w:rsidR="006F3F3F">
        <w:t xml:space="preserve"> </w:t>
      </w:r>
      <w:r>
        <w:t xml:space="preserve">Dogmatyk </w:t>
      </w:r>
      <w:r>
        <w:rPr>
          <w:rStyle w:val="whitespace-normal"/>
        </w:rPr>
        <w:t>Roland Faber</w:t>
      </w:r>
      <w:r>
        <w:t xml:space="preserve"> for</w:t>
      </w:r>
      <w:r w:rsidR="00B47C6C">
        <w:t xml:space="preserve">mułuje to w następujący sposób: </w:t>
      </w:r>
      <w:r>
        <w:t>„</w:t>
      </w:r>
      <w:r w:rsidRPr="006F3F3F">
        <w:rPr>
          <w:rStyle w:val="Strong"/>
          <w:b w:val="0"/>
        </w:rPr>
        <w:t>Nowe istnienie</w:t>
      </w:r>
      <w:r>
        <w:t xml:space="preserve"> Kościoła jest czymś </w:t>
      </w:r>
      <w:r>
        <w:rPr>
          <w:rStyle w:val="Emphasis"/>
        </w:rPr>
        <w:t>danym jako własne</w:t>
      </w:r>
      <w:r>
        <w:t xml:space="preserve">, to znaczy: stało się czymś własnym, a jednocześnie pozostaje w nim czymś zawsze i nieustannie dawanym. W tym podwójnym charakterze konstytutywnie dokonuje się ono zawsze w </w:t>
      </w:r>
      <w:r w:rsidRPr="00684188">
        <w:rPr>
          <w:rStyle w:val="Strong"/>
          <w:b w:val="0"/>
          <w:i/>
          <w:iCs/>
        </w:rPr>
        <w:t>communio</w:t>
      </w:r>
      <w:r w:rsidRPr="006F3F3F">
        <w:rPr>
          <w:b/>
        </w:rPr>
        <w:t xml:space="preserve"> </w:t>
      </w:r>
      <w:r>
        <w:t xml:space="preserve">— niejako jako wewnętrzny warunek wstępny i element istotowy — która może być przeżywana jedynie jako trwałe, nieustannie darowane uczestnictwo w </w:t>
      </w:r>
      <w:r w:rsidRPr="006F3F3F">
        <w:rPr>
          <w:rStyle w:val="Strong"/>
          <w:b w:val="0"/>
        </w:rPr>
        <w:t>boskim życiu trynitarnym</w:t>
      </w:r>
      <w:r>
        <w:t>, a konkretnie w Synu”</w:t>
      </w:r>
      <w:r w:rsidR="002816B2">
        <w:rPr>
          <w:rStyle w:val="FootnoteReference"/>
        </w:rPr>
        <w:footnoteReference w:id="20"/>
      </w:r>
      <w:r>
        <w:t>.</w:t>
      </w:r>
    </w:p>
    <w:p w14:paraId="650BBA00" w14:textId="77777777" w:rsidR="002816B2" w:rsidRDefault="002816B2" w:rsidP="002816B2">
      <w:pPr>
        <w:pStyle w:val="NormalWeb"/>
        <w:spacing w:before="0" w:beforeAutospacing="0" w:after="0" w:afterAutospacing="0"/>
        <w:ind w:firstLine="708"/>
        <w:jc w:val="both"/>
      </w:pPr>
      <w:r>
        <w:t xml:space="preserve">W Kościele </w:t>
      </w:r>
      <w:r w:rsidRPr="002816B2">
        <w:rPr>
          <w:rStyle w:val="Strong"/>
          <w:b w:val="0"/>
        </w:rPr>
        <w:t>nie ma kast</w:t>
      </w:r>
      <w:r>
        <w:t xml:space="preserve">. Jednak istnieje </w:t>
      </w:r>
      <w:r w:rsidRPr="002816B2">
        <w:rPr>
          <w:rStyle w:val="Strong"/>
          <w:b w:val="0"/>
        </w:rPr>
        <w:t>oscylacja między heteronomią a autonomią</w:t>
      </w:r>
      <w:r>
        <w:t xml:space="preserve"> oraz jej strukturalny ślad. Dzięki temu można dostrzec </w:t>
      </w:r>
      <w:r w:rsidRPr="002816B2">
        <w:rPr>
          <w:rStyle w:val="Strong"/>
          <w:b w:val="0"/>
        </w:rPr>
        <w:t>ontyczny nadmiar</w:t>
      </w:r>
      <w:r>
        <w:t xml:space="preserve">, który definiuje bycie chrześcijaninem: </w:t>
      </w:r>
      <w:r w:rsidRPr="002816B2">
        <w:rPr>
          <w:rStyle w:val="Strong"/>
          <w:b w:val="0"/>
        </w:rPr>
        <w:t>każdy człowiek może być czymś większym i głębszym, niż mógłby osiągnąć tylko w oparciu o własne możliwości</w:t>
      </w:r>
      <w:r w:rsidRPr="002816B2">
        <w:rPr>
          <w:b/>
        </w:rPr>
        <w:t>.</w:t>
      </w:r>
      <w:r>
        <w:t xml:space="preserve"> Kościół żyje </w:t>
      </w:r>
      <w:r w:rsidRPr="00684188">
        <w:rPr>
          <w:rStyle w:val="Strong"/>
          <w:b w:val="0"/>
          <w:i/>
          <w:iCs/>
        </w:rPr>
        <w:t>communio</w:t>
      </w:r>
      <w:r>
        <w:t xml:space="preserve"> na pozornie utopijnym obszarze </w:t>
      </w:r>
      <w:r w:rsidRPr="002816B2">
        <w:rPr>
          <w:rStyle w:val="Strong"/>
          <w:b w:val="0"/>
        </w:rPr>
        <w:t>Bożego panowania wszczepionego w świat</w:t>
      </w:r>
      <w:r>
        <w:t xml:space="preserve">, którego „zalążkiem” i „zastawem” jest </w:t>
      </w:r>
      <w:r w:rsidRPr="002816B2">
        <w:rPr>
          <w:rStyle w:val="Strong"/>
          <w:b w:val="0"/>
        </w:rPr>
        <w:t>Duch Święty</w:t>
      </w:r>
      <w:r>
        <w:t>.</w:t>
      </w:r>
    </w:p>
    <w:p w14:paraId="0DEB6D31" w14:textId="77777777" w:rsidR="001F5218" w:rsidRDefault="001F5218" w:rsidP="00C266E0">
      <w:pPr>
        <w:pStyle w:val="NormalWeb"/>
        <w:spacing w:before="0" w:beforeAutospacing="0" w:after="0" w:afterAutospacing="0"/>
        <w:ind w:firstLine="708"/>
        <w:jc w:val="both"/>
      </w:pPr>
    </w:p>
    <w:p w14:paraId="1BC8A674" w14:textId="77777777" w:rsidR="001F5218" w:rsidRPr="00453815" w:rsidRDefault="001F5218" w:rsidP="00453815">
      <w:pPr>
        <w:pStyle w:val="NormalWeb"/>
        <w:numPr>
          <w:ilvl w:val="0"/>
          <w:numId w:val="2"/>
        </w:numPr>
        <w:spacing w:before="0" w:beforeAutospacing="0" w:after="0" w:afterAutospacing="0"/>
        <w:jc w:val="both"/>
        <w:rPr>
          <w:b/>
          <w:bCs/>
          <w:iCs/>
        </w:rPr>
      </w:pPr>
      <w:r w:rsidRPr="00453815">
        <w:rPr>
          <w:b/>
          <w:bCs/>
          <w:iCs/>
        </w:rPr>
        <w:lastRenderedPageBreak/>
        <w:t>Symbioza duchowa</w:t>
      </w:r>
    </w:p>
    <w:p w14:paraId="7BA665B6" w14:textId="77777777" w:rsidR="008157CF" w:rsidRDefault="008157CF" w:rsidP="001F5218">
      <w:pPr>
        <w:pStyle w:val="NormalWeb"/>
        <w:spacing w:before="0" w:beforeAutospacing="0" w:after="0" w:afterAutospacing="0"/>
        <w:jc w:val="both"/>
        <w:rPr>
          <w:i/>
        </w:rPr>
      </w:pPr>
    </w:p>
    <w:p w14:paraId="3998F273" w14:textId="77777777" w:rsidR="00986580" w:rsidRDefault="00D66A83" w:rsidP="00453815">
      <w:pPr>
        <w:pStyle w:val="NormalWeb"/>
        <w:spacing w:before="0" w:beforeAutospacing="0" w:after="0" w:afterAutospacing="0"/>
        <w:ind w:firstLine="708"/>
        <w:jc w:val="both"/>
      </w:pPr>
      <w:r>
        <w:t xml:space="preserve">To, że </w:t>
      </w:r>
      <w:r w:rsidRPr="00AD2DAE">
        <w:rPr>
          <w:rStyle w:val="Strong"/>
          <w:b w:val="0"/>
        </w:rPr>
        <w:t>Kościół w ogóle, a jego misja nauczycielska w szczególności, zawdzięcza się darowi Ducha Świętego</w:t>
      </w:r>
      <w:r>
        <w:t>, nie jest charakterystyczne wyłącznie dla katolicyzmu. Chrześcijaństwo reformacyjne o tradycji luterańskiej jest przekonane</w:t>
      </w:r>
      <w:r w:rsidRPr="00AD2DAE">
        <w:rPr>
          <w:b/>
        </w:rPr>
        <w:t xml:space="preserve">: </w:t>
      </w:r>
      <w:r w:rsidRPr="00AD2DAE">
        <w:rPr>
          <w:rStyle w:val="Strong"/>
          <w:b w:val="0"/>
        </w:rPr>
        <w:t>kto otwiera się na poświadczone i głoszone Słowo, ten również przyjmuje przesłanie i zostaje w stanie za nie odpowiadać</w:t>
      </w:r>
      <w:r>
        <w:t>.</w:t>
      </w:r>
      <w:r w:rsidR="00AD2DAE">
        <w:t xml:space="preserve"> </w:t>
      </w:r>
      <w:r w:rsidRPr="00684188">
        <w:rPr>
          <w:rStyle w:val="Strong"/>
          <w:b w:val="0"/>
          <w:i/>
          <w:iCs/>
        </w:rPr>
        <w:t>Pneuma</w:t>
      </w:r>
      <w:r>
        <w:t xml:space="preserve"> udziela — niezawodnie </w:t>
      </w:r>
      <w:r w:rsidR="00AD2DAE">
        <w:t>poprzez</w:t>
      </w:r>
      <w:r>
        <w:t xml:space="preserve"> </w:t>
      </w:r>
      <w:r w:rsidR="00AD2DAE">
        <w:t>głoszone</w:t>
      </w:r>
      <w:r>
        <w:t xml:space="preserve"> Słowo Boże — </w:t>
      </w:r>
      <w:r w:rsidRPr="00AD2DAE">
        <w:rPr>
          <w:rStyle w:val="Strong"/>
          <w:b w:val="0"/>
        </w:rPr>
        <w:t>„oświecenia” (</w:t>
      </w:r>
      <w:r w:rsidRPr="00684188">
        <w:rPr>
          <w:rStyle w:val="Strong"/>
          <w:b w:val="0"/>
          <w:i/>
          <w:iCs/>
        </w:rPr>
        <w:t>illuminatio</w:t>
      </w:r>
      <w:r w:rsidRPr="00AD2DAE">
        <w:rPr>
          <w:rStyle w:val="Strong"/>
          <w:b w:val="0"/>
        </w:rPr>
        <w:t>)</w:t>
      </w:r>
      <w:r w:rsidRPr="00AD2DAE">
        <w:rPr>
          <w:b/>
        </w:rPr>
        <w:t>,</w:t>
      </w:r>
      <w:r>
        <w:t xml:space="preserve"> aby </w:t>
      </w:r>
      <w:r w:rsidRPr="00AD2DAE">
        <w:rPr>
          <w:rStyle w:val="Strong"/>
          <w:b w:val="0"/>
        </w:rPr>
        <w:t>„człowiek mógł właściwie ocenić znaczenie Ewangelii”</w:t>
      </w:r>
      <w:r w:rsidR="00AD2DAE">
        <w:rPr>
          <w:rStyle w:val="FootnoteReference"/>
          <w:bCs/>
        </w:rPr>
        <w:footnoteReference w:id="21"/>
      </w:r>
      <w:r>
        <w:t>.</w:t>
      </w:r>
    </w:p>
    <w:p w14:paraId="3B99FF04" w14:textId="77777777" w:rsidR="00826B6F" w:rsidRDefault="00986580" w:rsidP="00826B6F">
      <w:pPr>
        <w:pStyle w:val="NormalWeb"/>
        <w:spacing w:before="0" w:beforeAutospacing="0" w:after="0" w:afterAutospacing="0"/>
        <w:ind w:firstLine="708"/>
        <w:jc w:val="both"/>
      </w:pPr>
      <w:r>
        <w:t xml:space="preserve">To </w:t>
      </w:r>
      <w:r w:rsidRPr="00986580">
        <w:rPr>
          <w:rStyle w:val="Strong"/>
          <w:b w:val="0"/>
        </w:rPr>
        <w:t>głęboko wewnętrzne, w pewnym sensie prywatne wydarzenie</w:t>
      </w:r>
      <w:r>
        <w:t xml:space="preserve"> jest jednocześnie ujęte z zewnątrz — przede wszystkim przez </w:t>
      </w:r>
      <w:r w:rsidRPr="00986580">
        <w:rPr>
          <w:rStyle w:val="Strong"/>
          <w:b w:val="0"/>
        </w:rPr>
        <w:t>wierzący Kościół jako całość</w:t>
      </w:r>
      <w:r>
        <w:t xml:space="preserve">, a wtórnie przez </w:t>
      </w:r>
      <w:r w:rsidRPr="00986580">
        <w:rPr>
          <w:rStyle w:val="Strong"/>
          <w:b w:val="0"/>
        </w:rPr>
        <w:t>kościelny urząd kaznodziejski</w:t>
      </w:r>
      <w:r>
        <w:t xml:space="preserve">, któremu przypada funkcja regulacyjna w nauczaniu wiary, włącznie z władzą udzielania rozgrzeszenia. </w:t>
      </w:r>
      <w:r w:rsidRPr="00986580">
        <w:rPr>
          <w:rStyle w:val="Strong"/>
          <w:b w:val="0"/>
        </w:rPr>
        <w:t>Wspólnota wierzących przekazuje autorytet nauczania</w:t>
      </w:r>
      <w:r>
        <w:t xml:space="preserve"> — i jednocześnie mu się podporządkowuje, może go jednak </w:t>
      </w:r>
      <w:r w:rsidR="009F0EE0" w:rsidRPr="009F0EE0">
        <w:rPr>
          <w:i/>
        </w:rPr>
        <w:t>in dubiis</w:t>
      </w:r>
      <w:r>
        <w:t xml:space="preserve"> cofnąć. </w:t>
      </w:r>
      <w:r w:rsidRPr="00986580">
        <w:rPr>
          <w:rStyle w:val="Strong"/>
          <w:b w:val="0"/>
        </w:rPr>
        <w:t>„Ustala różne stopnie w urzędzie nauczycielskim, ale dzieje się to wyłącznie z powodów porządku zewnętrznego, a podstawowe prawa głoszenia Słowa i sprawowania sakramentów są jednakowe dla wszystkich”</w:t>
      </w:r>
      <w:r w:rsidR="009F0EE0">
        <w:rPr>
          <w:rStyle w:val="FootnoteReference"/>
          <w:bCs/>
        </w:rPr>
        <w:footnoteReference w:id="22"/>
      </w:r>
      <w:r>
        <w:t>.</w:t>
      </w:r>
    </w:p>
    <w:p w14:paraId="1DD9231B" w14:textId="77777777" w:rsidR="008912D5" w:rsidRDefault="00826B6F" w:rsidP="008912D5">
      <w:pPr>
        <w:pStyle w:val="NormalWeb"/>
        <w:spacing w:before="0" w:beforeAutospacing="0" w:after="0" w:afterAutospacing="0"/>
        <w:ind w:firstLine="708"/>
        <w:jc w:val="both"/>
      </w:pPr>
      <w:r>
        <w:t xml:space="preserve">W </w:t>
      </w:r>
      <w:r w:rsidRPr="00826B6F">
        <w:rPr>
          <w:rStyle w:val="Strong"/>
          <w:b w:val="0"/>
        </w:rPr>
        <w:t>ortodoksji</w:t>
      </w:r>
      <w:r>
        <w:t xml:space="preserve"> widoczny jest podobny obraz, jednak </w:t>
      </w:r>
      <w:r w:rsidRPr="00826B6F">
        <w:rPr>
          <w:rStyle w:val="Strong"/>
          <w:b w:val="0"/>
        </w:rPr>
        <w:t>związek jednostek z Duchem</w:t>
      </w:r>
      <w:r>
        <w:rPr>
          <w:rStyle w:val="Strong"/>
        </w:rPr>
        <w:t xml:space="preserve"> </w:t>
      </w:r>
      <w:r w:rsidRPr="00826B6F">
        <w:rPr>
          <w:rStyle w:val="Strong"/>
          <w:b w:val="0"/>
        </w:rPr>
        <w:t>Bożym</w:t>
      </w:r>
      <w:r>
        <w:t xml:space="preserve"> jest tu potwierdzany poprzez </w:t>
      </w:r>
      <w:r w:rsidRPr="00826B6F">
        <w:rPr>
          <w:rStyle w:val="Strong"/>
          <w:b w:val="0"/>
        </w:rPr>
        <w:t>sakramentalne sprawowanie liturgii pod</w:t>
      </w:r>
      <w:r>
        <w:rPr>
          <w:rStyle w:val="Strong"/>
        </w:rPr>
        <w:t xml:space="preserve"> </w:t>
      </w:r>
      <w:r w:rsidRPr="00826B6F">
        <w:rPr>
          <w:rStyle w:val="Strong"/>
          <w:b w:val="0"/>
        </w:rPr>
        <w:t>przewodnictwem prawowicie wyświęconych biskupów</w:t>
      </w:r>
      <w:r>
        <w:t xml:space="preserve">, którzy są strażnikami tradycji biblijnej i ojców Kościoła. Również tutaj </w:t>
      </w:r>
      <w:r w:rsidRPr="00826B6F">
        <w:rPr>
          <w:rStyle w:val="Strong"/>
          <w:b w:val="0"/>
        </w:rPr>
        <w:t>zgromadzona wspólnota polega na oświeceniu</w:t>
      </w:r>
      <w:r>
        <w:rPr>
          <w:rStyle w:val="Strong"/>
        </w:rPr>
        <w:t xml:space="preserve"> </w:t>
      </w:r>
      <w:r w:rsidRPr="00826B6F">
        <w:rPr>
          <w:rStyle w:val="Strong"/>
          <w:b w:val="0"/>
        </w:rPr>
        <w:t>wewnętrznego człowieka przed Bogiem</w:t>
      </w:r>
      <w:r w:rsidRPr="00826B6F">
        <w:rPr>
          <w:b/>
        </w:rPr>
        <w:t>,</w:t>
      </w:r>
      <w:r>
        <w:t xml:space="preserve"> ale istnieje przekonanie, że można je </w:t>
      </w:r>
      <w:r w:rsidRPr="00826B6F">
        <w:rPr>
          <w:rStyle w:val="Strong"/>
          <w:b w:val="0"/>
        </w:rPr>
        <w:t>konkretnie „doświadczyć”</w:t>
      </w:r>
      <w:r>
        <w:t>: „Kościół w swojej całości przeżywa tajemnicę zbawienia w pełni poprzez obecność i działanie Ducha Świętego</w:t>
      </w:r>
      <w:r w:rsidR="00A173E3">
        <w:t>”</w:t>
      </w:r>
      <w:r>
        <w:rPr>
          <w:rStyle w:val="FootnoteReference"/>
        </w:rPr>
        <w:footnoteReference w:id="23"/>
      </w:r>
      <w:r w:rsidR="00A173E3">
        <w:t xml:space="preserve">. </w:t>
      </w:r>
      <w:r>
        <w:t xml:space="preserve"> On objawia </w:t>
      </w:r>
      <w:r w:rsidRPr="00826B6F">
        <w:rPr>
          <w:rStyle w:val="Strong"/>
          <w:b w:val="0"/>
        </w:rPr>
        <w:t>„boską rzeczywistość nie jako teorię intelektualną, lecz jako tajemnicze życie, wyższe od naszego immanentnego życia”</w:t>
      </w:r>
      <w:r w:rsidR="00A173E3">
        <w:rPr>
          <w:rStyle w:val="FootnoteReference"/>
          <w:bCs/>
        </w:rPr>
        <w:footnoteReference w:id="24"/>
      </w:r>
      <w:r w:rsidRPr="00826B6F">
        <w:t>.</w:t>
      </w:r>
    </w:p>
    <w:p w14:paraId="2E2496CE" w14:textId="77777777" w:rsidR="008912D5" w:rsidRDefault="008912D5" w:rsidP="008912D5">
      <w:pPr>
        <w:pStyle w:val="NormalWeb"/>
        <w:spacing w:before="0" w:beforeAutospacing="0" w:after="0" w:afterAutospacing="0"/>
        <w:ind w:firstLine="708"/>
        <w:jc w:val="both"/>
      </w:pPr>
      <w:r w:rsidRPr="008912D5">
        <w:rPr>
          <w:rStyle w:val="Strong"/>
          <w:b w:val="0"/>
        </w:rPr>
        <w:t>Wierność urzędowi nauczycielskiemu</w:t>
      </w:r>
      <w:r>
        <w:t xml:space="preserve"> oznacza dla wiernych </w:t>
      </w:r>
      <w:r w:rsidRPr="008912D5">
        <w:t xml:space="preserve">ortodoksyjnych </w:t>
      </w:r>
      <w:r w:rsidRPr="008912D5">
        <w:rPr>
          <w:rStyle w:val="Strong"/>
          <w:b w:val="0"/>
        </w:rPr>
        <w:t>modlitwę i uwielbienie napełnione Duchem</w:t>
      </w:r>
      <w:r w:rsidRPr="008912D5">
        <w:rPr>
          <w:b/>
        </w:rPr>
        <w:t>,</w:t>
      </w:r>
      <w:r>
        <w:t xml:space="preserve"> w jedności z hierarchicznymi przedstawicielami </w:t>
      </w:r>
      <w:r w:rsidRPr="008912D5">
        <w:rPr>
          <w:rStyle w:val="Strong"/>
          <w:b w:val="0"/>
        </w:rPr>
        <w:t>Chrystusa, który eschatologicznie objawia się w liturgii</w:t>
      </w:r>
      <w:r>
        <w:t xml:space="preserve">, a na którego skierowane jest pragnienie ludzkiego serca. „Gdy cały Kościół śpiewa doksologię, </w:t>
      </w:r>
      <w:r w:rsidRPr="008912D5">
        <w:rPr>
          <w:rStyle w:val="Strong"/>
          <w:b w:val="0"/>
        </w:rPr>
        <w:t>czuje się napełniony przez Boga, zadowolony i oświecony światłem Ducha Świętego</w:t>
      </w:r>
      <w:r w:rsidRPr="008912D5">
        <w:rPr>
          <w:b/>
        </w:rPr>
        <w:t>,</w:t>
      </w:r>
      <w:r>
        <w:t xml:space="preserve"> który wyzwala dążenie do zbawienia, do coraz bliższej bliskości z Bogiem oraz do Jego darów</w:t>
      </w:r>
      <w:r w:rsidR="00FE309C">
        <w:t>”</w:t>
      </w:r>
      <w:r>
        <w:rPr>
          <w:rStyle w:val="FootnoteReference"/>
        </w:rPr>
        <w:footnoteReference w:id="25"/>
      </w:r>
      <w:r>
        <w:t>.</w:t>
      </w:r>
    </w:p>
    <w:p w14:paraId="4CBA2810" w14:textId="77777777" w:rsidR="00AD2DAE" w:rsidRDefault="00B278D7" w:rsidP="00B278D7">
      <w:pPr>
        <w:pStyle w:val="NormalWeb"/>
        <w:spacing w:before="0" w:beforeAutospacing="0" w:after="0" w:afterAutospacing="0"/>
        <w:ind w:firstLine="708"/>
        <w:jc w:val="both"/>
      </w:pPr>
      <w:r>
        <w:t xml:space="preserve">W istocie pogląd obu rodzin wyznań pokrywa się z podstawową ideą nauczania Kościoła katolickiego, którego zadanie w pierwszej części tego opracowania opisano jako służbę Ewangelii, pełniącą rolę jej „megafonu” – spojrzenie, które w rzeczywistości </w:t>
      </w:r>
      <w:r w:rsidR="00A71C6F">
        <w:t>II Sobór Watykański</w:t>
      </w:r>
      <w:r>
        <w:t xml:space="preserve"> na nowo przemyślał i potwierdził</w:t>
      </w:r>
      <w:r>
        <w:rPr>
          <w:rStyle w:val="FootnoteReference"/>
        </w:rPr>
        <w:footnoteReference w:id="26"/>
      </w:r>
      <w:r>
        <w:t>. Oczywiście, z perspektywy protestanckiej nauczanie nie jest hierarchiczne, a z perspektywy prawosławnej nie skupia się na papieżu. Jednak zgodnie podkreśla się, że w Kościele istnieje pewna przeciwwaga, a tym samym wewnętrzne powiązanie dwóch istotnych momentów: transpersonalnego, instytucjonalnie propagowanego nakazu (Pismo Święte, liturgia, urząd) oraz bardzo osobistej zdolności ochrzczonych do przyswojenia tego, co dane, do teologicznego rozważenia i odniesienia do własnej rzeczywistości życia.</w:t>
      </w:r>
    </w:p>
    <w:p w14:paraId="1C9FD5BE" w14:textId="77777777" w:rsidR="003B25B2" w:rsidRDefault="00A71C6F" w:rsidP="003B25B2">
      <w:pPr>
        <w:pStyle w:val="NormalWeb"/>
        <w:spacing w:before="0" w:beforeAutospacing="0" w:after="0" w:afterAutospacing="0"/>
        <w:ind w:firstLine="708"/>
        <w:jc w:val="both"/>
      </w:pPr>
      <w:r>
        <w:lastRenderedPageBreak/>
        <w:t xml:space="preserve">II </w:t>
      </w:r>
      <w:r w:rsidR="00E10402">
        <w:t>Sobór Watykański osadza tę zdolność w „zmyśle wiary Ludu Bożego” i stwierdza: „Całość wiernych, którzy mają namaszczenie od Ducha Świętego, nie może się mylić w wierze”</w:t>
      </w:r>
      <w:r w:rsidR="00E10402">
        <w:rPr>
          <w:rStyle w:val="FootnoteReference"/>
        </w:rPr>
        <w:footnoteReference w:id="27"/>
      </w:r>
      <w:r w:rsidR="00E10402">
        <w:t>. W niemal notarialnej funkcji hierarchiczne nauczanie Kościoła pełni rolę rodzaju certyfikatu autentyczności, ponieważ w imieniu Ludu Bożego nie przemawia „słowo ludzi, lecz naprawdę słowo Boże”</w:t>
      </w:r>
      <w:r w:rsidR="00E10402">
        <w:rPr>
          <w:rStyle w:val="FootnoteReference"/>
        </w:rPr>
        <w:footnoteReference w:id="28"/>
      </w:r>
      <w:r w:rsidR="00E10402">
        <w:t>.</w:t>
      </w:r>
    </w:p>
    <w:p w14:paraId="3AD78B07" w14:textId="77777777" w:rsidR="003B25B2" w:rsidRDefault="003B25B2" w:rsidP="003B25B2">
      <w:pPr>
        <w:pStyle w:val="NormalWeb"/>
        <w:spacing w:before="0" w:beforeAutospacing="0" w:after="0" w:afterAutospacing="0"/>
        <w:ind w:firstLine="708"/>
        <w:jc w:val="both"/>
      </w:pPr>
      <w:r>
        <w:t>Jak ideał realizuje się wewnątrz Kościoła? Warunkiem jest, aby wspólnota wierzących, opierając się na szczerze przeżywanej braterskości, jasno uświadomiła sobie, czym jest jej źródło i do czego je zobowiązuje – J 14,26: Duch „nauczy was wszystkiego i przypomni wam wszystko, co wam powiedziałem”; uzupełniająco J 16,13: Duch „prowadzić was będzie w całą prawdę”. Na zakończenie kilka wskazówek.</w:t>
      </w:r>
    </w:p>
    <w:p w14:paraId="79FD5D70" w14:textId="77777777" w:rsidR="003B25B2" w:rsidRDefault="003B25B2" w:rsidP="003B25B2">
      <w:pPr>
        <w:pStyle w:val="NormalWeb"/>
        <w:spacing w:before="0" w:beforeAutospacing="0" w:after="0" w:afterAutospacing="0"/>
        <w:ind w:firstLine="708"/>
        <w:jc w:val="both"/>
      </w:pPr>
      <w:r>
        <w:t xml:space="preserve">Po pierwsze, rozdzielenie osoby i urzędu: osoby odpowiedzialne za oficjalne nauczanie Kościoła muszą dbać o to, aby teologię uprawiać jako osoby prywatne, natomiast oficjalne komunikaty Kościoła przyjmować i odpowiadać za nie w sposób wolny od osobistych ambicji. Po drugie, spajającą ramą dla hierarchicznego nauczania i dyskursu teologicznego jest </w:t>
      </w:r>
      <w:r>
        <w:rPr>
          <w:rStyle w:val="Emphasis"/>
        </w:rPr>
        <w:t>analogia fidei</w:t>
      </w:r>
      <w:r>
        <w:t>. Oznacza to, że tezy, życzenia, koncepcje reform, ale też orzeczenia doktrynalne, powinny być oceniane pod kątem ich zgodności z całościowym obrazem wiary katolickiej. Jeśli są zgodne, należy im okazać uwagę i szacunek. Po trzecie, dar rozeznania duchów, który zawsze należy prosić od Ducha Świętego, pomaga w poszukiwaniu równowagi w sporze różnych opinii. Jest to krytyczne narzędzie do ujawniania ideologii. Na przykład instynkty władzy czy walki klasowe są trucizną dla innowacyjnego rozwoju, który bez duchowej dyscypliny nie ma przyszłości.</w:t>
      </w:r>
    </w:p>
    <w:p w14:paraId="07F67FFC" w14:textId="77777777" w:rsidR="003B25B2" w:rsidRDefault="00FD315C" w:rsidP="00B278D7">
      <w:pPr>
        <w:pStyle w:val="NormalWeb"/>
        <w:spacing w:before="0" w:beforeAutospacing="0" w:after="0" w:afterAutospacing="0"/>
        <w:ind w:firstLine="708"/>
        <w:jc w:val="both"/>
      </w:pPr>
      <w:r>
        <w:t>Pielęgnowanie wiary poprzez nauczanie Kościoła, teologię i życie duchowe musi w każdym przypadku prowadzić do większej obecności „Ewangelii” w Kościele. Wówczas prawdziwa wiara nie będzie miała końca.</w:t>
      </w:r>
    </w:p>
    <w:p w14:paraId="1698A869" w14:textId="77777777" w:rsidR="005E601A" w:rsidRDefault="005E601A" w:rsidP="00B278D7">
      <w:pPr>
        <w:pStyle w:val="NormalWeb"/>
        <w:spacing w:before="0" w:beforeAutospacing="0" w:after="0" w:afterAutospacing="0"/>
        <w:ind w:firstLine="708"/>
        <w:jc w:val="both"/>
      </w:pPr>
    </w:p>
    <w:p w14:paraId="79819105" w14:textId="77777777" w:rsidR="00F40192" w:rsidRDefault="00F40192" w:rsidP="00F40192">
      <w:pPr>
        <w:pStyle w:val="NormalWeb"/>
        <w:spacing w:before="0" w:beforeAutospacing="0" w:after="0" w:afterAutospacing="0"/>
        <w:ind w:firstLine="708"/>
        <w:jc w:val="both"/>
      </w:pPr>
      <w:r>
        <w:rPr>
          <w:b/>
        </w:rPr>
        <w:t xml:space="preserve">Nota o Autorze: </w:t>
      </w:r>
      <w:r w:rsidR="005E601A" w:rsidRPr="005E601A">
        <w:rPr>
          <w:b/>
        </w:rPr>
        <w:t>Bertram Stubenrauch</w:t>
      </w:r>
      <w:r>
        <w:t xml:space="preserve"> – urodzony 4 marca</w:t>
      </w:r>
      <w:r w:rsidR="005E601A">
        <w:t xml:space="preserve"> 1961</w:t>
      </w:r>
      <w:r>
        <w:t xml:space="preserve"> roku Teugn. Studiował teologię katolicką w Ratyzbonie i Rzymie. W 1986 roku przyjął święcenia prezbiteratu. W latach 1988-1991 studiował teologię w Instytucie Patristicum Augustinianum przy Papieskim Uniwersytecie Laterańskim w Rzymie. Następnie pracował jako asystent naukowy na katedrze teologii systematycznej (dogmatyki i historii dogmatyki) na Katolicko-Teologicznym Wydziale Uniwersytetu w Ratyzbonie. W 1995 roku uzyskał habilitację z dogmatyki i historii dogmatyki, a w tym samym roku został mianowany docentem tytularnym w tej dziedzinie. W latach 1996–2000 był profesorem dogmatyki i historii dogmatyki na Wydziale Teologii Katolickiej Uniwersytetu w Trewirze. W latach 2000-2006 roku był profesorem dogmatyki i teologii ekumenicznej na Wydziale Teologii Katolickiej Uniwersytetu Wiedeńskiego. W 2006 roku objął katedrę dogmatyki i teologii ekumenicznej na Uniwersytecie w Monachium. </w:t>
      </w:r>
    </w:p>
    <w:p w14:paraId="7AA55497" w14:textId="77777777" w:rsidR="00343E15" w:rsidRDefault="00343E15" w:rsidP="005E601A">
      <w:pPr>
        <w:pStyle w:val="NormalWeb"/>
        <w:spacing w:before="0" w:beforeAutospacing="0" w:after="0" w:afterAutospacing="0"/>
        <w:jc w:val="both"/>
      </w:pPr>
    </w:p>
    <w:p w14:paraId="33AB14B9" w14:textId="77777777" w:rsidR="00343E15" w:rsidRPr="00F40192" w:rsidRDefault="00343E15" w:rsidP="005E601A">
      <w:pPr>
        <w:pStyle w:val="NormalWeb"/>
        <w:spacing w:before="0" w:beforeAutospacing="0" w:after="0" w:afterAutospacing="0"/>
        <w:jc w:val="both"/>
        <w:rPr>
          <w:b/>
          <w:bCs/>
          <w:lang w:val="de-AT"/>
        </w:rPr>
      </w:pPr>
      <w:r w:rsidRPr="00F40192">
        <w:rPr>
          <w:b/>
          <w:bCs/>
          <w:lang w:val="de-AT"/>
        </w:rPr>
        <w:t>Bibliografia:</w:t>
      </w:r>
    </w:p>
    <w:p w14:paraId="4546DE64" w14:textId="77777777" w:rsidR="00B848A0" w:rsidRPr="00B848A0" w:rsidRDefault="00B848A0" w:rsidP="00B848A0">
      <w:pPr>
        <w:pStyle w:val="NormalWeb"/>
        <w:spacing w:before="0" w:beforeAutospacing="0" w:after="0" w:afterAutospacing="0"/>
        <w:ind w:left="1134" w:hanging="1134"/>
        <w:jc w:val="both"/>
        <w:rPr>
          <w:lang w:val="de-AT"/>
        </w:rPr>
      </w:pPr>
      <w:r w:rsidRPr="00B848A0">
        <w:rPr>
          <w:lang w:val="de-AT"/>
        </w:rPr>
        <w:t xml:space="preserve">Baum G., </w:t>
      </w:r>
      <w:r w:rsidRPr="00B848A0">
        <w:rPr>
          <w:rStyle w:val="Emphasis"/>
          <w:lang w:val="de-AT"/>
        </w:rPr>
        <w:t>Das Lehramt in einer sich wandelnden Kirche</w:t>
      </w:r>
      <w:r w:rsidRPr="00B848A0">
        <w:rPr>
          <w:lang w:val="de-AT"/>
        </w:rPr>
        <w:t xml:space="preserve">, w: </w:t>
      </w:r>
      <w:r w:rsidRPr="00B848A0">
        <w:rPr>
          <w:rStyle w:val="Emphasis"/>
          <w:lang w:val="de-AT"/>
        </w:rPr>
        <w:t>Concilium</w:t>
      </w:r>
      <w:r w:rsidRPr="00B848A0">
        <w:rPr>
          <w:lang w:val="de-AT"/>
        </w:rPr>
        <w:t xml:space="preserve"> 3 (1967), s. 31–39.</w:t>
      </w:r>
    </w:p>
    <w:p w14:paraId="4ACE6C5B" w14:textId="77777777" w:rsidR="00B848A0" w:rsidRPr="00B848A0" w:rsidRDefault="00B848A0" w:rsidP="00B848A0">
      <w:pPr>
        <w:pStyle w:val="FootnoteText"/>
        <w:ind w:left="1134" w:hanging="1134"/>
        <w:jc w:val="both"/>
        <w:rPr>
          <w:rFonts w:ascii="Times New Roman" w:hAnsi="Times New Roman" w:cs="Times New Roman"/>
          <w:sz w:val="24"/>
          <w:szCs w:val="24"/>
          <w:lang w:val="de-AT"/>
        </w:rPr>
      </w:pPr>
      <w:r w:rsidRPr="00B848A0">
        <w:rPr>
          <w:rFonts w:ascii="Times New Roman" w:hAnsi="Times New Roman" w:cs="Times New Roman"/>
          <w:sz w:val="24"/>
          <w:szCs w:val="24"/>
          <w:lang w:val="de-AT"/>
        </w:rPr>
        <w:t xml:space="preserve">Böttigheimer C., </w:t>
      </w:r>
      <w:r w:rsidRPr="00B848A0">
        <w:rPr>
          <w:rStyle w:val="Emphasis"/>
          <w:rFonts w:ascii="Times New Roman" w:hAnsi="Times New Roman" w:cs="Times New Roman"/>
          <w:sz w:val="24"/>
          <w:szCs w:val="24"/>
          <w:lang w:val="de-AT"/>
        </w:rPr>
        <w:t>Lehramt, Theologie und Glaubenssinn</w:t>
      </w:r>
      <w:r w:rsidRPr="00B848A0">
        <w:rPr>
          <w:rFonts w:ascii="Times New Roman" w:hAnsi="Times New Roman" w:cs="Times New Roman"/>
          <w:sz w:val="24"/>
          <w:szCs w:val="24"/>
          <w:lang w:val="de-AT"/>
        </w:rPr>
        <w:t xml:space="preserve">, w: </w:t>
      </w:r>
      <w:r w:rsidRPr="00B848A0">
        <w:rPr>
          <w:rStyle w:val="Emphasis"/>
          <w:rFonts w:ascii="Times New Roman" w:hAnsi="Times New Roman" w:cs="Times New Roman"/>
          <w:sz w:val="24"/>
          <w:szCs w:val="24"/>
          <w:lang w:val="de-AT"/>
        </w:rPr>
        <w:t>Stimmen der Zeit</w:t>
      </w:r>
      <w:r w:rsidRPr="00B848A0">
        <w:rPr>
          <w:rFonts w:ascii="Times New Roman" w:hAnsi="Times New Roman" w:cs="Times New Roman"/>
          <w:sz w:val="24"/>
          <w:szCs w:val="24"/>
          <w:lang w:val="de-AT"/>
        </w:rPr>
        <w:t xml:space="preserve"> 215 (1997), s. 603–614.</w:t>
      </w:r>
    </w:p>
    <w:p w14:paraId="6C1FCA94" w14:textId="77777777" w:rsidR="00B848A0" w:rsidRPr="00B848A0" w:rsidRDefault="00B848A0" w:rsidP="00B848A0">
      <w:pPr>
        <w:pStyle w:val="FootnoteText"/>
        <w:ind w:left="1134" w:hanging="1134"/>
        <w:jc w:val="both"/>
        <w:rPr>
          <w:rFonts w:ascii="Times New Roman" w:hAnsi="Times New Roman" w:cs="Times New Roman"/>
          <w:sz w:val="24"/>
          <w:szCs w:val="24"/>
          <w:lang w:val="de-AT"/>
        </w:rPr>
      </w:pPr>
      <w:r w:rsidRPr="00B848A0">
        <w:rPr>
          <w:rFonts w:ascii="Times New Roman" w:hAnsi="Times New Roman" w:cs="Times New Roman"/>
          <w:sz w:val="24"/>
          <w:szCs w:val="24"/>
          <w:lang w:val="de-AT"/>
        </w:rPr>
        <w:t xml:space="preserve">Bouyer L., </w:t>
      </w:r>
      <w:r w:rsidRPr="00B848A0">
        <w:rPr>
          <w:rStyle w:val="Emphasis"/>
          <w:rFonts w:ascii="Times New Roman" w:hAnsi="Times New Roman" w:cs="Times New Roman"/>
          <w:sz w:val="24"/>
          <w:szCs w:val="24"/>
          <w:lang w:val="de-AT"/>
        </w:rPr>
        <w:t>Die Kirche. I. Ihre Selbstdeutung in der Geschichte (Theologia Romanica; IX)</w:t>
      </w:r>
      <w:r w:rsidRPr="00B848A0">
        <w:rPr>
          <w:rFonts w:ascii="Times New Roman" w:hAnsi="Times New Roman" w:cs="Times New Roman"/>
          <w:sz w:val="24"/>
          <w:szCs w:val="24"/>
          <w:lang w:val="de-AT"/>
        </w:rPr>
        <w:t>, Einsiedeln 1977.</w:t>
      </w:r>
    </w:p>
    <w:p w14:paraId="1AAB82B5" w14:textId="77777777" w:rsidR="00B848A0" w:rsidRPr="00B848A0" w:rsidRDefault="00B848A0" w:rsidP="00B848A0">
      <w:pPr>
        <w:pStyle w:val="NormalWeb"/>
        <w:spacing w:before="0" w:beforeAutospacing="0" w:after="0" w:afterAutospacing="0"/>
        <w:ind w:left="1134" w:hanging="1134"/>
        <w:jc w:val="both"/>
        <w:rPr>
          <w:lang w:val="de-AT"/>
        </w:rPr>
      </w:pPr>
      <w:r w:rsidRPr="00B848A0">
        <w:rPr>
          <w:lang w:val="de-AT"/>
        </w:rPr>
        <w:t xml:space="preserve">Campenhausen H. von, </w:t>
      </w:r>
      <w:r w:rsidRPr="00B848A0">
        <w:rPr>
          <w:rStyle w:val="Emphasis"/>
          <w:lang w:val="de-AT"/>
        </w:rPr>
        <w:t>Kirchliches Amt und geistliche Vollmacht in den ersten drei Jahrhunderten</w:t>
      </w:r>
      <w:r w:rsidRPr="00B848A0">
        <w:rPr>
          <w:lang w:val="de-AT"/>
        </w:rPr>
        <w:t>, Tübingen 1963.</w:t>
      </w:r>
    </w:p>
    <w:p w14:paraId="40C225CE" w14:textId="77777777" w:rsidR="00B848A0" w:rsidRPr="00B848A0" w:rsidRDefault="00B848A0" w:rsidP="00B848A0">
      <w:pPr>
        <w:pStyle w:val="FootnoteText"/>
        <w:ind w:left="1134" w:hanging="1134"/>
        <w:jc w:val="both"/>
        <w:rPr>
          <w:rFonts w:ascii="Times New Roman" w:hAnsi="Times New Roman" w:cs="Times New Roman"/>
          <w:sz w:val="24"/>
          <w:szCs w:val="24"/>
          <w:lang w:val="de-AT"/>
        </w:rPr>
      </w:pPr>
      <w:r w:rsidRPr="00B848A0">
        <w:rPr>
          <w:rFonts w:ascii="Times New Roman" w:hAnsi="Times New Roman" w:cs="Times New Roman"/>
          <w:sz w:val="24"/>
          <w:szCs w:val="24"/>
          <w:lang w:val="de-AT"/>
        </w:rPr>
        <w:t xml:space="preserve">Chadwick H., </w:t>
      </w:r>
      <w:r w:rsidRPr="00B848A0">
        <w:rPr>
          <w:rStyle w:val="Emphasis"/>
          <w:rFonts w:ascii="Times New Roman" w:hAnsi="Times New Roman" w:cs="Times New Roman"/>
          <w:sz w:val="24"/>
          <w:szCs w:val="24"/>
          <w:lang w:val="de-AT"/>
        </w:rPr>
        <w:t>Die Kirche in der alten Welt (Sammlung Göschen, 7002)</w:t>
      </w:r>
      <w:r w:rsidRPr="00B848A0">
        <w:rPr>
          <w:rFonts w:ascii="Times New Roman" w:hAnsi="Times New Roman" w:cs="Times New Roman"/>
          <w:sz w:val="24"/>
          <w:szCs w:val="24"/>
          <w:lang w:val="de-AT"/>
        </w:rPr>
        <w:t>, Berlin – New York 1972.</w:t>
      </w:r>
    </w:p>
    <w:p w14:paraId="733137AF" w14:textId="77777777" w:rsidR="00B848A0" w:rsidRPr="00B848A0" w:rsidRDefault="00B848A0" w:rsidP="00B848A0">
      <w:pPr>
        <w:pStyle w:val="NormalWeb"/>
        <w:spacing w:before="0" w:beforeAutospacing="0" w:after="0" w:afterAutospacing="0"/>
        <w:ind w:left="1134" w:hanging="1134"/>
        <w:jc w:val="both"/>
        <w:rPr>
          <w:lang w:val="de-AT"/>
        </w:rPr>
      </w:pPr>
      <w:r w:rsidRPr="00B848A0">
        <w:rPr>
          <w:lang w:val="de-AT"/>
        </w:rPr>
        <w:lastRenderedPageBreak/>
        <w:t xml:space="preserve">Eckholt M., </w:t>
      </w:r>
      <w:r w:rsidRPr="00B848A0">
        <w:rPr>
          <w:rStyle w:val="Emphasis"/>
          <w:lang w:val="de-AT"/>
        </w:rPr>
        <w:t>«Sensus fidelium». Synodalität und die Subjektwerdung der Laien</w:t>
      </w:r>
      <w:r w:rsidRPr="00B848A0">
        <w:rPr>
          <w:lang w:val="de-AT"/>
        </w:rPr>
        <w:t xml:space="preserve">, w: P.M. Zulehner, P. Neuner, A. Hennersperger (red.), </w:t>
      </w:r>
      <w:r w:rsidRPr="00B848A0">
        <w:rPr>
          <w:rStyle w:val="Emphasis"/>
          <w:lang w:val="de-AT"/>
        </w:rPr>
        <w:t>Synodalisierung. Eine Zerreißprobe für die katholische Weltkirche? Expertinnen und Experten aus aller Welt beziehen Stellung</w:t>
      </w:r>
      <w:r w:rsidRPr="00B848A0">
        <w:rPr>
          <w:lang w:val="de-AT"/>
        </w:rPr>
        <w:t xml:space="preserve">, Ostfildern 2022, s. 137–157. </w:t>
      </w:r>
    </w:p>
    <w:p w14:paraId="42322B56" w14:textId="77777777" w:rsidR="00B848A0" w:rsidRPr="00B848A0" w:rsidRDefault="00B848A0" w:rsidP="00B848A0">
      <w:pPr>
        <w:pStyle w:val="FootnoteText"/>
        <w:ind w:left="1134" w:hanging="1134"/>
        <w:jc w:val="both"/>
        <w:rPr>
          <w:rFonts w:ascii="Times New Roman" w:hAnsi="Times New Roman" w:cs="Times New Roman"/>
          <w:sz w:val="24"/>
          <w:szCs w:val="24"/>
          <w:lang w:val="de-AT"/>
        </w:rPr>
      </w:pPr>
      <w:r w:rsidRPr="00B848A0">
        <w:rPr>
          <w:rFonts w:ascii="Times New Roman" w:hAnsi="Times New Roman" w:cs="Times New Roman"/>
          <w:sz w:val="24"/>
          <w:szCs w:val="24"/>
          <w:lang w:val="de-AT"/>
        </w:rPr>
        <w:t xml:space="preserve">Faber R., </w:t>
      </w:r>
      <w:r w:rsidRPr="00B848A0">
        <w:rPr>
          <w:rStyle w:val="Emphasis"/>
          <w:rFonts w:ascii="Times New Roman" w:hAnsi="Times New Roman" w:cs="Times New Roman"/>
          <w:sz w:val="24"/>
          <w:szCs w:val="24"/>
          <w:lang w:val="de-AT"/>
        </w:rPr>
        <w:t>Freiheit, Theologie und Lehramt. Trinitätstheologische Grundlegung und wissenschaftstheoretischer Ausblick</w:t>
      </w:r>
      <w:r w:rsidRPr="00B848A0">
        <w:rPr>
          <w:rFonts w:ascii="Times New Roman" w:hAnsi="Times New Roman" w:cs="Times New Roman"/>
          <w:sz w:val="24"/>
          <w:szCs w:val="24"/>
          <w:lang w:val="de-AT"/>
        </w:rPr>
        <w:t>, Innsbruck – Wien 1992.</w:t>
      </w:r>
    </w:p>
    <w:p w14:paraId="19B55856" w14:textId="77777777" w:rsidR="00B848A0" w:rsidRPr="00B848A0" w:rsidRDefault="00B848A0" w:rsidP="00B848A0">
      <w:pPr>
        <w:pStyle w:val="FootnoteText"/>
        <w:ind w:left="1134" w:hanging="1134"/>
        <w:jc w:val="both"/>
        <w:rPr>
          <w:rFonts w:ascii="Times New Roman" w:hAnsi="Times New Roman" w:cs="Times New Roman"/>
          <w:sz w:val="24"/>
          <w:szCs w:val="24"/>
          <w:lang w:val="de-AT"/>
        </w:rPr>
      </w:pPr>
      <w:r w:rsidRPr="00B848A0">
        <w:rPr>
          <w:rFonts w:ascii="Times New Roman" w:hAnsi="Times New Roman" w:cs="Times New Roman"/>
          <w:sz w:val="24"/>
          <w:szCs w:val="24"/>
          <w:lang w:val="de-AT"/>
        </w:rPr>
        <w:t xml:space="preserve">Fiedrowicz M., </w:t>
      </w:r>
      <w:r w:rsidRPr="00B848A0">
        <w:rPr>
          <w:rStyle w:val="Emphasis"/>
          <w:rFonts w:ascii="Times New Roman" w:hAnsi="Times New Roman" w:cs="Times New Roman"/>
          <w:sz w:val="24"/>
          <w:szCs w:val="24"/>
          <w:lang w:val="de-AT"/>
        </w:rPr>
        <w:t>Handbuch der Patristik. Quellentexte zur Theologie der Kirchenväter</w:t>
      </w:r>
      <w:r w:rsidRPr="00B848A0">
        <w:rPr>
          <w:rFonts w:ascii="Times New Roman" w:hAnsi="Times New Roman" w:cs="Times New Roman"/>
          <w:sz w:val="24"/>
          <w:szCs w:val="24"/>
          <w:lang w:val="de-AT"/>
        </w:rPr>
        <w:t>, Freiburg – Basel – Wien 2010.</w:t>
      </w:r>
    </w:p>
    <w:p w14:paraId="5D0AA9C4" w14:textId="77777777" w:rsidR="00B848A0" w:rsidRPr="00B848A0" w:rsidRDefault="00B848A0" w:rsidP="00B848A0">
      <w:pPr>
        <w:pStyle w:val="NormalWeb"/>
        <w:spacing w:before="0" w:beforeAutospacing="0" w:after="0" w:afterAutospacing="0"/>
        <w:ind w:left="1134" w:hanging="1134"/>
        <w:jc w:val="both"/>
        <w:rPr>
          <w:lang w:val="de-AT"/>
        </w:rPr>
      </w:pPr>
      <w:r w:rsidRPr="00B848A0">
        <w:rPr>
          <w:lang w:val="de-AT"/>
        </w:rPr>
        <w:t xml:space="preserve">Hallensleben B. (red.), </w:t>
      </w:r>
      <w:r w:rsidRPr="00B848A0">
        <w:rPr>
          <w:rStyle w:val="Emphasis"/>
          <w:lang w:val="de-AT"/>
        </w:rPr>
        <w:t>Einheit in Synodalität. Die offiziellen Dokumente der Orthodoxen Synode auf Kreta 18. bis 26. Juni 2016 (Epiphania. Egregia; 12)</w:t>
      </w:r>
      <w:r w:rsidRPr="00B848A0">
        <w:rPr>
          <w:lang w:val="de-AT"/>
        </w:rPr>
        <w:t>, Münster 2016.</w:t>
      </w:r>
    </w:p>
    <w:p w14:paraId="7D1FABD3" w14:textId="77777777" w:rsidR="00B848A0" w:rsidRPr="00B848A0" w:rsidRDefault="00B848A0" w:rsidP="00B848A0">
      <w:pPr>
        <w:pStyle w:val="FootnoteText"/>
        <w:ind w:left="1134" w:hanging="1134"/>
        <w:jc w:val="both"/>
        <w:rPr>
          <w:rFonts w:ascii="Times New Roman" w:hAnsi="Times New Roman" w:cs="Times New Roman"/>
          <w:sz w:val="24"/>
          <w:szCs w:val="24"/>
          <w:lang w:val="de-AT"/>
        </w:rPr>
      </w:pPr>
      <w:r w:rsidRPr="00B848A0">
        <w:rPr>
          <w:rFonts w:ascii="Times New Roman" w:hAnsi="Times New Roman" w:cs="Times New Roman"/>
          <w:sz w:val="24"/>
          <w:szCs w:val="24"/>
          <w:lang w:val="de-AT"/>
        </w:rPr>
        <w:t xml:space="preserve">Houtepen A., </w:t>
      </w:r>
      <w:r w:rsidRPr="00B848A0">
        <w:rPr>
          <w:rStyle w:val="Emphasis"/>
          <w:rFonts w:ascii="Times New Roman" w:hAnsi="Times New Roman" w:cs="Times New Roman"/>
          <w:sz w:val="24"/>
          <w:szCs w:val="24"/>
          <w:lang w:val="de-AT"/>
        </w:rPr>
        <w:t>‹Lehrautorität› in der ökumenischen Diskussion. Ein Beitrag für die Studie von Glauben und Kirchenverfassung ‹Was lehrt die Kirche heute verbindlich?›</w:t>
      </w:r>
      <w:r w:rsidRPr="00B848A0">
        <w:rPr>
          <w:rFonts w:ascii="Times New Roman" w:hAnsi="Times New Roman" w:cs="Times New Roman"/>
          <w:sz w:val="24"/>
          <w:szCs w:val="24"/>
          <w:lang w:val="de-AT"/>
        </w:rPr>
        <w:t xml:space="preserve">, w: Deutscher Ökumenischer Studienausschuss (red.), </w:t>
      </w:r>
      <w:r w:rsidRPr="00B848A0">
        <w:rPr>
          <w:rStyle w:val="Emphasis"/>
          <w:rFonts w:ascii="Times New Roman" w:hAnsi="Times New Roman" w:cs="Times New Roman"/>
          <w:sz w:val="24"/>
          <w:szCs w:val="24"/>
          <w:lang w:val="de-AT"/>
        </w:rPr>
        <w:t>Verbindliches Lehren der Kirche heute. Arbeitsbericht aus dem Deutschen Ökumenischen Studienausschuss und Texte der Faith and Order-Konsultation Odessa 1977</w:t>
      </w:r>
      <w:r w:rsidRPr="00B848A0">
        <w:rPr>
          <w:rFonts w:ascii="Times New Roman" w:hAnsi="Times New Roman" w:cs="Times New Roman"/>
          <w:sz w:val="24"/>
          <w:szCs w:val="24"/>
          <w:lang w:val="de-AT"/>
        </w:rPr>
        <w:t>, s. 120–208.</w:t>
      </w:r>
    </w:p>
    <w:p w14:paraId="430FC5DF" w14:textId="77777777" w:rsidR="00B848A0" w:rsidRPr="00F40192" w:rsidRDefault="00B848A0" w:rsidP="00B848A0">
      <w:pPr>
        <w:pStyle w:val="FootnoteText"/>
        <w:ind w:left="1134" w:hanging="1134"/>
        <w:jc w:val="both"/>
        <w:rPr>
          <w:rFonts w:ascii="Times New Roman" w:hAnsi="Times New Roman" w:cs="Times New Roman"/>
          <w:sz w:val="24"/>
          <w:szCs w:val="24"/>
          <w:lang w:val="de-AT"/>
        </w:rPr>
      </w:pPr>
      <w:r w:rsidRPr="00F40192">
        <w:rPr>
          <w:rFonts w:ascii="Times New Roman" w:hAnsi="Times New Roman" w:cs="Times New Roman"/>
          <w:sz w:val="24"/>
          <w:szCs w:val="24"/>
          <w:lang w:val="de-AT"/>
        </w:rPr>
        <w:t xml:space="preserve">Ignatius von Antiochien, </w:t>
      </w:r>
      <w:r w:rsidRPr="00F40192">
        <w:rPr>
          <w:rStyle w:val="Emphasis"/>
          <w:rFonts w:ascii="Times New Roman" w:hAnsi="Times New Roman" w:cs="Times New Roman"/>
          <w:sz w:val="24"/>
          <w:szCs w:val="24"/>
          <w:lang w:val="de-AT"/>
        </w:rPr>
        <w:t>Trall.</w:t>
      </w:r>
      <w:r w:rsidRPr="00F40192">
        <w:rPr>
          <w:rFonts w:ascii="Times New Roman" w:hAnsi="Times New Roman" w:cs="Times New Roman"/>
          <w:sz w:val="24"/>
          <w:szCs w:val="24"/>
          <w:lang w:val="de-AT"/>
        </w:rPr>
        <w:t xml:space="preserve"> 3.</w:t>
      </w:r>
    </w:p>
    <w:p w14:paraId="4F26DE8B" w14:textId="77777777" w:rsidR="00B848A0" w:rsidRPr="00B848A0" w:rsidRDefault="00B848A0" w:rsidP="00B848A0">
      <w:pPr>
        <w:pStyle w:val="NormalWeb"/>
        <w:spacing w:before="0" w:beforeAutospacing="0" w:after="0" w:afterAutospacing="0"/>
        <w:ind w:left="1134" w:hanging="1134"/>
        <w:jc w:val="both"/>
        <w:rPr>
          <w:lang w:val="de-AT"/>
        </w:rPr>
      </w:pPr>
      <w:r w:rsidRPr="00B848A0">
        <w:rPr>
          <w:lang w:val="de-AT"/>
        </w:rPr>
        <w:t xml:space="preserve">Kleinheyer B., </w:t>
      </w:r>
      <w:r w:rsidRPr="00B848A0">
        <w:rPr>
          <w:rStyle w:val="Emphasis"/>
          <w:lang w:val="de-AT"/>
        </w:rPr>
        <w:t>Ordinationen und Beauftragungen</w:t>
      </w:r>
      <w:r w:rsidRPr="00B848A0">
        <w:rPr>
          <w:lang w:val="de-AT"/>
        </w:rPr>
        <w:t xml:space="preserve">, w: Ders. – E. von Severus, R. Kaczynski, </w:t>
      </w:r>
      <w:r w:rsidRPr="00B848A0">
        <w:rPr>
          <w:rStyle w:val="Emphasis"/>
          <w:lang w:val="de-AT"/>
        </w:rPr>
        <w:t>Sakramentliche Feiern II (Gottesdienst der Kirche. Handbuch der Liturgiewissenschaft Teil 8)</w:t>
      </w:r>
      <w:r w:rsidRPr="00B848A0">
        <w:rPr>
          <w:lang w:val="de-AT"/>
        </w:rPr>
        <w:t>, Regensburg 1984.</w:t>
      </w:r>
    </w:p>
    <w:p w14:paraId="21344EDE" w14:textId="77777777" w:rsidR="00B848A0" w:rsidRPr="00B848A0" w:rsidRDefault="00B848A0" w:rsidP="00B848A0">
      <w:pPr>
        <w:pStyle w:val="FootnoteText"/>
        <w:ind w:left="1134" w:hanging="1134"/>
        <w:jc w:val="both"/>
        <w:rPr>
          <w:rFonts w:ascii="Times New Roman" w:hAnsi="Times New Roman" w:cs="Times New Roman"/>
          <w:sz w:val="24"/>
          <w:szCs w:val="24"/>
          <w:lang w:val="de-AT"/>
        </w:rPr>
      </w:pPr>
      <w:r w:rsidRPr="00B848A0">
        <w:rPr>
          <w:rFonts w:ascii="Times New Roman" w:hAnsi="Times New Roman" w:cs="Times New Roman"/>
          <w:sz w:val="24"/>
          <w:szCs w:val="24"/>
          <w:lang w:val="de-AT"/>
        </w:rPr>
        <w:t xml:space="preserve">Neuner P., </w:t>
      </w:r>
      <w:r w:rsidRPr="00B848A0">
        <w:rPr>
          <w:rStyle w:val="Emphasis"/>
          <w:rFonts w:ascii="Times New Roman" w:hAnsi="Times New Roman" w:cs="Times New Roman"/>
          <w:sz w:val="24"/>
          <w:szCs w:val="24"/>
          <w:lang w:val="de-AT"/>
        </w:rPr>
        <w:t>Abschied von der Ständekirche. Plädoyer für eine Theologie des Gottesvolkes</w:t>
      </w:r>
      <w:r w:rsidRPr="00B848A0">
        <w:rPr>
          <w:rFonts w:ascii="Times New Roman" w:hAnsi="Times New Roman" w:cs="Times New Roman"/>
          <w:sz w:val="24"/>
          <w:szCs w:val="24"/>
          <w:lang w:val="de-AT"/>
        </w:rPr>
        <w:t>, Freiburg – Basel – Wien 2015.</w:t>
      </w:r>
    </w:p>
    <w:p w14:paraId="6EC2625A" w14:textId="77777777" w:rsidR="00B848A0" w:rsidRPr="00B848A0" w:rsidRDefault="00B848A0" w:rsidP="00B848A0">
      <w:pPr>
        <w:pStyle w:val="NormalWeb"/>
        <w:spacing w:before="0" w:beforeAutospacing="0" w:after="0" w:afterAutospacing="0"/>
        <w:ind w:left="1134" w:hanging="1134"/>
        <w:jc w:val="both"/>
        <w:rPr>
          <w:lang w:val="de-AT"/>
        </w:rPr>
      </w:pPr>
      <w:r w:rsidRPr="00B848A0">
        <w:rPr>
          <w:lang w:val="de-AT"/>
        </w:rPr>
        <w:t xml:space="preserve">Pichler J., Ebenbauer P. (red.), </w:t>
      </w:r>
      <w:r w:rsidRPr="00B848A0">
        <w:rPr>
          <w:rStyle w:val="Emphasis"/>
          <w:lang w:val="de-AT"/>
        </w:rPr>
        <w:t>Partizipation und Leitung in der frühen Kirche (Quaestiones disputatae; 345)</w:t>
      </w:r>
      <w:r w:rsidRPr="00B848A0">
        <w:rPr>
          <w:lang w:val="de-AT"/>
        </w:rPr>
        <w:t xml:space="preserve">, Freiburg – Basel – Wien 2025. </w:t>
      </w:r>
    </w:p>
    <w:p w14:paraId="32441061" w14:textId="77777777" w:rsidR="00B848A0" w:rsidRPr="00B848A0" w:rsidRDefault="00B848A0" w:rsidP="00B848A0">
      <w:pPr>
        <w:pStyle w:val="NormalWeb"/>
        <w:spacing w:before="0" w:beforeAutospacing="0" w:after="0" w:afterAutospacing="0"/>
        <w:ind w:left="1134" w:hanging="1134"/>
        <w:jc w:val="both"/>
        <w:rPr>
          <w:lang w:val="de-AT"/>
        </w:rPr>
      </w:pPr>
      <w:r w:rsidRPr="00B848A0">
        <w:rPr>
          <w:lang w:val="de-AT"/>
        </w:rPr>
        <w:t xml:space="preserve">Plattig M., </w:t>
      </w:r>
      <w:r w:rsidRPr="00B848A0">
        <w:rPr>
          <w:rStyle w:val="Emphasis"/>
          <w:lang w:val="de-AT"/>
        </w:rPr>
        <w:t>Gehorsam, Grundhaltung für synodale Prozesse</w:t>
      </w:r>
      <w:r w:rsidRPr="00B848A0">
        <w:rPr>
          <w:lang w:val="de-AT"/>
        </w:rPr>
        <w:t xml:space="preserve">, w: Zulehner, </w:t>
      </w:r>
      <w:r w:rsidRPr="00B848A0">
        <w:rPr>
          <w:rStyle w:val="Emphasis"/>
          <w:lang w:val="de-AT"/>
        </w:rPr>
        <w:t>Synodalisierung</w:t>
      </w:r>
      <w:r w:rsidRPr="00B848A0">
        <w:rPr>
          <w:lang w:val="de-AT"/>
        </w:rPr>
        <w:t xml:space="preserve"> (por. przyp. 2), s. 87–104.</w:t>
      </w:r>
    </w:p>
    <w:p w14:paraId="7835327A" w14:textId="77777777" w:rsidR="00B848A0" w:rsidRPr="00B848A0" w:rsidRDefault="00B848A0" w:rsidP="00B848A0">
      <w:pPr>
        <w:pStyle w:val="FootnoteText"/>
        <w:ind w:left="1134" w:hanging="1134"/>
        <w:jc w:val="both"/>
        <w:rPr>
          <w:rFonts w:ascii="Times New Roman" w:hAnsi="Times New Roman" w:cs="Times New Roman"/>
          <w:sz w:val="24"/>
          <w:szCs w:val="24"/>
          <w:lang w:val="de-AT"/>
        </w:rPr>
      </w:pPr>
      <w:r w:rsidRPr="00B848A0">
        <w:rPr>
          <w:rFonts w:ascii="Times New Roman" w:hAnsi="Times New Roman" w:cs="Times New Roman"/>
          <w:sz w:val="24"/>
          <w:szCs w:val="24"/>
          <w:lang w:val="de-AT"/>
        </w:rPr>
        <w:t xml:space="preserve">Ratzinger J. / Benedikt XVI., </w:t>
      </w:r>
      <w:r w:rsidRPr="00B848A0">
        <w:rPr>
          <w:rStyle w:val="Emphasis"/>
          <w:rFonts w:ascii="Times New Roman" w:hAnsi="Times New Roman" w:cs="Times New Roman"/>
          <w:sz w:val="24"/>
          <w:szCs w:val="24"/>
          <w:lang w:val="de-AT"/>
        </w:rPr>
        <w:t>Jesus von Nazareth. Erster Teil. Von der Taufe im Jordan bis zur Verklärung</w:t>
      </w:r>
      <w:r w:rsidRPr="00B848A0">
        <w:rPr>
          <w:rFonts w:ascii="Times New Roman" w:hAnsi="Times New Roman" w:cs="Times New Roman"/>
          <w:sz w:val="24"/>
          <w:szCs w:val="24"/>
          <w:lang w:val="de-AT"/>
        </w:rPr>
        <w:t>, Freiburg – Basel – Wien 2007.</w:t>
      </w:r>
    </w:p>
    <w:p w14:paraId="2BDE58F9" w14:textId="77777777" w:rsidR="00B848A0" w:rsidRPr="00B848A0" w:rsidRDefault="00B848A0" w:rsidP="00B848A0">
      <w:pPr>
        <w:pStyle w:val="FootnoteText"/>
        <w:ind w:left="1134" w:hanging="1134"/>
        <w:jc w:val="both"/>
        <w:rPr>
          <w:rFonts w:ascii="Times New Roman" w:hAnsi="Times New Roman" w:cs="Times New Roman"/>
          <w:sz w:val="24"/>
          <w:szCs w:val="24"/>
          <w:lang w:val="de-AT"/>
        </w:rPr>
      </w:pPr>
      <w:r w:rsidRPr="00B848A0">
        <w:rPr>
          <w:rFonts w:ascii="Times New Roman" w:hAnsi="Times New Roman" w:cs="Times New Roman"/>
          <w:sz w:val="24"/>
          <w:szCs w:val="24"/>
          <w:lang w:val="de-AT"/>
        </w:rPr>
        <w:t xml:space="preserve">Schmid H., </w:t>
      </w:r>
      <w:r w:rsidRPr="00B848A0">
        <w:rPr>
          <w:rStyle w:val="Emphasis"/>
          <w:rFonts w:ascii="Times New Roman" w:hAnsi="Times New Roman" w:cs="Times New Roman"/>
          <w:sz w:val="24"/>
          <w:szCs w:val="24"/>
          <w:lang w:val="de-AT"/>
        </w:rPr>
        <w:t>Die Dogmatik der evangelisch-lutherischen Kirche. Dargestellt und aus den Quellen belegt</w:t>
      </w:r>
      <w:r w:rsidRPr="00B848A0">
        <w:rPr>
          <w:rFonts w:ascii="Times New Roman" w:hAnsi="Times New Roman" w:cs="Times New Roman"/>
          <w:sz w:val="24"/>
          <w:szCs w:val="24"/>
          <w:lang w:val="de-AT"/>
        </w:rPr>
        <w:t>, Gütersloh 1979.</w:t>
      </w:r>
    </w:p>
    <w:p w14:paraId="0C081C9B" w14:textId="77777777" w:rsidR="00B848A0" w:rsidRPr="00B848A0" w:rsidRDefault="00B848A0" w:rsidP="00B848A0">
      <w:pPr>
        <w:pStyle w:val="NormalWeb"/>
        <w:spacing w:before="0" w:beforeAutospacing="0" w:after="0" w:afterAutospacing="0"/>
        <w:ind w:left="1134" w:hanging="1134"/>
        <w:jc w:val="both"/>
        <w:rPr>
          <w:lang w:val="de-AT"/>
        </w:rPr>
      </w:pPr>
      <w:r w:rsidRPr="00B848A0">
        <w:rPr>
          <w:lang w:val="de-AT"/>
        </w:rPr>
        <w:t>Sternberg</w:t>
      </w:r>
      <w:r>
        <w:rPr>
          <w:lang w:val="de-AT"/>
        </w:rPr>
        <w:t xml:space="preserve"> </w:t>
      </w:r>
      <w:r w:rsidRPr="00B848A0">
        <w:rPr>
          <w:lang w:val="de-AT"/>
        </w:rPr>
        <w:t xml:space="preserve">T., </w:t>
      </w:r>
      <w:r w:rsidRPr="00B848A0">
        <w:rPr>
          <w:rStyle w:val="Emphasis"/>
          <w:lang w:val="de-AT"/>
        </w:rPr>
        <w:t>Zum «synodalen Weg» in Deutschland</w:t>
      </w:r>
      <w:r w:rsidRPr="00B848A0">
        <w:rPr>
          <w:lang w:val="de-AT"/>
        </w:rPr>
        <w:t xml:space="preserve">, w: P.M. Zulehner, P. Neuner, A. Hennersperger (red.), </w:t>
      </w:r>
      <w:r w:rsidRPr="00B848A0">
        <w:rPr>
          <w:rStyle w:val="Emphasis"/>
          <w:lang w:val="de-AT"/>
        </w:rPr>
        <w:t>Synodalisierung. Eine Zerreißprobe für die katholische Weltkirche? Expertinnen und Experten aus aller Welt beziehen Stellung</w:t>
      </w:r>
      <w:r w:rsidRPr="00B848A0">
        <w:rPr>
          <w:lang w:val="de-AT"/>
        </w:rPr>
        <w:t>, Ostfildern 2022, s. 223–240.</w:t>
      </w:r>
    </w:p>
    <w:p w14:paraId="2E3E191D" w14:textId="77777777" w:rsidR="00B848A0" w:rsidRPr="00B848A0" w:rsidRDefault="00B848A0" w:rsidP="00B848A0">
      <w:pPr>
        <w:pStyle w:val="FootnoteText"/>
        <w:ind w:left="1134" w:hanging="1134"/>
        <w:jc w:val="both"/>
        <w:rPr>
          <w:sz w:val="24"/>
          <w:szCs w:val="24"/>
          <w:lang w:val="de-AT"/>
        </w:rPr>
      </w:pPr>
      <w:r w:rsidRPr="00B848A0">
        <w:rPr>
          <w:rFonts w:ascii="Times New Roman" w:hAnsi="Times New Roman" w:cs="Times New Roman"/>
          <w:sz w:val="24"/>
          <w:szCs w:val="24"/>
          <w:lang w:val="de-AT"/>
        </w:rPr>
        <w:t xml:space="preserve">Studer B., </w:t>
      </w:r>
      <w:r w:rsidRPr="00B848A0">
        <w:rPr>
          <w:rStyle w:val="Emphasis"/>
          <w:rFonts w:ascii="Times New Roman" w:hAnsi="Times New Roman" w:cs="Times New Roman"/>
          <w:sz w:val="24"/>
          <w:szCs w:val="24"/>
          <w:lang w:val="de-AT"/>
        </w:rPr>
        <w:t>Schola christiana. Die Theologie zwischen Nizäa (325) und Chalzedon (451)</w:t>
      </w:r>
      <w:r w:rsidRPr="00B848A0">
        <w:rPr>
          <w:rFonts w:ascii="Times New Roman" w:hAnsi="Times New Roman" w:cs="Times New Roman"/>
          <w:sz w:val="24"/>
          <w:szCs w:val="24"/>
          <w:lang w:val="de-AT"/>
        </w:rPr>
        <w:t>, Paderborn u. a. 1998.</w:t>
      </w:r>
    </w:p>
    <w:p w14:paraId="1F5626DC" w14:textId="77777777" w:rsidR="00B848A0" w:rsidRPr="00B848A0" w:rsidRDefault="00B848A0" w:rsidP="00B848A0">
      <w:pPr>
        <w:pStyle w:val="FootnoteText"/>
        <w:ind w:left="1134" w:hanging="1134"/>
        <w:jc w:val="both"/>
        <w:rPr>
          <w:rFonts w:ascii="Times New Roman" w:hAnsi="Times New Roman" w:cs="Times New Roman"/>
          <w:sz w:val="24"/>
          <w:szCs w:val="24"/>
          <w:lang w:val="de-AT"/>
        </w:rPr>
      </w:pPr>
      <w:r>
        <w:rPr>
          <w:rFonts w:ascii="Times New Roman" w:hAnsi="Times New Roman" w:cs="Times New Roman"/>
          <w:sz w:val="24"/>
          <w:szCs w:val="24"/>
          <w:lang w:val="de-AT"/>
        </w:rPr>
        <w:t xml:space="preserve">Thomas von Aquin, </w:t>
      </w:r>
      <w:r>
        <w:rPr>
          <w:rStyle w:val="Emphasis"/>
          <w:rFonts w:ascii="Times New Roman" w:hAnsi="Times New Roman" w:cs="Times New Roman"/>
          <w:sz w:val="24"/>
          <w:szCs w:val="24"/>
          <w:lang w:val="de-AT"/>
        </w:rPr>
        <w:t>Summa Theologiae</w:t>
      </w:r>
      <w:r>
        <w:rPr>
          <w:rFonts w:ascii="Times New Roman" w:hAnsi="Times New Roman" w:cs="Times New Roman"/>
          <w:sz w:val="24"/>
          <w:szCs w:val="24"/>
          <w:lang w:val="de-AT"/>
        </w:rPr>
        <w:t>, Berlin 2022.</w:t>
      </w:r>
      <w:r w:rsidRPr="00B848A0">
        <w:rPr>
          <w:rFonts w:ascii="Times New Roman" w:hAnsi="Times New Roman" w:cs="Times New Roman"/>
          <w:sz w:val="24"/>
          <w:szCs w:val="24"/>
          <w:lang w:val="de-AT"/>
        </w:rPr>
        <w:t xml:space="preserve"> </w:t>
      </w:r>
    </w:p>
    <w:p w14:paraId="471D77AD" w14:textId="77777777" w:rsidR="00B848A0" w:rsidRPr="00B848A0" w:rsidRDefault="00B848A0" w:rsidP="00B848A0">
      <w:pPr>
        <w:pStyle w:val="FootnoteText"/>
        <w:ind w:left="1134" w:hanging="1134"/>
        <w:jc w:val="both"/>
        <w:rPr>
          <w:sz w:val="24"/>
          <w:szCs w:val="24"/>
          <w:lang w:val="de-AT"/>
        </w:rPr>
      </w:pPr>
      <w:r w:rsidRPr="00B848A0">
        <w:rPr>
          <w:rFonts w:ascii="Times New Roman" w:hAnsi="Times New Roman" w:cs="Times New Roman"/>
          <w:sz w:val="24"/>
          <w:szCs w:val="24"/>
          <w:lang w:val="de-AT"/>
        </w:rPr>
        <w:t xml:space="preserve">Tulcan I., </w:t>
      </w:r>
      <w:r w:rsidRPr="00B848A0">
        <w:rPr>
          <w:rStyle w:val="Emphasis"/>
          <w:rFonts w:ascii="Times New Roman" w:hAnsi="Times New Roman" w:cs="Times New Roman"/>
          <w:sz w:val="24"/>
          <w:szCs w:val="24"/>
          <w:lang w:val="de-AT"/>
        </w:rPr>
        <w:t>Grundlegende Merkmale der orthodoxen Dogmatik</w:t>
      </w:r>
      <w:r w:rsidRPr="00B848A0">
        <w:rPr>
          <w:rFonts w:ascii="Times New Roman" w:hAnsi="Times New Roman" w:cs="Times New Roman"/>
          <w:sz w:val="24"/>
          <w:szCs w:val="24"/>
          <w:lang w:val="de-AT"/>
        </w:rPr>
        <w:t xml:space="preserve">, w: I.V. Leb, K. Nikolakopoulos, I. Ursa (red.), </w:t>
      </w:r>
      <w:r w:rsidRPr="00B848A0">
        <w:rPr>
          <w:rStyle w:val="Emphasis"/>
          <w:rFonts w:ascii="Times New Roman" w:hAnsi="Times New Roman" w:cs="Times New Roman"/>
          <w:sz w:val="24"/>
          <w:szCs w:val="24"/>
          <w:lang w:val="de-AT"/>
        </w:rPr>
        <w:t>Die orthodoxe Kirche in der Selbstdarstellung. Ein Kompendium (Lehr- und Studienbücher Orthodoxe Theologie; 4)</w:t>
      </w:r>
      <w:r w:rsidRPr="00B848A0">
        <w:rPr>
          <w:rFonts w:ascii="Times New Roman" w:hAnsi="Times New Roman" w:cs="Times New Roman"/>
          <w:sz w:val="24"/>
          <w:szCs w:val="24"/>
          <w:lang w:val="de-AT"/>
        </w:rPr>
        <w:t>, Münster 2016, s. 113–123</w:t>
      </w:r>
      <w:r w:rsidRPr="00B848A0">
        <w:rPr>
          <w:sz w:val="24"/>
          <w:szCs w:val="24"/>
          <w:lang w:val="de-AT"/>
        </w:rPr>
        <w:t>.</w:t>
      </w:r>
    </w:p>
    <w:p w14:paraId="5084F2B3" w14:textId="77777777" w:rsidR="00B848A0" w:rsidRPr="00B848A0" w:rsidRDefault="00B848A0" w:rsidP="00B848A0">
      <w:pPr>
        <w:pStyle w:val="FootnoteText"/>
        <w:ind w:left="1134" w:hanging="1134"/>
        <w:jc w:val="both"/>
        <w:rPr>
          <w:rFonts w:ascii="Times New Roman" w:hAnsi="Times New Roman" w:cs="Times New Roman"/>
          <w:sz w:val="24"/>
          <w:szCs w:val="24"/>
          <w:lang w:val="de-AT"/>
        </w:rPr>
      </w:pPr>
      <w:r w:rsidRPr="00B848A0">
        <w:rPr>
          <w:rFonts w:ascii="Times New Roman" w:hAnsi="Times New Roman" w:cs="Times New Roman"/>
          <w:sz w:val="24"/>
          <w:szCs w:val="24"/>
          <w:lang w:val="de-AT"/>
        </w:rPr>
        <w:t xml:space="preserve">Zweites Vatikanum, </w:t>
      </w:r>
      <w:r w:rsidRPr="00B848A0">
        <w:rPr>
          <w:rFonts w:ascii="Times New Roman" w:hAnsi="Times New Roman" w:cs="Times New Roman"/>
          <w:i/>
          <w:iCs/>
          <w:sz w:val="24"/>
          <w:szCs w:val="24"/>
          <w:lang w:val="de-AT"/>
        </w:rPr>
        <w:t>Lumen Gentium</w:t>
      </w:r>
      <w:r w:rsidRPr="00B848A0">
        <w:rPr>
          <w:rFonts w:ascii="Times New Roman" w:hAnsi="Times New Roman" w:cs="Times New Roman"/>
          <w:sz w:val="24"/>
          <w:szCs w:val="24"/>
          <w:lang w:val="de-AT"/>
        </w:rPr>
        <w:t xml:space="preserve">, Vatican 1964.  </w:t>
      </w:r>
    </w:p>
    <w:sectPr w:rsidR="00B848A0" w:rsidRPr="00B848A0" w:rsidSect="008E6E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4E6C5" w14:textId="77777777" w:rsidR="00912BB0" w:rsidRDefault="00912BB0" w:rsidP="00351B93">
      <w:pPr>
        <w:spacing w:after="0" w:line="240" w:lineRule="auto"/>
      </w:pPr>
      <w:r>
        <w:separator/>
      </w:r>
    </w:p>
  </w:endnote>
  <w:endnote w:type="continuationSeparator" w:id="0">
    <w:p w14:paraId="1AE7E816" w14:textId="77777777" w:rsidR="00912BB0" w:rsidRDefault="00912BB0" w:rsidP="00351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09E6D" w14:textId="77777777" w:rsidR="00912BB0" w:rsidRDefault="00912BB0" w:rsidP="00351B93">
      <w:pPr>
        <w:spacing w:after="0" w:line="240" w:lineRule="auto"/>
      </w:pPr>
      <w:r>
        <w:separator/>
      </w:r>
    </w:p>
  </w:footnote>
  <w:footnote w:type="continuationSeparator" w:id="0">
    <w:p w14:paraId="08A0A594" w14:textId="77777777" w:rsidR="00912BB0" w:rsidRDefault="00912BB0" w:rsidP="00351B93">
      <w:pPr>
        <w:spacing w:after="0" w:line="240" w:lineRule="auto"/>
      </w:pPr>
      <w:r>
        <w:continuationSeparator/>
      </w:r>
    </w:p>
  </w:footnote>
  <w:footnote w:id="1">
    <w:p w14:paraId="70FF9A68" w14:textId="77777777" w:rsidR="00351B93" w:rsidRPr="00453815" w:rsidRDefault="00351B93" w:rsidP="00843391">
      <w:pPr>
        <w:pStyle w:val="FootnoteText"/>
        <w:jc w:val="both"/>
        <w:rPr>
          <w:rFonts w:ascii="Times New Roman" w:hAnsi="Times New Roman" w:cs="Times New Roman"/>
          <w:sz w:val="18"/>
          <w:szCs w:val="18"/>
          <w:lang w:val="de-AT"/>
        </w:rPr>
      </w:pPr>
      <w:r w:rsidRPr="00843391">
        <w:rPr>
          <w:rStyle w:val="FootnoteReference"/>
          <w:rFonts w:ascii="Times New Roman" w:hAnsi="Times New Roman" w:cs="Times New Roman"/>
          <w:sz w:val="18"/>
          <w:szCs w:val="18"/>
        </w:rPr>
        <w:footnoteRef/>
      </w:r>
      <w:r w:rsidRPr="00843391">
        <w:rPr>
          <w:rFonts w:ascii="Times New Roman" w:hAnsi="Times New Roman" w:cs="Times New Roman"/>
          <w:sz w:val="18"/>
          <w:szCs w:val="18"/>
        </w:rPr>
        <w:t xml:space="preserve"> </w:t>
      </w:r>
      <w:r w:rsidR="00E52C55" w:rsidRPr="00843391">
        <w:rPr>
          <w:rFonts w:ascii="Times New Roman" w:hAnsi="Times New Roman" w:cs="Times New Roman"/>
          <w:sz w:val="18"/>
          <w:szCs w:val="18"/>
        </w:rPr>
        <w:t xml:space="preserve">Por. Zweites Vatikanum, LG 9–17.25; w odniesieniu do wewnętrznego napięcia zob. </w:t>
      </w:r>
      <w:r w:rsidR="00B47C6C">
        <w:rPr>
          <w:rFonts w:ascii="Times New Roman" w:hAnsi="Times New Roman" w:cs="Times New Roman"/>
          <w:sz w:val="18"/>
          <w:szCs w:val="18"/>
          <w:lang w:val="de-AT"/>
        </w:rPr>
        <w:t>P.</w:t>
      </w:r>
      <w:r w:rsidR="00E52C55" w:rsidRPr="00453815">
        <w:rPr>
          <w:rFonts w:ascii="Times New Roman" w:hAnsi="Times New Roman" w:cs="Times New Roman"/>
          <w:sz w:val="18"/>
          <w:szCs w:val="18"/>
          <w:lang w:val="de-AT"/>
        </w:rPr>
        <w:t xml:space="preserve"> Neuner, </w:t>
      </w:r>
      <w:r w:rsidR="00E52C55" w:rsidRPr="00453815">
        <w:rPr>
          <w:rStyle w:val="Emphasis"/>
          <w:rFonts w:ascii="Times New Roman" w:hAnsi="Times New Roman" w:cs="Times New Roman"/>
          <w:sz w:val="18"/>
          <w:szCs w:val="18"/>
          <w:lang w:val="de-AT"/>
        </w:rPr>
        <w:t>Abschied von der Ständekirche. Plädoyer für eine Theologie des Gottesvolkes</w:t>
      </w:r>
      <w:r w:rsidR="00E52C55" w:rsidRPr="00453815">
        <w:rPr>
          <w:rFonts w:ascii="Times New Roman" w:hAnsi="Times New Roman" w:cs="Times New Roman"/>
          <w:sz w:val="18"/>
          <w:szCs w:val="18"/>
          <w:lang w:val="de-AT"/>
        </w:rPr>
        <w:t>, Freiburg – Basel – Wien 2015, s. 115–129.</w:t>
      </w:r>
    </w:p>
  </w:footnote>
  <w:footnote w:id="2">
    <w:p w14:paraId="18D380DE" w14:textId="77777777" w:rsidR="00A45DF7" w:rsidRPr="00453815" w:rsidRDefault="00A45DF7" w:rsidP="00843391">
      <w:pPr>
        <w:pStyle w:val="NormalWeb"/>
        <w:spacing w:before="0" w:beforeAutospacing="0" w:after="0" w:afterAutospacing="0"/>
        <w:jc w:val="both"/>
        <w:rPr>
          <w:sz w:val="18"/>
          <w:szCs w:val="18"/>
          <w:lang w:val="de-AT"/>
        </w:rPr>
      </w:pPr>
      <w:r w:rsidRPr="00843391">
        <w:rPr>
          <w:rStyle w:val="FootnoteReference"/>
          <w:sz w:val="18"/>
          <w:szCs w:val="18"/>
        </w:rPr>
        <w:footnoteRef/>
      </w:r>
      <w:r w:rsidRPr="00453815">
        <w:rPr>
          <w:sz w:val="18"/>
          <w:szCs w:val="18"/>
          <w:lang w:val="de-AT"/>
        </w:rPr>
        <w:t xml:space="preserve"> </w:t>
      </w:r>
      <w:r w:rsidR="00B47C6C">
        <w:rPr>
          <w:sz w:val="18"/>
          <w:szCs w:val="18"/>
          <w:lang w:val="de-AT"/>
        </w:rPr>
        <w:t>Por. T.</w:t>
      </w:r>
      <w:r w:rsidR="00843391" w:rsidRPr="00453815">
        <w:rPr>
          <w:sz w:val="18"/>
          <w:szCs w:val="18"/>
          <w:lang w:val="de-AT"/>
        </w:rPr>
        <w:t xml:space="preserve"> Sternberg, </w:t>
      </w:r>
      <w:r w:rsidR="00843391" w:rsidRPr="00453815">
        <w:rPr>
          <w:rStyle w:val="Emphasis"/>
          <w:sz w:val="18"/>
          <w:szCs w:val="18"/>
          <w:lang w:val="de-AT"/>
        </w:rPr>
        <w:t>Zum «synodalen Weg» in Deutschland</w:t>
      </w:r>
      <w:r w:rsidR="00B47C6C">
        <w:rPr>
          <w:sz w:val="18"/>
          <w:szCs w:val="18"/>
          <w:lang w:val="de-AT"/>
        </w:rPr>
        <w:t>, w: P.M. Zulehner, P. Neuner, A.</w:t>
      </w:r>
      <w:r w:rsidR="00343E15">
        <w:rPr>
          <w:sz w:val="18"/>
          <w:szCs w:val="18"/>
          <w:lang w:val="de-AT"/>
        </w:rPr>
        <w:t xml:space="preserve"> Hennersperger (red</w:t>
      </w:r>
      <w:r w:rsidR="00843391" w:rsidRPr="00453815">
        <w:rPr>
          <w:sz w:val="18"/>
          <w:szCs w:val="18"/>
          <w:lang w:val="de-AT"/>
        </w:rPr>
        <w:t xml:space="preserve">.), </w:t>
      </w:r>
      <w:r w:rsidR="00843391" w:rsidRPr="00453815">
        <w:rPr>
          <w:rStyle w:val="Emphasis"/>
          <w:sz w:val="18"/>
          <w:szCs w:val="18"/>
          <w:lang w:val="de-AT"/>
        </w:rPr>
        <w:t>Synodalisierung. Eine Zerreißprobe für die katholische Weltkirche? Expertinnen und Experten aus aller Welt beziehen Stellung</w:t>
      </w:r>
      <w:r w:rsidR="00843391" w:rsidRPr="00453815">
        <w:rPr>
          <w:sz w:val="18"/>
          <w:szCs w:val="18"/>
          <w:lang w:val="de-AT"/>
        </w:rPr>
        <w:t>, Ostfildern 2022, s. 223–240, tutaj s. 234.</w:t>
      </w:r>
    </w:p>
  </w:footnote>
  <w:footnote w:id="3">
    <w:p w14:paraId="05038C82" w14:textId="77777777" w:rsidR="00A45DF7" w:rsidRPr="00453815" w:rsidRDefault="00A45DF7" w:rsidP="00843391">
      <w:pPr>
        <w:pStyle w:val="FootnoteText"/>
        <w:jc w:val="both"/>
        <w:rPr>
          <w:rFonts w:ascii="Times New Roman" w:hAnsi="Times New Roman" w:cs="Times New Roman"/>
          <w:sz w:val="18"/>
          <w:szCs w:val="18"/>
          <w:lang w:val="en-US"/>
        </w:rPr>
      </w:pPr>
      <w:r w:rsidRPr="00843391">
        <w:rPr>
          <w:rStyle w:val="FootnoteReference"/>
          <w:rFonts w:ascii="Times New Roman" w:hAnsi="Times New Roman" w:cs="Times New Roman"/>
          <w:sz w:val="18"/>
          <w:szCs w:val="18"/>
        </w:rPr>
        <w:footnoteRef/>
      </w:r>
      <w:r w:rsidRPr="00453815">
        <w:rPr>
          <w:rFonts w:ascii="Times New Roman" w:hAnsi="Times New Roman" w:cs="Times New Roman"/>
          <w:sz w:val="18"/>
          <w:szCs w:val="18"/>
          <w:lang w:val="en-US"/>
        </w:rPr>
        <w:t xml:space="preserve"> </w:t>
      </w:r>
      <w:r w:rsidR="00843391" w:rsidRPr="00453815">
        <w:rPr>
          <w:rFonts w:ascii="Times New Roman" w:hAnsi="Times New Roman" w:cs="Times New Roman"/>
          <w:sz w:val="18"/>
          <w:szCs w:val="18"/>
          <w:lang w:val="en-US"/>
        </w:rPr>
        <w:t>Tamże, s. 234n.</w:t>
      </w:r>
    </w:p>
  </w:footnote>
  <w:footnote w:id="4">
    <w:p w14:paraId="7432121E" w14:textId="77777777" w:rsidR="00980FF4" w:rsidRPr="00453815" w:rsidRDefault="00980FF4" w:rsidP="00843391">
      <w:pPr>
        <w:pStyle w:val="FootnoteText"/>
        <w:jc w:val="both"/>
        <w:rPr>
          <w:lang w:val="de-AT"/>
        </w:rPr>
      </w:pPr>
      <w:r w:rsidRPr="00843391">
        <w:rPr>
          <w:rStyle w:val="FootnoteReference"/>
          <w:rFonts w:ascii="Times New Roman" w:hAnsi="Times New Roman" w:cs="Times New Roman"/>
          <w:sz w:val="18"/>
          <w:szCs w:val="18"/>
        </w:rPr>
        <w:footnoteRef/>
      </w:r>
      <w:r w:rsidRPr="00453815">
        <w:rPr>
          <w:rFonts w:ascii="Times New Roman" w:hAnsi="Times New Roman" w:cs="Times New Roman"/>
          <w:sz w:val="18"/>
          <w:szCs w:val="18"/>
          <w:lang w:val="en-US"/>
        </w:rPr>
        <w:t xml:space="preserve"> </w:t>
      </w:r>
      <w:r w:rsidR="00B47C6C">
        <w:rPr>
          <w:rFonts w:ascii="Times New Roman" w:hAnsi="Times New Roman" w:cs="Times New Roman"/>
          <w:sz w:val="18"/>
          <w:szCs w:val="18"/>
          <w:lang w:val="en-US"/>
        </w:rPr>
        <w:t>Por. B.</w:t>
      </w:r>
      <w:r w:rsidR="00843391" w:rsidRPr="00453815">
        <w:rPr>
          <w:rFonts w:ascii="Times New Roman" w:hAnsi="Times New Roman" w:cs="Times New Roman"/>
          <w:sz w:val="18"/>
          <w:szCs w:val="18"/>
          <w:lang w:val="en-US"/>
        </w:rPr>
        <w:t xml:space="preserve"> Studer, </w:t>
      </w:r>
      <w:r w:rsidR="00843391" w:rsidRPr="00453815">
        <w:rPr>
          <w:rStyle w:val="Emphasis"/>
          <w:rFonts w:ascii="Times New Roman" w:hAnsi="Times New Roman" w:cs="Times New Roman"/>
          <w:sz w:val="18"/>
          <w:szCs w:val="18"/>
          <w:lang w:val="en-US"/>
        </w:rPr>
        <w:t xml:space="preserve">Schola christiana. </w:t>
      </w:r>
      <w:r w:rsidR="00843391" w:rsidRPr="00453815">
        <w:rPr>
          <w:rStyle w:val="Emphasis"/>
          <w:rFonts w:ascii="Times New Roman" w:hAnsi="Times New Roman" w:cs="Times New Roman"/>
          <w:sz w:val="18"/>
          <w:szCs w:val="18"/>
          <w:lang w:val="de-AT"/>
        </w:rPr>
        <w:t>Die Theologie zwischen Nizäa (325) und Chalzedon (451)</w:t>
      </w:r>
      <w:r w:rsidR="00843391" w:rsidRPr="00453815">
        <w:rPr>
          <w:rFonts w:ascii="Times New Roman" w:hAnsi="Times New Roman" w:cs="Times New Roman"/>
          <w:sz w:val="18"/>
          <w:szCs w:val="18"/>
          <w:lang w:val="de-AT"/>
        </w:rPr>
        <w:t>, Paderborn u. a. 1998, s. 111.</w:t>
      </w:r>
    </w:p>
  </w:footnote>
  <w:footnote w:id="5">
    <w:p w14:paraId="3FEE0042" w14:textId="77777777" w:rsidR="00980FF4" w:rsidRPr="00843391" w:rsidRDefault="00980FF4" w:rsidP="00843391">
      <w:pPr>
        <w:pStyle w:val="NormalWeb"/>
        <w:spacing w:before="0" w:beforeAutospacing="0" w:after="0" w:afterAutospacing="0"/>
        <w:jc w:val="both"/>
        <w:rPr>
          <w:sz w:val="18"/>
          <w:szCs w:val="18"/>
        </w:rPr>
      </w:pPr>
      <w:r w:rsidRPr="00843391">
        <w:rPr>
          <w:rStyle w:val="FootnoteReference"/>
          <w:sz w:val="18"/>
          <w:szCs w:val="18"/>
        </w:rPr>
        <w:footnoteRef/>
      </w:r>
      <w:r w:rsidRPr="00843391">
        <w:rPr>
          <w:sz w:val="18"/>
          <w:szCs w:val="18"/>
        </w:rPr>
        <w:t xml:space="preserve"> </w:t>
      </w:r>
      <w:r w:rsidR="00843391" w:rsidRPr="00843391">
        <w:rPr>
          <w:sz w:val="18"/>
          <w:szCs w:val="18"/>
        </w:rPr>
        <w:t>Tamże, s. 40.</w:t>
      </w:r>
    </w:p>
  </w:footnote>
  <w:footnote w:id="6">
    <w:p w14:paraId="288CCB74" w14:textId="77777777" w:rsidR="006A6258" w:rsidRPr="00843391" w:rsidRDefault="006A6258" w:rsidP="00843391">
      <w:pPr>
        <w:pStyle w:val="FootnoteText"/>
        <w:jc w:val="both"/>
        <w:rPr>
          <w:rFonts w:ascii="Times New Roman" w:hAnsi="Times New Roman" w:cs="Times New Roman"/>
          <w:sz w:val="18"/>
          <w:szCs w:val="18"/>
        </w:rPr>
      </w:pPr>
      <w:r w:rsidRPr="00843391">
        <w:rPr>
          <w:rStyle w:val="FootnoteReference"/>
          <w:rFonts w:ascii="Times New Roman" w:hAnsi="Times New Roman" w:cs="Times New Roman"/>
          <w:sz w:val="18"/>
          <w:szCs w:val="18"/>
        </w:rPr>
        <w:footnoteRef/>
      </w:r>
      <w:r w:rsidRPr="00843391">
        <w:rPr>
          <w:rFonts w:ascii="Times New Roman" w:hAnsi="Times New Roman" w:cs="Times New Roman"/>
          <w:sz w:val="18"/>
          <w:szCs w:val="18"/>
        </w:rPr>
        <w:t xml:space="preserve"> </w:t>
      </w:r>
      <w:r w:rsidR="00843391" w:rsidRPr="00843391">
        <w:rPr>
          <w:rFonts w:ascii="Times New Roman" w:hAnsi="Times New Roman" w:cs="Times New Roman"/>
          <w:sz w:val="18"/>
          <w:szCs w:val="18"/>
        </w:rPr>
        <w:t>Tamże</w:t>
      </w:r>
      <w:r w:rsidR="00B47C6C">
        <w:rPr>
          <w:rFonts w:ascii="Times New Roman" w:hAnsi="Times New Roman" w:cs="Times New Roman"/>
          <w:sz w:val="18"/>
          <w:szCs w:val="18"/>
        </w:rPr>
        <w:t>.</w:t>
      </w:r>
    </w:p>
  </w:footnote>
  <w:footnote w:id="7">
    <w:p w14:paraId="3C65F510" w14:textId="77777777" w:rsidR="00480F94" w:rsidRPr="00843391" w:rsidRDefault="00480F94" w:rsidP="006643ED">
      <w:pPr>
        <w:pStyle w:val="NormalWeb"/>
        <w:spacing w:before="0" w:beforeAutospacing="0" w:after="0" w:afterAutospacing="0"/>
        <w:jc w:val="both"/>
        <w:rPr>
          <w:sz w:val="18"/>
          <w:szCs w:val="18"/>
        </w:rPr>
      </w:pPr>
      <w:r w:rsidRPr="00843391">
        <w:rPr>
          <w:rStyle w:val="FootnoteReference"/>
          <w:sz w:val="18"/>
          <w:szCs w:val="18"/>
        </w:rPr>
        <w:footnoteRef/>
      </w:r>
      <w:r w:rsidRPr="00843391">
        <w:rPr>
          <w:sz w:val="18"/>
          <w:szCs w:val="18"/>
        </w:rPr>
        <w:t xml:space="preserve"> </w:t>
      </w:r>
      <w:r w:rsidR="00843391" w:rsidRPr="00843391">
        <w:rPr>
          <w:sz w:val="18"/>
          <w:szCs w:val="18"/>
        </w:rPr>
        <w:t xml:space="preserve">Przypomnieć należy modlitwę konsekracyjną o </w:t>
      </w:r>
      <w:r w:rsidR="00843391" w:rsidRPr="00843391">
        <w:rPr>
          <w:rStyle w:val="Emphasis"/>
          <w:sz w:val="18"/>
          <w:szCs w:val="18"/>
        </w:rPr>
        <w:t>spiritus principalis</w:t>
      </w:r>
      <w:r w:rsidR="00843391" w:rsidRPr="00843391">
        <w:rPr>
          <w:sz w:val="18"/>
          <w:szCs w:val="18"/>
        </w:rPr>
        <w:t xml:space="preserve"> w wczesnochrześcijańskiej </w:t>
      </w:r>
      <w:r w:rsidR="00843391" w:rsidRPr="00843391">
        <w:rPr>
          <w:rStyle w:val="Emphasis"/>
          <w:sz w:val="18"/>
          <w:szCs w:val="18"/>
        </w:rPr>
        <w:t>traditio apostolica</w:t>
      </w:r>
      <w:r w:rsidR="00843391" w:rsidRPr="00843391">
        <w:rPr>
          <w:sz w:val="18"/>
          <w:szCs w:val="18"/>
        </w:rPr>
        <w:t xml:space="preserve">; por. </w:t>
      </w:r>
      <w:r w:rsidR="00B47C6C">
        <w:rPr>
          <w:sz w:val="18"/>
          <w:szCs w:val="18"/>
          <w:lang w:val="de-AT"/>
        </w:rPr>
        <w:t>B.</w:t>
      </w:r>
      <w:r w:rsidR="00843391" w:rsidRPr="00453815">
        <w:rPr>
          <w:sz w:val="18"/>
          <w:szCs w:val="18"/>
          <w:lang w:val="de-AT"/>
        </w:rPr>
        <w:t xml:space="preserve"> Kleinheyer, </w:t>
      </w:r>
      <w:r w:rsidR="00843391" w:rsidRPr="00453815">
        <w:rPr>
          <w:rStyle w:val="Emphasis"/>
          <w:sz w:val="18"/>
          <w:szCs w:val="18"/>
          <w:lang w:val="de-AT"/>
        </w:rPr>
        <w:t>Ordinationen und Beauftragungen</w:t>
      </w:r>
      <w:r w:rsidR="00B47C6C">
        <w:rPr>
          <w:sz w:val="18"/>
          <w:szCs w:val="18"/>
          <w:lang w:val="de-AT"/>
        </w:rPr>
        <w:t>, w: Ders. – E. von Severus, R.</w:t>
      </w:r>
      <w:r w:rsidR="00843391" w:rsidRPr="00453815">
        <w:rPr>
          <w:sz w:val="18"/>
          <w:szCs w:val="18"/>
          <w:lang w:val="de-AT"/>
        </w:rPr>
        <w:t xml:space="preserve"> Kaczynski, </w:t>
      </w:r>
      <w:r w:rsidR="00843391" w:rsidRPr="00453815">
        <w:rPr>
          <w:rStyle w:val="Emphasis"/>
          <w:sz w:val="18"/>
          <w:szCs w:val="18"/>
          <w:lang w:val="de-AT"/>
        </w:rPr>
        <w:t>Sakramentliche Feiern II (Gottesdienst der Kirche. Handbuch der Liturgiewissenschaft Teil 8)</w:t>
      </w:r>
      <w:r w:rsidR="00843391" w:rsidRPr="00453815">
        <w:rPr>
          <w:sz w:val="18"/>
          <w:szCs w:val="18"/>
          <w:lang w:val="de-AT"/>
        </w:rPr>
        <w:t>, Regensburg 1</w:t>
      </w:r>
      <w:r w:rsidR="00B47C6C">
        <w:rPr>
          <w:sz w:val="18"/>
          <w:szCs w:val="18"/>
          <w:lang w:val="de-AT"/>
        </w:rPr>
        <w:t>984, s. 28. Trafnie ujął to H.</w:t>
      </w:r>
      <w:r w:rsidR="00843391" w:rsidRPr="00453815">
        <w:rPr>
          <w:sz w:val="18"/>
          <w:szCs w:val="18"/>
          <w:lang w:val="de-AT"/>
        </w:rPr>
        <w:t xml:space="preserve"> von Campenhausen, </w:t>
      </w:r>
      <w:r w:rsidR="00843391" w:rsidRPr="00453815">
        <w:rPr>
          <w:rStyle w:val="Emphasis"/>
          <w:sz w:val="18"/>
          <w:szCs w:val="18"/>
          <w:lang w:val="de-AT"/>
        </w:rPr>
        <w:t>Kirchliches Amt und geistliche Vollmacht in den ersten drei Jahrhunderten</w:t>
      </w:r>
      <w:r w:rsidR="00343E15">
        <w:rPr>
          <w:sz w:val="18"/>
          <w:szCs w:val="18"/>
          <w:lang w:val="de-AT"/>
        </w:rPr>
        <w:t xml:space="preserve">, Tübingen </w:t>
      </w:r>
      <w:r w:rsidR="00843391" w:rsidRPr="00453815">
        <w:rPr>
          <w:sz w:val="18"/>
          <w:szCs w:val="18"/>
          <w:lang w:val="de-AT"/>
        </w:rPr>
        <w:t>1963, s. 131: „W Rzymie biskup jest najpierw uprzywilejowanym urzędnikiem kultu swojej wspólnoty, w Syrii jest jej duchowym wzorem i sakralnym centrum, w Azji Mniejszej przede wszystkim ordynowanym głosicielem nauki apostolskiej”. Dla szczegółowych historyczny</w:t>
      </w:r>
      <w:r w:rsidR="00B47C6C">
        <w:rPr>
          <w:sz w:val="18"/>
          <w:szCs w:val="18"/>
          <w:lang w:val="de-AT"/>
        </w:rPr>
        <w:t>ch studiów przypadków por. J. Pichler, P.</w:t>
      </w:r>
      <w:r w:rsidR="00343E15">
        <w:rPr>
          <w:sz w:val="18"/>
          <w:szCs w:val="18"/>
          <w:lang w:val="de-AT"/>
        </w:rPr>
        <w:t xml:space="preserve"> Ebenbauer (red</w:t>
      </w:r>
      <w:r w:rsidR="00843391" w:rsidRPr="00453815">
        <w:rPr>
          <w:sz w:val="18"/>
          <w:szCs w:val="18"/>
          <w:lang w:val="de-AT"/>
        </w:rPr>
        <w:t xml:space="preserve">.), </w:t>
      </w:r>
      <w:r w:rsidR="00843391" w:rsidRPr="00453815">
        <w:rPr>
          <w:rStyle w:val="Emphasis"/>
          <w:sz w:val="18"/>
          <w:szCs w:val="18"/>
          <w:lang w:val="de-AT"/>
        </w:rPr>
        <w:t>Partizipation und Leitung in der frühen Kirche (Quaestiones disputatae; 345)</w:t>
      </w:r>
      <w:r w:rsidR="00843391" w:rsidRPr="00453815">
        <w:rPr>
          <w:sz w:val="18"/>
          <w:szCs w:val="18"/>
          <w:lang w:val="de-AT"/>
        </w:rPr>
        <w:t xml:space="preserve">, Freiburg – Basel – Wien 2025. </w:t>
      </w:r>
      <w:r w:rsidR="00843391" w:rsidRPr="00843391">
        <w:rPr>
          <w:sz w:val="18"/>
          <w:szCs w:val="18"/>
        </w:rPr>
        <w:t>Redaktorzy umieszczają książkę pod patronatem hermeneutyki o zabarwieniu archeologicznym, która stawia wczesnochrześcijańskie poszukiwania wobec równoczesnych lub niewiele późniejszych procesów konsolidacji; por. tamże, s. 9–11.</w:t>
      </w:r>
    </w:p>
  </w:footnote>
  <w:footnote w:id="8">
    <w:p w14:paraId="2E772B13" w14:textId="77777777" w:rsidR="00480F94" w:rsidRPr="00843391" w:rsidRDefault="00480F94" w:rsidP="006643ED">
      <w:pPr>
        <w:pStyle w:val="FootnoteText"/>
        <w:jc w:val="both"/>
        <w:rPr>
          <w:rFonts w:ascii="Times New Roman" w:hAnsi="Times New Roman" w:cs="Times New Roman"/>
          <w:sz w:val="18"/>
          <w:szCs w:val="18"/>
        </w:rPr>
      </w:pPr>
      <w:r w:rsidRPr="00843391">
        <w:rPr>
          <w:rStyle w:val="FootnoteReference"/>
          <w:rFonts w:ascii="Times New Roman" w:hAnsi="Times New Roman" w:cs="Times New Roman"/>
          <w:sz w:val="18"/>
          <w:szCs w:val="18"/>
        </w:rPr>
        <w:footnoteRef/>
      </w:r>
      <w:r w:rsidRPr="00843391">
        <w:rPr>
          <w:rFonts w:ascii="Times New Roman" w:hAnsi="Times New Roman" w:cs="Times New Roman"/>
          <w:sz w:val="18"/>
          <w:szCs w:val="18"/>
        </w:rPr>
        <w:t xml:space="preserve"> </w:t>
      </w:r>
      <w:r w:rsidR="00B47C6C">
        <w:rPr>
          <w:rFonts w:ascii="Times New Roman" w:hAnsi="Times New Roman" w:cs="Times New Roman"/>
          <w:sz w:val="18"/>
          <w:szCs w:val="18"/>
        </w:rPr>
        <w:t>L.</w:t>
      </w:r>
      <w:r w:rsidR="00843391" w:rsidRPr="00843391">
        <w:rPr>
          <w:rFonts w:ascii="Times New Roman" w:hAnsi="Times New Roman" w:cs="Times New Roman"/>
          <w:sz w:val="18"/>
          <w:szCs w:val="18"/>
        </w:rPr>
        <w:t xml:space="preserve"> Bouyer, </w:t>
      </w:r>
      <w:r w:rsidR="00843391" w:rsidRPr="00843391">
        <w:rPr>
          <w:rStyle w:val="Emphasis"/>
          <w:rFonts w:ascii="Times New Roman" w:hAnsi="Times New Roman" w:cs="Times New Roman"/>
          <w:sz w:val="18"/>
          <w:szCs w:val="18"/>
        </w:rPr>
        <w:t>Die Kirche. I. Ihre Selbstdeutung in der Geschichte (Theologia Romanica; IX)</w:t>
      </w:r>
      <w:r w:rsidR="00843391" w:rsidRPr="00843391">
        <w:rPr>
          <w:rFonts w:ascii="Times New Roman" w:hAnsi="Times New Roman" w:cs="Times New Roman"/>
          <w:sz w:val="18"/>
          <w:szCs w:val="18"/>
        </w:rPr>
        <w:t xml:space="preserve">, Einsiedeln 1977, s. 28; dla przykładu cytat z czasów wczesnych Ojców Kościoła, np. Ignatius von Antiochien, </w:t>
      </w:r>
      <w:r w:rsidR="00843391" w:rsidRPr="00843391">
        <w:rPr>
          <w:rStyle w:val="Emphasis"/>
          <w:rFonts w:ascii="Times New Roman" w:hAnsi="Times New Roman" w:cs="Times New Roman"/>
          <w:sz w:val="18"/>
          <w:szCs w:val="18"/>
        </w:rPr>
        <w:t>Trall.</w:t>
      </w:r>
      <w:r w:rsidR="00843391" w:rsidRPr="00843391">
        <w:rPr>
          <w:rFonts w:ascii="Times New Roman" w:hAnsi="Times New Roman" w:cs="Times New Roman"/>
          <w:sz w:val="18"/>
          <w:szCs w:val="18"/>
        </w:rPr>
        <w:t xml:space="preserve"> 3, 1b: „Oddzielona od nich [urzędników hierarchicznych] nie można mówić o Kościele”.</w:t>
      </w:r>
    </w:p>
  </w:footnote>
  <w:footnote w:id="9">
    <w:p w14:paraId="2CBC3D96" w14:textId="77777777" w:rsidR="00065B62" w:rsidRPr="00453815" w:rsidRDefault="00065B62" w:rsidP="00B47C6C">
      <w:pPr>
        <w:pStyle w:val="NormalWeb"/>
        <w:spacing w:before="0" w:beforeAutospacing="0" w:after="0" w:afterAutospacing="0"/>
        <w:jc w:val="both"/>
        <w:rPr>
          <w:lang w:val="de-AT"/>
        </w:rPr>
      </w:pPr>
      <w:r w:rsidRPr="006643ED">
        <w:rPr>
          <w:rStyle w:val="FootnoteReference"/>
          <w:sz w:val="18"/>
          <w:szCs w:val="18"/>
        </w:rPr>
        <w:footnoteRef/>
      </w:r>
      <w:r w:rsidRPr="00453815">
        <w:rPr>
          <w:sz w:val="18"/>
          <w:szCs w:val="18"/>
          <w:lang w:val="de-AT"/>
        </w:rPr>
        <w:t xml:space="preserve"> </w:t>
      </w:r>
      <w:r w:rsidR="00B47C6C">
        <w:rPr>
          <w:sz w:val="18"/>
          <w:szCs w:val="18"/>
          <w:lang w:val="de-AT"/>
        </w:rPr>
        <w:t>G.</w:t>
      </w:r>
      <w:r w:rsidR="006643ED" w:rsidRPr="00453815">
        <w:rPr>
          <w:sz w:val="18"/>
          <w:szCs w:val="18"/>
          <w:lang w:val="de-AT"/>
        </w:rPr>
        <w:t xml:space="preserve"> Baum, </w:t>
      </w:r>
      <w:r w:rsidR="006643ED" w:rsidRPr="00453815">
        <w:rPr>
          <w:rStyle w:val="Emphasis"/>
          <w:sz w:val="18"/>
          <w:szCs w:val="18"/>
          <w:lang w:val="de-AT"/>
        </w:rPr>
        <w:t>Das Lehramt in einer sich wandelnden Kirche</w:t>
      </w:r>
      <w:r w:rsidR="006643ED" w:rsidRPr="00453815">
        <w:rPr>
          <w:sz w:val="18"/>
          <w:szCs w:val="18"/>
          <w:lang w:val="de-AT"/>
        </w:rPr>
        <w:t xml:space="preserve">, w: </w:t>
      </w:r>
      <w:r w:rsidR="006643ED" w:rsidRPr="00453815">
        <w:rPr>
          <w:rStyle w:val="Emphasis"/>
          <w:sz w:val="18"/>
          <w:szCs w:val="18"/>
          <w:lang w:val="de-AT"/>
        </w:rPr>
        <w:t>Concilium</w:t>
      </w:r>
      <w:r w:rsidR="006643ED" w:rsidRPr="00453815">
        <w:rPr>
          <w:sz w:val="18"/>
          <w:szCs w:val="18"/>
          <w:lang w:val="de-AT"/>
        </w:rPr>
        <w:t xml:space="preserve"> 3 (1967), s. 31–39, tutaj s. 34</w:t>
      </w:r>
      <w:r w:rsidR="006643ED" w:rsidRPr="00453815">
        <w:rPr>
          <w:lang w:val="de-AT"/>
        </w:rPr>
        <w:t>.</w:t>
      </w:r>
    </w:p>
  </w:footnote>
  <w:footnote w:id="10">
    <w:p w14:paraId="4C937A7C" w14:textId="77777777" w:rsidR="00065B62" w:rsidRPr="00453815" w:rsidRDefault="00065B62" w:rsidP="006643ED">
      <w:pPr>
        <w:pStyle w:val="FootnoteText"/>
        <w:jc w:val="both"/>
        <w:rPr>
          <w:rFonts w:ascii="Times New Roman" w:hAnsi="Times New Roman" w:cs="Times New Roman"/>
          <w:sz w:val="18"/>
          <w:szCs w:val="18"/>
          <w:lang w:val="de-AT"/>
        </w:rPr>
      </w:pPr>
      <w:r w:rsidRPr="006643ED">
        <w:rPr>
          <w:rStyle w:val="FootnoteReference"/>
          <w:rFonts w:ascii="Times New Roman" w:hAnsi="Times New Roman" w:cs="Times New Roman"/>
          <w:sz w:val="18"/>
          <w:szCs w:val="18"/>
        </w:rPr>
        <w:footnoteRef/>
      </w:r>
      <w:r w:rsidRPr="00453815">
        <w:rPr>
          <w:rFonts w:ascii="Times New Roman" w:hAnsi="Times New Roman" w:cs="Times New Roman"/>
          <w:sz w:val="18"/>
          <w:szCs w:val="18"/>
          <w:lang w:val="de-AT"/>
        </w:rPr>
        <w:t xml:space="preserve"> </w:t>
      </w:r>
      <w:r w:rsidR="006643ED" w:rsidRPr="00453815">
        <w:rPr>
          <w:rFonts w:ascii="Times New Roman" w:hAnsi="Times New Roman" w:cs="Times New Roman"/>
          <w:sz w:val="18"/>
          <w:szCs w:val="18"/>
          <w:lang w:val="de-AT"/>
        </w:rPr>
        <w:t>Tamże.</w:t>
      </w:r>
    </w:p>
  </w:footnote>
  <w:footnote w:id="11">
    <w:p w14:paraId="50CEBC77" w14:textId="77777777" w:rsidR="00FD4B3E" w:rsidRPr="00453815" w:rsidRDefault="00FD4B3E" w:rsidP="006643ED">
      <w:pPr>
        <w:pStyle w:val="FootnoteText"/>
        <w:jc w:val="both"/>
        <w:rPr>
          <w:lang w:val="de-AT"/>
        </w:rPr>
      </w:pPr>
      <w:r w:rsidRPr="006643ED">
        <w:rPr>
          <w:rStyle w:val="FootnoteReference"/>
          <w:rFonts w:ascii="Times New Roman" w:hAnsi="Times New Roman" w:cs="Times New Roman"/>
          <w:sz w:val="18"/>
          <w:szCs w:val="18"/>
        </w:rPr>
        <w:footnoteRef/>
      </w:r>
      <w:r w:rsidRPr="00453815">
        <w:rPr>
          <w:rFonts w:ascii="Times New Roman" w:hAnsi="Times New Roman" w:cs="Times New Roman"/>
          <w:sz w:val="18"/>
          <w:szCs w:val="18"/>
          <w:lang w:val="de-AT"/>
        </w:rPr>
        <w:t xml:space="preserve"> </w:t>
      </w:r>
      <w:r w:rsidR="00B47C6C">
        <w:rPr>
          <w:rFonts w:ascii="Times New Roman" w:hAnsi="Times New Roman" w:cs="Times New Roman"/>
          <w:sz w:val="18"/>
          <w:szCs w:val="18"/>
          <w:lang w:val="de-AT"/>
        </w:rPr>
        <w:t>Por. M.</w:t>
      </w:r>
      <w:r w:rsidR="006643ED" w:rsidRPr="00453815">
        <w:rPr>
          <w:rFonts w:ascii="Times New Roman" w:hAnsi="Times New Roman" w:cs="Times New Roman"/>
          <w:sz w:val="18"/>
          <w:szCs w:val="18"/>
          <w:lang w:val="de-AT"/>
        </w:rPr>
        <w:t xml:space="preserve"> Fiedrowicz, </w:t>
      </w:r>
      <w:r w:rsidR="006643ED" w:rsidRPr="00453815">
        <w:rPr>
          <w:rStyle w:val="Emphasis"/>
          <w:rFonts w:ascii="Times New Roman" w:hAnsi="Times New Roman" w:cs="Times New Roman"/>
          <w:sz w:val="18"/>
          <w:szCs w:val="18"/>
          <w:lang w:val="de-AT"/>
        </w:rPr>
        <w:t>Handbuch der Patristik. Quellentexte zur Theologie der Kirchenväter</w:t>
      </w:r>
      <w:r w:rsidR="006643ED" w:rsidRPr="00453815">
        <w:rPr>
          <w:rFonts w:ascii="Times New Roman" w:hAnsi="Times New Roman" w:cs="Times New Roman"/>
          <w:sz w:val="18"/>
          <w:szCs w:val="18"/>
          <w:lang w:val="de-AT"/>
        </w:rPr>
        <w:t>, Freiburg – Basel – Wien 2010, s. 260–264.</w:t>
      </w:r>
    </w:p>
  </w:footnote>
  <w:footnote w:id="12">
    <w:p w14:paraId="2620FDC5" w14:textId="77777777" w:rsidR="00E10FD8" w:rsidRPr="00B47C6C" w:rsidRDefault="00E10FD8" w:rsidP="00B47C6C">
      <w:pPr>
        <w:pStyle w:val="NormalWeb"/>
        <w:spacing w:before="0" w:beforeAutospacing="0" w:after="0" w:afterAutospacing="0"/>
        <w:jc w:val="both"/>
        <w:rPr>
          <w:sz w:val="18"/>
          <w:szCs w:val="18"/>
          <w:lang w:val="de-AT"/>
        </w:rPr>
      </w:pPr>
      <w:r w:rsidRPr="006643ED">
        <w:rPr>
          <w:rStyle w:val="FootnoteReference"/>
          <w:sz w:val="18"/>
          <w:szCs w:val="18"/>
        </w:rPr>
        <w:footnoteRef/>
      </w:r>
      <w:r w:rsidRPr="00453815">
        <w:rPr>
          <w:sz w:val="18"/>
          <w:szCs w:val="18"/>
          <w:lang w:val="de-AT"/>
        </w:rPr>
        <w:t xml:space="preserve"> </w:t>
      </w:r>
      <w:r w:rsidR="00B47C6C">
        <w:rPr>
          <w:sz w:val="18"/>
          <w:szCs w:val="18"/>
          <w:lang w:val="de-AT"/>
        </w:rPr>
        <w:t>Por. M.</w:t>
      </w:r>
      <w:r w:rsidR="006643ED" w:rsidRPr="00453815">
        <w:rPr>
          <w:sz w:val="18"/>
          <w:szCs w:val="18"/>
          <w:lang w:val="de-AT"/>
        </w:rPr>
        <w:t xml:space="preserve"> Plattig, </w:t>
      </w:r>
      <w:r w:rsidR="006643ED" w:rsidRPr="00453815">
        <w:rPr>
          <w:rStyle w:val="Emphasis"/>
          <w:sz w:val="18"/>
          <w:szCs w:val="18"/>
          <w:lang w:val="de-AT"/>
        </w:rPr>
        <w:t>Gehorsam, Grundhaltung für synodale Prozesse</w:t>
      </w:r>
      <w:r w:rsidR="006643ED" w:rsidRPr="00453815">
        <w:rPr>
          <w:sz w:val="18"/>
          <w:szCs w:val="18"/>
          <w:lang w:val="de-AT"/>
        </w:rPr>
        <w:t xml:space="preserve">, w: Zulehner, </w:t>
      </w:r>
      <w:r w:rsidR="006643ED" w:rsidRPr="00453815">
        <w:rPr>
          <w:rStyle w:val="Emphasis"/>
          <w:sz w:val="18"/>
          <w:szCs w:val="18"/>
          <w:lang w:val="de-AT"/>
        </w:rPr>
        <w:t>Synodalisierung</w:t>
      </w:r>
      <w:r w:rsidR="006643ED" w:rsidRPr="00453815">
        <w:rPr>
          <w:sz w:val="18"/>
          <w:szCs w:val="18"/>
          <w:lang w:val="de-AT"/>
        </w:rPr>
        <w:t xml:space="preserve"> (por. przyp. 2), s. 87–104.</w:t>
      </w:r>
    </w:p>
  </w:footnote>
  <w:footnote w:id="13">
    <w:p w14:paraId="5AB42E8E" w14:textId="77777777" w:rsidR="00E10FD8" w:rsidRPr="00453815" w:rsidRDefault="00E10FD8" w:rsidP="00BA5095">
      <w:pPr>
        <w:pStyle w:val="FootnoteText"/>
        <w:jc w:val="both"/>
        <w:rPr>
          <w:rFonts w:ascii="Times New Roman" w:hAnsi="Times New Roman" w:cs="Times New Roman"/>
          <w:sz w:val="18"/>
          <w:szCs w:val="18"/>
          <w:lang w:val="de-AT"/>
        </w:rPr>
      </w:pPr>
      <w:r w:rsidRPr="00BA5095">
        <w:rPr>
          <w:rStyle w:val="FootnoteReference"/>
          <w:rFonts w:ascii="Times New Roman" w:hAnsi="Times New Roman" w:cs="Times New Roman"/>
          <w:sz w:val="18"/>
          <w:szCs w:val="18"/>
        </w:rPr>
        <w:footnoteRef/>
      </w:r>
      <w:r w:rsidRPr="00453815">
        <w:rPr>
          <w:rFonts w:ascii="Times New Roman" w:hAnsi="Times New Roman" w:cs="Times New Roman"/>
          <w:sz w:val="18"/>
          <w:szCs w:val="18"/>
          <w:lang w:val="de-AT"/>
        </w:rPr>
        <w:t xml:space="preserve"> </w:t>
      </w:r>
      <w:r w:rsidR="00BA5095" w:rsidRPr="00453815">
        <w:rPr>
          <w:rFonts w:ascii="Times New Roman" w:hAnsi="Times New Roman" w:cs="Times New Roman"/>
          <w:sz w:val="18"/>
          <w:szCs w:val="18"/>
          <w:lang w:val="de-AT"/>
        </w:rPr>
        <w:t xml:space="preserve">Thomas von Aquin, </w:t>
      </w:r>
      <w:r w:rsidR="00BA5095" w:rsidRPr="00453815">
        <w:rPr>
          <w:rStyle w:val="Emphasis"/>
          <w:rFonts w:ascii="Times New Roman" w:hAnsi="Times New Roman" w:cs="Times New Roman"/>
          <w:sz w:val="18"/>
          <w:szCs w:val="18"/>
          <w:lang w:val="de-AT"/>
        </w:rPr>
        <w:t>Summa Theologiae</w:t>
      </w:r>
      <w:r w:rsidR="00BA5095" w:rsidRPr="00453815">
        <w:rPr>
          <w:rFonts w:ascii="Times New Roman" w:hAnsi="Times New Roman" w:cs="Times New Roman"/>
          <w:sz w:val="18"/>
          <w:szCs w:val="18"/>
          <w:lang w:val="de-AT"/>
        </w:rPr>
        <w:t xml:space="preserve"> II–II q1 a10; q11 a2 ad 3; cytowany także w odniesieniu do wezwania do „twórczej” aktyw</w:t>
      </w:r>
      <w:r w:rsidR="00B47C6C">
        <w:rPr>
          <w:rFonts w:ascii="Times New Roman" w:hAnsi="Times New Roman" w:cs="Times New Roman"/>
          <w:sz w:val="18"/>
          <w:szCs w:val="18"/>
          <w:lang w:val="de-AT"/>
        </w:rPr>
        <w:t>ności nauczania Kościoła u A.</w:t>
      </w:r>
      <w:r w:rsidR="00BA5095" w:rsidRPr="00453815">
        <w:rPr>
          <w:rFonts w:ascii="Times New Roman" w:hAnsi="Times New Roman" w:cs="Times New Roman"/>
          <w:sz w:val="18"/>
          <w:szCs w:val="18"/>
          <w:lang w:val="de-AT"/>
        </w:rPr>
        <w:t xml:space="preserve"> Houtepen, </w:t>
      </w:r>
      <w:r w:rsidR="00BA5095" w:rsidRPr="00453815">
        <w:rPr>
          <w:rStyle w:val="Emphasis"/>
          <w:rFonts w:ascii="Times New Roman" w:hAnsi="Times New Roman" w:cs="Times New Roman"/>
          <w:sz w:val="18"/>
          <w:szCs w:val="18"/>
          <w:lang w:val="de-AT"/>
        </w:rPr>
        <w:t>‹Lehrautorität› in der ökumenischen Diskussion. Ein Beitrag für die Studie von Glauben und Kirchenverfassung ‹Was lehrt die Kirche heute verbindlich?›</w:t>
      </w:r>
      <w:r w:rsidR="00BA5095" w:rsidRPr="00453815">
        <w:rPr>
          <w:rFonts w:ascii="Times New Roman" w:hAnsi="Times New Roman" w:cs="Times New Roman"/>
          <w:sz w:val="18"/>
          <w:szCs w:val="18"/>
          <w:lang w:val="de-AT"/>
        </w:rPr>
        <w:t xml:space="preserve">, w: Deutscher Ökumenischer Studienausschuss (Hg.), </w:t>
      </w:r>
      <w:r w:rsidR="00BA5095" w:rsidRPr="00453815">
        <w:rPr>
          <w:rStyle w:val="Emphasis"/>
          <w:rFonts w:ascii="Times New Roman" w:hAnsi="Times New Roman" w:cs="Times New Roman"/>
          <w:sz w:val="18"/>
          <w:szCs w:val="18"/>
          <w:lang w:val="de-AT"/>
        </w:rPr>
        <w:t>Verbindliches Lehren der Kirche heute. Arbeitsbericht aus dem Deutschen Ökumenischen Studienausschuss und Texte der Faith and Order-Konsultation Odessa 1977</w:t>
      </w:r>
      <w:r w:rsidR="00BA5095" w:rsidRPr="00453815">
        <w:rPr>
          <w:rFonts w:ascii="Times New Roman" w:hAnsi="Times New Roman" w:cs="Times New Roman"/>
          <w:sz w:val="18"/>
          <w:szCs w:val="18"/>
          <w:lang w:val="de-AT"/>
        </w:rPr>
        <w:t>, s. 120–208, tutaj s. 181.</w:t>
      </w:r>
    </w:p>
  </w:footnote>
  <w:footnote w:id="14">
    <w:p w14:paraId="4D6ADC12" w14:textId="77777777" w:rsidR="00255911" w:rsidRPr="00453815" w:rsidRDefault="00255911" w:rsidP="00BA5095">
      <w:pPr>
        <w:pStyle w:val="FootnoteText"/>
        <w:jc w:val="both"/>
        <w:rPr>
          <w:rFonts w:ascii="Times New Roman" w:hAnsi="Times New Roman" w:cs="Times New Roman"/>
          <w:sz w:val="18"/>
          <w:szCs w:val="18"/>
          <w:lang w:val="de-AT"/>
        </w:rPr>
      </w:pPr>
      <w:r w:rsidRPr="00BA5095">
        <w:rPr>
          <w:rStyle w:val="FootnoteReference"/>
          <w:rFonts w:ascii="Times New Roman" w:hAnsi="Times New Roman" w:cs="Times New Roman"/>
          <w:sz w:val="18"/>
          <w:szCs w:val="18"/>
        </w:rPr>
        <w:footnoteRef/>
      </w:r>
      <w:r w:rsidRPr="00453815">
        <w:rPr>
          <w:rFonts w:ascii="Times New Roman" w:hAnsi="Times New Roman" w:cs="Times New Roman"/>
          <w:sz w:val="18"/>
          <w:szCs w:val="18"/>
          <w:lang w:val="de-AT"/>
        </w:rPr>
        <w:t xml:space="preserve"> </w:t>
      </w:r>
      <w:r w:rsidR="00B47C6C">
        <w:rPr>
          <w:rFonts w:ascii="Times New Roman" w:hAnsi="Times New Roman" w:cs="Times New Roman"/>
          <w:sz w:val="18"/>
          <w:szCs w:val="18"/>
          <w:lang w:val="de-AT"/>
        </w:rPr>
        <w:t>Por. H.</w:t>
      </w:r>
      <w:r w:rsidR="00BA5095" w:rsidRPr="00453815">
        <w:rPr>
          <w:rFonts w:ascii="Times New Roman" w:hAnsi="Times New Roman" w:cs="Times New Roman"/>
          <w:sz w:val="18"/>
          <w:szCs w:val="18"/>
          <w:lang w:val="de-AT"/>
        </w:rPr>
        <w:t xml:space="preserve"> Chadwick, </w:t>
      </w:r>
      <w:r w:rsidR="00BA5095" w:rsidRPr="00453815">
        <w:rPr>
          <w:rStyle w:val="Emphasis"/>
          <w:rFonts w:ascii="Times New Roman" w:hAnsi="Times New Roman" w:cs="Times New Roman"/>
          <w:sz w:val="18"/>
          <w:szCs w:val="18"/>
          <w:lang w:val="de-AT"/>
        </w:rPr>
        <w:t>Die Kirche in der alten Welt (Sammlung Göschen, 7002)</w:t>
      </w:r>
      <w:r w:rsidR="00BA5095" w:rsidRPr="00453815">
        <w:rPr>
          <w:rFonts w:ascii="Times New Roman" w:hAnsi="Times New Roman" w:cs="Times New Roman"/>
          <w:sz w:val="18"/>
          <w:szCs w:val="18"/>
          <w:lang w:val="de-AT"/>
        </w:rPr>
        <w:t>, Berlin – New York 1972, s. 238: „Ta formuła była mozaiką z różnych źródeł”.</w:t>
      </w:r>
    </w:p>
  </w:footnote>
  <w:footnote w:id="15">
    <w:p w14:paraId="17897A41" w14:textId="77777777" w:rsidR="00255911" w:rsidRPr="00B47C6C" w:rsidRDefault="00255911" w:rsidP="00B47C6C">
      <w:pPr>
        <w:pStyle w:val="FootnoteText"/>
        <w:jc w:val="both"/>
        <w:rPr>
          <w:rFonts w:ascii="Times New Roman" w:hAnsi="Times New Roman" w:cs="Times New Roman"/>
          <w:sz w:val="18"/>
          <w:szCs w:val="18"/>
          <w:lang w:val="en-US"/>
        </w:rPr>
      </w:pPr>
      <w:r w:rsidRPr="00AC7DE6">
        <w:rPr>
          <w:rStyle w:val="FootnoteReference"/>
          <w:rFonts w:ascii="Times New Roman" w:hAnsi="Times New Roman" w:cs="Times New Roman"/>
          <w:sz w:val="18"/>
          <w:szCs w:val="18"/>
        </w:rPr>
        <w:footnoteRef/>
      </w:r>
      <w:r w:rsidRPr="00B47C6C">
        <w:rPr>
          <w:rFonts w:ascii="Times New Roman" w:hAnsi="Times New Roman" w:cs="Times New Roman"/>
          <w:sz w:val="18"/>
          <w:szCs w:val="18"/>
          <w:lang w:val="en-US"/>
        </w:rPr>
        <w:t xml:space="preserve"> </w:t>
      </w:r>
      <w:r w:rsidR="00AC7DE6" w:rsidRPr="00B47C6C">
        <w:rPr>
          <w:rFonts w:ascii="Times New Roman" w:hAnsi="Times New Roman" w:cs="Times New Roman"/>
          <w:sz w:val="18"/>
          <w:szCs w:val="18"/>
          <w:lang w:val="en-US"/>
        </w:rPr>
        <w:t xml:space="preserve">Por. </w:t>
      </w:r>
      <w:r w:rsidR="00B47C6C" w:rsidRPr="00B47C6C">
        <w:rPr>
          <w:rFonts w:ascii="Times New Roman" w:hAnsi="Times New Roman" w:cs="Times New Roman"/>
          <w:sz w:val="18"/>
          <w:szCs w:val="18"/>
          <w:lang w:val="en-US"/>
        </w:rPr>
        <w:t xml:space="preserve">B. </w:t>
      </w:r>
      <w:r w:rsidR="00AC7DE6" w:rsidRPr="00B47C6C">
        <w:rPr>
          <w:rFonts w:ascii="Times New Roman" w:hAnsi="Times New Roman" w:cs="Times New Roman"/>
          <w:sz w:val="18"/>
          <w:szCs w:val="18"/>
          <w:lang w:val="en-US"/>
        </w:rPr>
        <w:t xml:space="preserve">Studer, </w:t>
      </w:r>
      <w:r w:rsidR="00AC7DE6" w:rsidRPr="00B47C6C">
        <w:rPr>
          <w:rStyle w:val="Emphasis"/>
          <w:rFonts w:ascii="Times New Roman" w:hAnsi="Times New Roman" w:cs="Times New Roman"/>
          <w:sz w:val="18"/>
          <w:szCs w:val="18"/>
          <w:lang w:val="en-US"/>
        </w:rPr>
        <w:t>Schola christiana</w:t>
      </w:r>
      <w:r w:rsidR="00AC7DE6" w:rsidRPr="00B47C6C">
        <w:rPr>
          <w:rFonts w:ascii="Times New Roman" w:hAnsi="Times New Roman" w:cs="Times New Roman"/>
          <w:sz w:val="18"/>
          <w:szCs w:val="18"/>
          <w:lang w:val="en-US"/>
        </w:rPr>
        <w:t>, s. 45–53.</w:t>
      </w:r>
    </w:p>
  </w:footnote>
  <w:footnote w:id="16">
    <w:p w14:paraId="1023CFAE" w14:textId="77777777" w:rsidR="00255911" w:rsidRPr="00B47C6C" w:rsidRDefault="00255911" w:rsidP="00AC7DE6">
      <w:pPr>
        <w:pStyle w:val="FootnoteText"/>
        <w:jc w:val="both"/>
        <w:rPr>
          <w:rFonts w:ascii="Times New Roman" w:hAnsi="Times New Roman" w:cs="Times New Roman"/>
          <w:sz w:val="18"/>
          <w:szCs w:val="18"/>
        </w:rPr>
      </w:pPr>
      <w:r w:rsidRPr="00AC7DE6">
        <w:rPr>
          <w:rStyle w:val="FootnoteReference"/>
          <w:rFonts w:ascii="Times New Roman" w:hAnsi="Times New Roman" w:cs="Times New Roman"/>
          <w:sz w:val="18"/>
          <w:szCs w:val="18"/>
        </w:rPr>
        <w:footnoteRef/>
      </w:r>
      <w:r w:rsidRPr="00B47C6C">
        <w:rPr>
          <w:rFonts w:ascii="Times New Roman" w:hAnsi="Times New Roman" w:cs="Times New Roman"/>
          <w:sz w:val="18"/>
          <w:szCs w:val="18"/>
        </w:rPr>
        <w:t xml:space="preserve"> </w:t>
      </w:r>
      <w:r w:rsidR="00B47C6C">
        <w:rPr>
          <w:rFonts w:ascii="Times New Roman" w:hAnsi="Times New Roman" w:cs="Times New Roman"/>
          <w:sz w:val="18"/>
          <w:szCs w:val="18"/>
        </w:rPr>
        <w:t>C.</w:t>
      </w:r>
      <w:r w:rsidR="00AC7DE6" w:rsidRPr="00B47C6C">
        <w:rPr>
          <w:rFonts w:ascii="Times New Roman" w:hAnsi="Times New Roman" w:cs="Times New Roman"/>
          <w:sz w:val="18"/>
          <w:szCs w:val="18"/>
        </w:rPr>
        <w:t xml:space="preserve"> Böttigheimer słusznie podkreśla, że także w tym przypadku istnieje obowiązek uzasadnienia: </w:t>
      </w:r>
      <w:r w:rsidR="00AC7DE6" w:rsidRPr="00B47C6C">
        <w:rPr>
          <w:rStyle w:val="Emphasis"/>
          <w:rFonts w:ascii="Times New Roman" w:hAnsi="Times New Roman" w:cs="Times New Roman"/>
          <w:sz w:val="18"/>
          <w:szCs w:val="18"/>
        </w:rPr>
        <w:t>Lehramt, Theologie und Glaubenssinn</w:t>
      </w:r>
      <w:r w:rsidR="00AC7DE6" w:rsidRPr="00B47C6C">
        <w:rPr>
          <w:rFonts w:ascii="Times New Roman" w:hAnsi="Times New Roman" w:cs="Times New Roman"/>
          <w:sz w:val="18"/>
          <w:szCs w:val="18"/>
        </w:rPr>
        <w:t xml:space="preserve">, w: </w:t>
      </w:r>
      <w:r w:rsidR="00AC7DE6" w:rsidRPr="00B47C6C">
        <w:rPr>
          <w:rStyle w:val="Emphasis"/>
          <w:rFonts w:ascii="Times New Roman" w:hAnsi="Times New Roman" w:cs="Times New Roman"/>
          <w:sz w:val="18"/>
          <w:szCs w:val="18"/>
        </w:rPr>
        <w:t>Stimmen der Zeit</w:t>
      </w:r>
      <w:r w:rsidR="00AC7DE6" w:rsidRPr="00B47C6C">
        <w:rPr>
          <w:rFonts w:ascii="Times New Roman" w:hAnsi="Times New Roman" w:cs="Times New Roman"/>
          <w:sz w:val="18"/>
          <w:szCs w:val="18"/>
        </w:rPr>
        <w:t xml:space="preserve"> 215 (1997), s. 603–614, tutaj s. 608.</w:t>
      </w:r>
    </w:p>
  </w:footnote>
  <w:footnote w:id="17">
    <w:p w14:paraId="48E3054D" w14:textId="77777777" w:rsidR="0099705D" w:rsidRPr="00453815" w:rsidRDefault="0099705D" w:rsidP="00AC7DE6">
      <w:pPr>
        <w:pStyle w:val="FootnoteText"/>
        <w:jc w:val="both"/>
        <w:rPr>
          <w:rFonts w:ascii="Times New Roman" w:hAnsi="Times New Roman" w:cs="Times New Roman"/>
          <w:sz w:val="18"/>
          <w:szCs w:val="18"/>
          <w:lang w:val="de-AT"/>
        </w:rPr>
      </w:pPr>
      <w:r w:rsidRPr="00AC7DE6">
        <w:rPr>
          <w:rStyle w:val="FootnoteReference"/>
          <w:rFonts w:ascii="Times New Roman" w:hAnsi="Times New Roman" w:cs="Times New Roman"/>
          <w:sz w:val="18"/>
          <w:szCs w:val="18"/>
        </w:rPr>
        <w:footnoteRef/>
      </w:r>
      <w:r w:rsidRPr="00453815">
        <w:rPr>
          <w:rFonts w:ascii="Times New Roman" w:hAnsi="Times New Roman" w:cs="Times New Roman"/>
          <w:sz w:val="18"/>
          <w:szCs w:val="18"/>
          <w:lang w:val="de-AT"/>
        </w:rPr>
        <w:t xml:space="preserve"> </w:t>
      </w:r>
      <w:r w:rsidR="00B47C6C">
        <w:rPr>
          <w:rFonts w:ascii="Times New Roman" w:hAnsi="Times New Roman" w:cs="Times New Roman"/>
          <w:sz w:val="18"/>
          <w:szCs w:val="18"/>
          <w:lang w:val="de-AT"/>
        </w:rPr>
        <w:t>Por. J. Ratzinger/</w:t>
      </w:r>
      <w:r w:rsidR="00AC7DE6" w:rsidRPr="00453815">
        <w:rPr>
          <w:rFonts w:ascii="Times New Roman" w:hAnsi="Times New Roman" w:cs="Times New Roman"/>
          <w:sz w:val="18"/>
          <w:szCs w:val="18"/>
          <w:lang w:val="de-AT"/>
        </w:rPr>
        <w:t xml:space="preserve">Benedikt XVI., </w:t>
      </w:r>
      <w:r w:rsidR="00AC7DE6" w:rsidRPr="00453815">
        <w:rPr>
          <w:rStyle w:val="Emphasis"/>
          <w:rFonts w:ascii="Times New Roman" w:hAnsi="Times New Roman" w:cs="Times New Roman"/>
          <w:sz w:val="18"/>
          <w:szCs w:val="18"/>
          <w:lang w:val="de-AT"/>
        </w:rPr>
        <w:t>Jesus von Nazareth. Erster Teil. Von der Taufe im Jordan bis zur Verklärung</w:t>
      </w:r>
      <w:r w:rsidR="00AC7DE6" w:rsidRPr="00453815">
        <w:rPr>
          <w:rFonts w:ascii="Times New Roman" w:hAnsi="Times New Roman" w:cs="Times New Roman"/>
          <w:sz w:val="18"/>
          <w:szCs w:val="18"/>
          <w:lang w:val="de-AT"/>
        </w:rPr>
        <w:t>, Freiburg – Basel – Wien 2007, s. 22.</w:t>
      </w:r>
    </w:p>
  </w:footnote>
  <w:footnote w:id="18">
    <w:p w14:paraId="484F3290" w14:textId="77777777" w:rsidR="00C266E0" w:rsidRPr="00453815" w:rsidRDefault="00C266E0" w:rsidP="00AC7DE6">
      <w:pPr>
        <w:pStyle w:val="FootnoteText"/>
        <w:jc w:val="both"/>
        <w:rPr>
          <w:rFonts w:ascii="Times New Roman" w:hAnsi="Times New Roman" w:cs="Times New Roman"/>
          <w:sz w:val="18"/>
          <w:szCs w:val="18"/>
          <w:lang w:val="en-US"/>
        </w:rPr>
      </w:pPr>
      <w:r w:rsidRPr="00AC7DE6">
        <w:rPr>
          <w:rStyle w:val="FootnoteReference"/>
          <w:rFonts w:ascii="Times New Roman" w:hAnsi="Times New Roman" w:cs="Times New Roman"/>
          <w:sz w:val="18"/>
          <w:szCs w:val="18"/>
        </w:rPr>
        <w:footnoteRef/>
      </w:r>
      <w:r w:rsidRPr="00453815">
        <w:rPr>
          <w:rFonts w:ascii="Times New Roman" w:hAnsi="Times New Roman" w:cs="Times New Roman"/>
          <w:sz w:val="18"/>
          <w:szCs w:val="18"/>
          <w:lang w:val="en-US"/>
        </w:rPr>
        <w:t xml:space="preserve"> </w:t>
      </w:r>
      <w:r w:rsidR="00AC7DE6" w:rsidRPr="00453815">
        <w:rPr>
          <w:rFonts w:ascii="Times New Roman" w:hAnsi="Times New Roman" w:cs="Times New Roman"/>
          <w:sz w:val="18"/>
          <w:szCs w:val="18"/>
          <w:lang w:val="en-US"/>
        </w:rPr>
        <w:t>Por. LG 22, 25.</w:t>
      </w:r>
    </w:p>
  </w:footnote>
  <w:footnote w:id="19">
    <w:p w14:paraId="2153A51E" w14:textId="77777777" w:rsidR="00F57136" w:rsidRPr="00B47C6C" w:rsidRDefault="00F57136" w:rsidP="00B47C6C">
      <w:pPr>
        <w:pStyle w:val="NormalWeb"/>
        <w:spacing w:before="0" w:beforeAutospacing="0" w:after="0" w:afterAutospacing="0"/>
        <w:jc w:val="both"/>
        <w:rPr>
          <w:sz w:val="18"/>
          <w:szCs w:val="18"/>
        </w:rPr>
      </w:pPr>
      <w:r w:rsidRPr="00AC7DE6">
        <w:rPr>
          <w:rStyle w:val="FootnoteReference"/>
          <w:sz w:val="18"/>
          <w:szCs w:val="18"/>
        </w:rPr>
        <w:footnoteRef/>
      </w:r>
      <w:r w:rsidRPr="00453815">
        <w:rPr>
          <w:sz w:val="18"/>
          <w:szCs w:val="18"/>
          <w:lang w:val="en-US"/>
        </w:rPr>
        <w:t xml:space="preserve"> </w:t>
      </w:r>
      <w:r w:rsidR="00B47C6C">
        <w:rPr>
          <w:sz w:val="18"/>
          <w:szCs w:val="18"/>
          <w:lang w:val="en-US"/>
        </w:rPr>
        <w:t>Por. M.</w:t>
      </w:r>
      <w:r w:rsidR="00AC7DE6" w:rsidRPr="00453815">
        <w:rPr>
          <w:sz w:val="18"/>
          <w:szCs w:val="18"/>
          <w:lang w:val="en-US"/>
        </w:rPr>
        <w:t xml:space="preserve"> Eckholt, </w:t>
      </w:r>
      <w:r w:rsidR="00AC7DE6" w:rsidRPr="00453815">
        <w:rPr>
          <w:rStyle w:val="Emphasis"/>
          <w:sz w:val="18"/>
          <w:szCs w:val="18"/>
          <w:lang w:val="en-US"/>
        </w:rPr>
        <w:t xml:space="preserve">«Sensus fidelium». </w:t>
      </w:r>
      <w:r w:rsidR="00AC7DE6" w:rsidRPr="00453815">
        <w:rPr>
          <w:rStyle w:val="Emphasis"/>
          <w:sz w:val="18"/>
          <w:szCs w:val="18"/>
          <w:lang w:val="de-AT"/>
        </w:rPr>
        <w:t>Synodalität und die Subjektwerdung der Laien</w:t>
      </w:r>
      <w:r w:rsidR="00AC7DE6" w:rsidRPr="00453815">
        <w:rPr>
          <w:sz w:val="18"/>
          <w:szCs w:val="18"/>
          <w:lang w:val="de-AT"/>
        </w:rPr>
        <w:t xml:space="preserve">, w: Zulehner, </w:t>
      </w:r>
      <w:r w:rsidR="00AC7DE6" w:rsidRPr="00453815">
        <w:rPr>
          <w:rStyle w:val="Emphasis"/>
          <w:sz w:val="18"/>
          <w:szCs w:val="18"/>
          <w:lang w:val="de-AT"/>
        </w:rPr>
        <w:t>Synodalisierung</w:t>
      </w:r>
      <w:r w:rsidR="00AC7DE6" w:rsidRPr="00453815">
        <w:rPr>
          <w:sz w:val="18"/>
          <w:szCs w:val="18"/>
          <w:lang w:val="de-AT"/>
        </w:rPr>
        <w:t xml:space="preserve"> (por. przyp. </w:t>
      </w:r>
      <w:r w:rsidR="00AC7DE6" w:rsidRPr="00AC7DE6">
        <w:rPr>
          <w:sz w:val="18"/>
          <w:szCs w:val="18"/>
        </w:rPr>
        <w:t>2), s. 137–157, zwł. s. 147–154; w odniesieniu do bardziej otwartego stanowiska zob. Sternberg (por. przyp. 2), s. 226: „W tym przebudzeniu należy zrezygnować z dotychczasowych, już prawie nie do utrzymania rozróżnień między «kleryksem» a «laikiem»”.</w:t>
      </w:r>
    </w:p>
  </w:footnote>
  <w:footnote w:id="20">
    <w:p w14:paraId="20F22B78" w14:textId="77777777" w:rsidR="002816B2" w:rsidRPr="00453815" w:rsidRDefault="002816B2" w:rsidP="00AC7DE6">
      <w:pPr>
        <w:pStyle w:val="FootnoteText"/>
        <w:jc w:val="both"/>
        <w:rPr>
          <w:rFonts w:ascii="Times New Roman" w:hAnsi="Times New Roman" w:cs="Times New Roman"/>
          <w:sz w:val="18"/>
          <w:szCs w:val="18"/>
          <w:lang w:val="de-AT"/>
        </w:rPr>
      </w:pPr>
      <w:r w:rsidRPr="00AC7DE6">
        <w:rPr>
          <w:rStyle w:val="FootnoteReference"/>
          <w:rFonts w:ascii="Times New Roman" w:hAnsi="Times New Roman" w:cs="Times New Roman"/>
          <w:sz w:val="18"/>
          <w:szCs w:val="18"/>
        </w:rPr>
        <w:footnoteRef/>
      </w:r>
      <w:r w:rsidRPr="00453815">
        <w:rPr>
          <w:rFonts w:ascii="Times New Roman" w:hAnsi="Times New Roman" w:cs="Times New Roman"/>
          <w:sz w:val="18"/>
          <w:szCs w:val="18"/>
          <w:lang w:val="de-AT"/>
        </w:rPr>
        <w:t xml:space="preserve"> </w:t>
      </w:r>
      <w:r w:rsidR="00B47C6C">
        <w:rPr>
          <w:rFonts w:ascii="Times New Roman" w:hAnsi="Times New Roman" w:cs="Times New Roman"/>
          <w:sz w:val="18"/>
          <w:szCs w:val="18"/>
          <w:lang w:val="de-AT"/>
        </w:rPr>
        <w:t>R.</w:t>
      </w:r>
      <w:r w:rsidR="00AC7DE6" w:rsidRPr="00453815">
        <w:rPr>
          <w:rFonts w:ascii="Times New Roman" w:hAnsi="Times New Roman" w:cs="Times New Roman"/>
          <w:sz w:val="18"/>
          <w:szCs w:val="18"/>
          <w:lang w:val="de-AT"/>
        </w:rPr>
        <w:t xml:space="preserve"> Faber, </w:t>
      </w:r>
      <w:r w:rsidR="00AC7DE6" w:rsidRPr="00453815">
        <w:rPr>
          <w:rStyle w:val="Emphasis"/>
          <w:rFonts w:ascii="Times New Roman" w:hAnsi="Times New Roman" w:cs="Times New Roman"/>
          <w:sz w:val="18"/>
          <w:szCs w:val="18"/>
          <w:lang w:val="de-AT"/>
        </w:rPr>
        <w:t>Freiheit, Theologie und Lehramt. Trinitätstheologische Grundlegung und wissenschaftstheoretischer Ausblick</w:t>
      </w:r>
      <w:r w:rsidR="00AC7DE6" w:rsidRPr="00453815">
        <w:rPr>
          <w:rFonts w:ascii="Times New Roman" w:hAnsi="Times New Roman" w:cs="Times New Roman"/>
          <w:sz w:val="18"/>
          <w:szCs w:val="18"/>
          <w:lang w:val="de-AT"/>
        </w:rPr>
        <w:t>, Innsbruck – Wien 1992, s. 59.</w:t>
      </w:r>
    </w:p>
  </w:footnote>
  <w:footnote w:id="21">
    <w:p w14:paraId="057A5D95" w14:textId="77777777" w:rsidR="00AD2DAE" w:rsidRPr="00453815" w:rsidRDefault="00AD2DAE" w:rsidP="00343E15">
      <w:pPr>
        <w:pStyle w:val="FootnoteText"/>
        <w:jc w:val="both"/>
        <w:rPr>
          <w:rFonts w:ascii="Times New Roman" w:hAnsi="Times New Roman" w:cs="Times New Roman"/>
          <w:sz w:val="18"/>
          <w:szCs w:val="18"/>
          <w:lang w:val="de-AT"/>
        </w:rPr>
      </w:pPr>
      <w:r w:rsidRPr="00AC7DE6">
        <w:rPr>
          <w:rStyle w:val="FootnoteReference"/>
          <w:rFonts w:ascii="Times New Roman" w:hAnsi="Times New Roman" w:cs="Times New Roman"/>
          <w:sz w:val="18"/>
          <w:szCs w:val="18"/>
        </w:rPr>
        <w:footnoteRef/>
      </w:r>
      <w:r w:rsidRPr="00453815">
        <w:rPr>
          <w:rFonts w:ascii="Times New Roman" w:hAnsi="Times New Roman" w:cs="Times New Roman"/>
          <w:sz w:val="18"/>
          <w:szCs w:val="18"/>
          <w:lang w:val="de-AT"/>
        </w:rPr>
        <w:t xml:space="preserve"> </w:t>
      </w:r>
      <w:r w:rsidR="00B47C6C">
        <w:rPr>
          <w:rFonts w:ascii="Times New Roman" w:hAnsi="Times New Roman" w:cs="Times New Roman"/>
          <w:sz w:val="18"/>
          <w:szCs w:val="18"/>
          <w:lang w:val="de-AT"/>
        </w:rPr>
        <w:t>H.</w:t>
      </w:r>
      <w:r w:rsidR="00AC7DE6" w:rsidRPr="00453815">
        <w:rPr>
          <w:rFonts w:ascii="Times New Roman" w:hAnsi="Times New Roman" w:cs="Times New Roman"/>
          <w:sz w:val="18"/>
          <w:szCs w:val="18"/>
          <w:lang w:val="de-AT"/>
        </w:rPr>
        <w:t xml:space="preserve"> Schmid, </w:t>
      </w:r>
      <w:r w:rsidR="00AC7DE6" w:rsidRPr="00453815">
        <w:rPr>
          <w:rStyle w:val="Emphasis"/>
          <w:rFonts w:ascii="Times New Roman" w:hAnsi="Times New Roman" w:cs="Times New Roman"/>
          <w:sz w:val="18"/>
          <w:szCs w:val="18"/>
          <w:lang w:val="de-AT"/>
        </w:rPr>
        <w:t>Die Dogmatik der evangelisch-lutherischen Kirche. Dargestellt und aus den Quellen belegt</w:t>
      </w:r>
      <w:r w:rsidR="00AC7DE6" w:rsidRPr="00453815">
        <w:rPr>
          <w:rFonts w:ascii="Times New Roman" w:hAnsi="Times New Roman" w:cs="Times New Roman"/>
          <w:sz w:val="18"/>
          <w:szCs w:val="18"/>
          <w:lang w:val="de-AT"/>
        </w:rPr>
        <w:t xml:space="preserve">, </w:t>
      </w:r>
      <w:r w:rsidR="00343E15">
        <w:rPr>
          <w:rFonts w:ascii="Times New Roman" w:hAnsi="Times New Roman" w:cs="Times New Roman"/>
          <w:sz w:val="18"/>
          <w:szCs w:val="18"/>
          <w:lang w:val="de-AT"/>
        </w:rPr>
        <w:t xml:space="preserve">Gütersloh </w:t>
      </w:r>
      <w:r w:rsidR="00AC7DE6" w:rsidRPr="00453815">
        <w:rPr>
          <w:rFonts w:ascii="Times New Roman" w:hAnsi="Times New Roman" w:cs="Times New Roman"/>
          <w:sz w:val="18"/>
          <w:szCs w:val="18"/>
          <w:lang w:val="de-AT"/>
        </w:rPr>
        <w:t>1979, s. 288.</w:t>
      </w:r>
    </w:p>
  </w:footnote>
  <w:footnote w:id="22">
    <w:p w14:paraId="4264DF71" w14:textId="77777777" w:rsidR="009F0EE0" w:rsidRPr="00B47C6C" w:rsidRDefault="009F0EE0" w:rsidP="00B47C6C">
      <w:pPr>
        <w:pStyle w:val="NormalWeb"/>
        <w:spacing w:before="0" w:beforeAutospacing="0" w:after="0" w:afterAutospacing="0"/>
        <w:jc w:val="both"/>
        <w:rPr>
          <w:sz w:val="18"/>
          <w:szCs w:val="18"/>
          <w:lang w:val="de-AT"/>
        </w:rPr>
      </w:pPr>
      <w:r w:rsidRPr="00AC7DE6">
        <w:rPr>
          <w:rStyle w:val="FootnoteReference"/>
          <w:sz w:val="18"/>
          <w:szCs w:val="18"/>
        </w:rPr>
        <w:footnoteRef/>
      </w:r>
      <w:r w:rsidRPr="00453815">
        <w:rPr>
          <w:sz w:val="18"/>
          <w:szCs w:val="18"/>
          <w:lang w:val="de-AT"/>
        </w:rPr>
        <w:t xml:space="preserve"> </w:t>
      </w:r>
      <w:r w:rsidR="00AC7DE6" w:rsidRPr="00453815">
        <w:rPr>
          <w:sz w:val="18"/>
          <w:szCs w:val="18"/>
          <w:lang w:val="de-AT"/>
        </w:rPr>
        <w:t>Tamże, s. 383.</w:t>
      </w:r>
    </w:p>
  </w:footnote>
  <w:footnote w:id="23">
    <w:p w14:paraId="32DCC260" w14:textId="77777777" w:rsidR="00826B6F" w:rsidRPr="00453815" w:rsidRDefault="00826B6F" w:rsidP="000E17FE">
      <w:pPr>
        <w:pStyle w:val="FootnoteText"/>
        <w:jc w:val="both"/>
        <w:rPr>
          <w:lang w:val="de-AT"/>
        </w:rPr>
      </w:pPr>
      <w:r w:rsidRPr="000E17FE">
        <w:rPr>
          <w:rStyle w:val="FootnoteReference"/>
          <w:rFonts w:ascii="Times New Roman" w:hAnsi="Times New Roman" w:cs="Times New Roman"/>
          <w:sz w:val="18"/>
          <w:szCs w:val="18"/>
        </w:rPr>
        <w:footnoteRef/>
      </w:r>
      <w:r w:rsidRPr="00453815">
        <w:rPr>
          <w:rFonts w:ascii="Times New Roman" w:hAnsi="Times New Roman" w:cs="Times New Roman"/>
          <w:sz w:val="18"/>
          <w:szCs w:val="18"/>
          <w:lang w:val="de-AT"/>
        </w:rPr>
        <w:t xml:space="preserve"> </w:t>
      </w:r>
      <w:r w:rsidR="00B47C6C">
        <w:rPr>
          <w:rFonts w:ascii="Times New Roman" w:hAnsi="Times New Roman" w:cs="Times New Roman"/>
          <w:sz w:val="18"/>
          <w:szCs w:val="18"/>
          <w:lang w:val="de-AT"/>
        </w:rPr>
        <w:t>Por. I.</w:t>
      </w:r>
      <w:r w:rsidR="000E17FE" w:rsidRPr="00453815">
        <w:rPr>
          <w:rFonts w:ascii="Times New Roman" w:hAnsi="Times New Roman" w:cs="Times New Roman"/>
          <w:sz w:val="18"/>
          <w:szCs w:val="18"/>
          <w:lang w:val="de-AT"/>
        </w:rPr>
        <w:t xml:space="preserve"> Tulcan, </w:t>
      </w:r>
      <w:r w:rsidR="000E17FE" w:rsidRPr="00453815">
        <w:rPr>
          <w:rStyle w:val="Emphasis"/>
          <w:rFonts w:ascii="Times New Roman" w:hAnsi="Times New Roman" w:cs="Times New Roman"/>
          <w:sz w:val="18"/>
          <w:szCs w:val="18"/>
          <w:lang w:val="de-AT"/>
        </w:rPr>
        <w:t>Grundlegende Merkmale der orthodoxen Dogmatik</w:t>
      </w:r>
      <w:r w:rsidR="00B47C6C">
        <w:rPr>
          <w:rFonts w:ascii="Times New Roman" w:hAnsi="Times New Roman" w:cs="Times New Roman"/>
          <w:sz w:val="18"/>
          <w:szCs w:val="18"/>
          <w:lang w:val="de-AT"/>
        </w:rPr>
        <w:t>, w: I.V. Leb, K. Nikolakopoulos, I. Ursa (red</w:t>
      </w:r>
      <w:r w:rsidR="000E17FE" w:rsidRPr="00453815">
        <w:rPr>
          <w:rFonts w:ascii="Times New Roman" w:hAnsi="Times New Roman" w:cs="Times New Roman"/>
          <w:sz w:val="18"/>
          <w:szCs w:val="18"/>
          <w:lang w:val="de-AT"/>
        </w:rPr>
        <w:t xml:space="preserve">.), </w:t>
      </w:r>
      <w:r w:rsidR="000E17FE" w:rsidRPr="00453815">
        <w:rPr>
          <w:rStyle w:val="Emphasis"/>
          <w:rFonts w:ascii="Times New Roman" w:hAnsi="Times New Roman" w:cs="Times New Roman"/>
          <w:sz w:val="18"/>
          <w:szCs w:val="18"/>
          <w:lang w:val="de-AT"/>
        </w:rPr>
        <w:t>Die orthodoxe Kirche in der Selbstdarstellung. Ein Kompendium (Lehr- und Studienbücher Orthodoxe Theologie; 4)</w:t>
      </w:r>
      <w:r w:rsidR="000E17FE" w:rsidRPr="00453815">
        <w:rPr>
          <w:rFonts w:ascii="Times New Roman" w:hAnsi="Times New Roman" w:cs="Times New Roman"/>
          <w:sz w:val="18"/>
          <w:szCs w:val="18"/>
          <w:lang w:val="de-AT"/>
        </w:rPr>
        <w:t>, Münster 2016, s. 113–123, tutaj s. 115</w:t>
      </w:r>
      <w:r w:rsidR="000E17FE" w:rsidRPr="00453815">
        <w:rPr>
          <w:lang w:val="de-AT"/>
        </w:rPr>
        <w:t>.</w:t>
      </w:r>
    </w:p>
  </w:footnote>
  <w:footnote w:id="24">
    <w:p w14:paraId="5A19ABEC" w14:textId="77777777" w:rsidR="00A173E3" w:rsidRPr="00453815" w:rsidRDefault="00A173E3" w:rsidP="000E17FE">
      <w:pPr>
        <w:pStyle w:val="FootnoteText"/>
        <w:jc w:val="both"/>
        <w:rPr>
          <w:rFonts w:ascii="Times New Roman" w:hAnsi="Times New Roman" w:cs="Times New Roman"/>
          <w:sz w:val="18"/>
          <w:szCs w:val="18"/>
          <w:lang w:val="de-AT"/>
        </w:rPr>
      </w:pPr>
      <w:r w:rsidRPr="000E17FE">
        <w:rPr>
          <w:rStyle w:val="FootnoteReference"/>
          <w:rFonts w:ascii="Times New Roman" w:hAnsi="Times New Roman" w:cs="Times New Roman"/>
          <w:sz w:val="18"/>
          <w:szCs w:val="18"/>
        </w:rPr>
        <w:footnoteRef/>
      </w:r>
      <w:r w:rsidRPr="00453815">
        <w:rPr>
          <w:rFonts w:ascii="Times New Roman" w:hAnsi="Times New Roman" w:cs="Times New Roman"/>
          <w:sz w:val="18"/>
          <w:szCs w:val="18"/>
          <w:lang w:val="de-AT"/>
        </w:rPr>
        <w:t xml:space="preserve"> </w:t>
      </w:r>
      <w:r w:rsidR="000E17FE" w:rsidRPr="00453815">
        <w:rPr>
          <w:rFonts w:ascii="Times New Roman" w:hAnsi="Times New Roman" w:cs="Times New Roman"/>
          <w:sz w:val="18"/>
          <w:szCs w:val="18"/>
          <w:lang w:val="de-AT"/>
        </w:rPr>
        <w:t>Tamże</w:t>
      </w:r>
      <w:r w:rsidR="005E601A" w:rsidRPr="00453815">
        <w:rPr>
          <w:rFonts w:ascii="Times New Roman" w:hAnsi="Times New Roman" w:cs="Times New Roman"/>
          <w:sz w:val="18"/>
          <w:szCs w:val="18"/>
          <w:lang w:val="de-AT"/>
        </w:rPr>
        <w:t>.</w:t>
      </w:r>
    </w:p>
  </w:footnote>
  <w:footnote w:id="25">
    <w:p w14:paraId="25E56EC7" w14:textId="77777777" w:rsidR="008912D5" w:rsidRPr="005E601A" w:rsidRDefault="008912D5" w:rsidP="005E601A">
      <w:pPr>
        <w:pStyle w:val="NormalWeb"/>
        <w:spacing w:before="0" w:beforeAutospacing="0" w:after="0" w:afterAutospacing="0"/>
        <w:jc w:val="both"/>
        <w:rPr>
          <w:sz w:val="18"/>
          <w:szCs w:val="18"/>
        </w:rPr>
      </w:pPr>
      <w:r w:rsidRPr="000E17FE">
        <w:rPr>
          <w:rStyle w:val="FootnoteReference"/>
          <w:sz w:val="18"/>
          <w:szCs w:val="18"/>
        </w:rPr>
        <w:footnoteRef/>
      </w:r>
      <w:r w:rsidRPr="00F40192">
        <w:rPr>
          <w:sz w:val="18"/>
          <w:szCs w:val="18"/>
          <w:lang w:val="de-AT"/>
        </w:rPr>
        <w:t xml:space="preserve"> </w:t>
      </w:r>
      <w:r w:rsidR="000E17FE" w:rsidRPr="00F40192">
        <w:rPr>
          <w:sz w:val="18"/>
          <w:szCs w:val="18"/>
          <w:lang w:val="de-AT"/>
        </w:rPr>
        <w:t>Tamże, s. 117; dla pogłębienia zob. przemówienie inauguracyjne Pa</w:t>
      </w:r>
      <w:r w:rsidR="00B47C6C" w:rsidRPr="00F40192">
        <w:rPr>
          <w:sz w:val="18"/>
          <w:szCs w:val="18"/>
          <w:lang w:val="de-AT"/>
        </w:rPr>
        <w:t>triarchy Bartłomieja, w: B. Hallensleben (red</w:t>
      </w:r>
      <w:r w:rsidR="000E17FE" w:rsidRPr="00F40192">
        <w:rPr>
          <w:sz w:val="18"/>
          <w:szCs w:val="18"/>
          <w:lang w:val="de-AT"/>
        </w:rPr>
        <w:t xml:space="preserve">.), </w:t>
      </w:r>
      <w:r w:rsidR="000E17FE" w:rsidRPr="00F40192">
        <w:rPr>
          <w:rStyle w:val="Emphasis"/>
          <w:sz w:val="18"/>
          <w:szCs w:val="18"/>
          <w:lang w:val="de-AT"/>
        </w:rPr>
        <w:t xml:space="preserve">Einheit in Synodalität. </w:t>
      </w:r>
      <w:r w:rsidR="000E17FE" w:rsidRPr="00453815">
        <w:rPr>
          <w:rStyle w:val="Emphasis"/>
          <w:sz w:val="18"/>
          <w:szCs w:val="18"/>
          <w:lang w:val="de-AT"/>
        </w:rPr>
        <w:t xml:space="preserve">Die offiziellen Dokumente der Orthodoxen Synode auf Kreta 18. bis 26. Juni 2016 (Epiphania. </w:t>
      </w:r>
      <w:r w:rsidR="000E17FE" w:rsidRPr="000E17FE">
        <w:rPr>
          <w:rStyle w:val="Emphasis"/>
          <w:sz w:val="18"/>
          <w:szCs w:val="18"/>
        </w:rPr>
        <w:t>Egregia; 12)</w:t>
      </w:r>
      <w:r w:rsidR="000E17FE" w:rsidRPr="000E17FE">
        <w:rPr>
          <w:sz w:val="18"/>
          <w:szCs w:val="18"/>
        </w:rPr>
        <w:t>, Münster 2016, s. 13–29.</w:t>
      </w:r>
    </w:p>
  </w:footnote>
  <w:footnote w:id="26">
    <w:p w14:paraId="6DD78D4D" w14:textId="77777777" w:rsidR="00B278D7" w:rsidRPr="005E601A" w:rsidRDefault="00B278D7" w:rsidP="005E601A">
      <w:pPr>
        <w:pStyle w:val="FootnoteText"/>
        <w:jc w:val="both"/>
        <w:rPr>
          <w:rFonts w:ascii="Times New Roman" w:hAnsi="Times New Roman" w:cs="Times New Roman"/>
          <w:sz w:val="18"/>
          <w:szCs w:val="18"/>
        </w:rPr>
      </w:pPr>
      <w:r w:rsidRPr="005E601A">
        <w:rPr>
          <w:rStyle w:val="FootnoteReference"/>
          <w:rFonts w:ascii="Times New Roman" w:hAnsi="Times New Roman" w:cs="Times New Roman"/>
          <w:sz w:val="18"/>
          <w:szCs w:val="18"/>
        </w:rPr>
        <w:footnoteRef/>
      </w:r>
      <w:r w:rsidRPr="005E601A">
        <w:rPr>
          <w:rFonts w:ascii="Times New Roman" w:hAnsi="Times New Roman" w:cs="Times New Roman"/>
          <w:sz w:val="18"/>
          <w:szCs w:val="18"/>
        </w:rPr>
        <w:t xml:space="preserve"> </w:t>
      </w:r>
      <w:r w:rsidR="005E601A" w:rsidRPr="005E601A">
        <w:rPr>
          <w:rFonts w:ascii="Times New Roman" w:hAnsi="Times New Roman" w:cs="Times New Roman"/>
          <w:sz w:val="18"/>
          <w:szCs w:val="18"/>
        </w:rPr>
        <w:t>Por. LG 12.</w:t>
      </w:r>
    </w:p>
  </w:footnote>
  <w:footnote w:id="27">
    <w:p w14:paraId="0154A7FB" w14:textId="77777777" w:rsidR="00E10402" w:rsidRPr="005E601A" w:rsidRDefault="00E10402" w:rsidP="005E601A">
      <w:pPr>
        <w:pStyle w:val="FootnoteText"/>
        <w:jc w:val="both"/>
        <w:rPr>
          <w:rFonts w:ascii="Times New Roman" w:hAnsi="Times New Roman" w:cs="Times New Roman"/>
          <w:sz w:val="18"/>
          <w:szCs w:val="18"/>
        </w:rPr>
      </w:pPr>
      <w:r w:rsidRPr="005E601A">
        <w:rPr>
          <w:rStyle w:val="FootnoteReference"/>
          <w:rFonts w:ascii="Times New Roman" w:hAnsi="Times New Roman" w:cs="Times New Roman"/>
          <w:sz w:val="18"/>
          <w:szCs w:val="18"/>
        </w:rPr>
        <w:footnoteRef/>
      </w:r>
      <w:r w:rsidRPr="005E601A">
        <w:rPr>
          <w:rFonts w:ascii="Times New Roman" w:hAnsi="Times New Roman" w:cs="Times New Roman"/>
          <w:sz w:val="18"/>
          <w:szCs w:val="18"/>
        </w:rPr>
        <w:t xml:space="preserve"> </w:t>
      </w:r>
      <w:r w:rsidR="005E601A" w:rsidRPr="005E601A">
        <w:rPr>
          <w:rFonts w:ascii="Times New Roman" w:hAnsi="Times New Roman" w:cs="Times New Roman"/>
          <w:sz w:val="18"/>
          <w:szCs w:val="18"/>
        </w:rPr>
        <w:t>Tamże.</w:t>
      </w:r>
    </w:p>
  </w:footnote>
  <w:footnote w:id="28">
    <w:p w14:paraId="27BCF5F7" w14:textId="77777777" w:rsidR="00E10402" w:rsidRPr="005E601A" w:rsidRDefault="00E10402" w:rsidP="005E601A">
      <w:pPr>
        <w:pStyle w:val="FootnoteText"/>
        <w:jc w:val="both"/>
        <w:rPr>
          <w:rFonts w:ascii="Times New Roman" w:hAnsi="Times New Roman" w:cs="Times New Roman"/>
          <w:sz w:val="18"/>
          <w:szCs w:val="18"/>
        </w:rPr>
      </w:pPr>
      <w:r w:rsidRPr="005E601A">
        <w:rPr>
          <w:rStyle w:val="FootnoteReference"/>
          <w:rFonts w:ascii="Times New Roman" w:hAnsi="Times New Roman" w:cs="Times New Roman"/>
          <w:sz w:val="18"/>
          <w:szCs w:val="18"/>
        </w:rPr>
        <w:footnoteRef/>
      </w:r>
      <w:r w:rsidRPr="005E601A">
        <w:rPr>
          <w:rFonts w:ascii="Times New Roman" w:hAnsi="Times New Roman" w:cs="Times New Roman"/>
          <w:sz w:val="18"/>
          <w:szCs w:val="18"/>
        </w:rPr>
        <w:t xml:space="preserve"> </w:t>
      </w:r>
      <w:r w:rsidR="005E601A" w:rsidRPr="005E601A">
        <w:rPr>
          <w:rFonts w:ascii="Times New Roman" w:hAnsi="Times New Roman" w:cs="Times New Roman"/>
          <w:sz w:val="18"/>
          <w:szCs w:val="18"/>
        </w:rPr>
        <w:t>Tamże</w:t>
      </w:r>
      <w:r w:rsidR="00B47C6C">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A18E8"/>
    <w:multiLevelType w:val="hybridMultilevel"/>
    <w:tmpl w:val="9A9605C8"/>
    <w:lvl w:ilvl="0" w:tplc="511AA3F6">
      <w:start w:val="1"/>
      <w:numFmt w:val="decimal"/>
      <w:lvlText w:val="%1."/>
      <w:lvlJc w:val="left"/>
      <w:pPr>
        <w:ind w:left="1068" w:hanging="360"/>
      </w:pPr>
      <w:rPr>
        <w:rFonts w:eastAsiaTheme="minorHAns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5C101A28"/>
    <w:multiLevelType w:val="multilevel"/>
    <w:tmpl w:val="4B9C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186292">
    <w:abstractNumId w:val="1"/>
  </w:num>
  <w:num w:numId="2" w16cid:durableId="175119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65E"/>
    <w:rsid w:val="00065B62"/>
    <w:rsid w:val="000A7EE6"/>
    <w:rsid w:val="000E17FE"/>
    <w:rsid w:val="00131E58"/>
    <w:rsid w:val="00133048"/>
    <w:rsid w:val="001F5218"/>
    <w:rsid w:val="00255911"/>
    <w:rsid w:val="0028048C"/>
    <w:rsid w:val="002816B2"/>
    <w:rsid w:val="00343E15"/>
    <w:rsid w:val="00351B93"/>
    <w:rsid w:val="003B25B2"/>
    <w:rsid w:val="00405728"/>
    <w:rsid w:val="00414F98"/>
    <w:rsid w:val="00453815"/>
    <w:rsid w:val="00480F94"/>
    <w:rsid w:val="005E601A"/>
    <w:rsid w:val="00641C40"/>
    <w:rsid w:val="006643ED"/>
    <w:rsid w:val="00684188"/>
    <w:rsid w:val="006A6258"/>
    <w:rsid w:val="006F3F3F"/>
    <w:rsid w:val="007D597F"/>
    <w:rsid w:val="008157CF"/>
    <w:rsid w:val="00826B6F"/>
    <w:rsid w:val="00843391"/>
    <w:rsid w:val="0087243B"/>
    <w:rsid w:val="008912D5"/>
    <w:rsid w:val="008E12EC"/>
    <w:rsid w:val="008E6E58"/>
    <w:rsid w:val="00912BB0"/>
    <w:rsid w:val="00951CFC"/>
    <w:rsid w:val="00980FF4"/>
    <w:rsid w:val="00986580"/>
    <w:rsid w:val="0099705D"/>
    <w:rsid w:val="00997378"/>
    <w:rsid w:val="009E259C"/>
    <w:rsid w:val="009F0EE0"/>
    <w:rsid w:val="00A03F10"/>
    <w:rsid w:val="00A173E3"/>
    <w:rsid w:val="00A45DF7"/>
    <w:rsid w:val="00A5129F"/>
    <w:rsid w:val="00A54263"/>
    <w:rsid w:val="00A71C6F"/>
    <w:rsid w:val="00AB1730"/>
    <w:rsid w:val="00AC7DE6"/>
    <w:rsid w:val="00AD2DAE"/>
    <w:rsid w:val="00B02E80"/>
    <w:rsid w:val="00B278D7"/>
    <w:rsid w:val="00B47C6C"/>
    <w:rsid w:val="00B848A0"/>
    <w:rsid w:val="00BA5095"/>
    <w:rsid w:val="00BE3D55"/>
    <w:rsid w:val="00C266E0"/>
    <w:rsid w:val="00C655D8"/>
    <w:rsid w:val="00CF2B46"/>
    <w:rsid w:val="00D3065E"/>
    <w:rsid w:val="00D66A83"/>
    <w:rsid w:val="00D91547"/>
    <w:rsid w:val="00E10402"/>
    <w:rsid w:val="00E10FD8"/>
    <w:rsid w:val="00E3386D"/>
    <w:rsid w:val="00E43B13"/>
    <w:rsid w:val="00E52C55"/>
    <w:rsid w:val="00F40192"/>
    <w:rsid w:val="00F57136"/>
    <w:rsid w:val="00F64D46"/>
    <w:rsid w:val="00FB02E9"/>
    <w:rsid w:val="00FD315C"/>
    <w:rsid w:val="00FD4B3E"/>
    <w:rsid w:val="00FE309C"/>
    <w:rsid w:val="00FF37E1"/>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9AA4"/>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1B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1B93"/>
    <w:rPr>
      <w:b/>
      <w:bCs/>
    </w:rPr>
  </w:style>
  <w:style w:type="paragraph" w:styleId="FootnoteText">
    <w:name w:val="footnote text"/>
    <w:basedOn w:val="Normal"/>
    <w:link w:val="FootnoteTextChar"/>
    <w:uiPriority w:val="99"/>
    <w:unhideWhenUsed/>
    <w:rsid w:val="00351B93"/>
    <w:pPr>
      <w:spacing w:after="0" w:line="240" w:lineRule="auto"/>
    </w:pPr>
    <w:rPr>
      <w:sz w:val="20"/>
      <w:szCs w:val="20"/>
    </w:rPr>
  </w:style>
  <w:style w:type="character" w:customStyle="1" w:styleId="FootnoteTextChar">
    <w:name w:val="Footnote Text Char"/>
    <w:basedOn w:val="DefaultParagraphFont"/>
    <w:link w:val="FootnoteText"/>
    <w:uiPriority w:val="99"/>
    <w:rsid w:val="00351B93"/>
    <w:rPr>
      <w:sz w:val="20"/>
      <w:szCs w:val="20"/>
    </w:rPr>
  </w:style>
  <w:style w:type="character" w:styleId="FootnoteReference">
    <w:name w:val="footnote reference"/>
    <w:basedOn w:val="DefaultParagraphFont"/>
    <w:uiPriority w:val="99"/>
    <w:semiHidden/>
    <w:unhideWhenUsed/>
    <w:rsid w:val="00351B93"/>
    <w:rPr>
      <w:vertAlign w:val="superscript"/>
    </w:rPr>
  </w:style>
  <w:style w:type="character" w:styleId="Emphasis">
    <w:name w:val="Emphasis"/>
    <w:basedOn w:val="DefaultParagraphFont"/>
    <w:uiPriority w:val="20"/>
    <w:qFormat/>
    <w:rsid w:val="000A7EE6"/>
    <w:rPr>
      <w:i/>
      <w:iCs/>
    </w:rPr>
  </w:style>
  <w:style w:type="character" w:customStyle="1" w:styleId="whitespace-normal">
    <w:name w:val="whitespace-normal"/>
    <w:basedOn w:val="DefaultParagraphFont"/>
    <w:rsid w:val="00255911"/>
  </w:style>
  <w:style w:type="paragraph" w:styleId="ListParagraph">
    <w:name w:val="List Paragraph"/>
    <w:basedOn w:val="Normal"/>
    <w:uiPriority w:val="34"/>
    <w:qFormat/>
    <w:rsid w:val="00453815"/>
    <w:pPr>
      <w:ind w:left="720"/>
      <w:contextualSpacing/>
    </w:pPr>
  </w:style>
  <w:style w:type="paragraph" w:styleId="NoSpacing">
    <w:name w:val="No Spacing"/>
    <w:uiPriority w:val="1"/>
    <w:qFormat/>
    <w:rsid w:val="00E43B13"/>
    <w:pPr>
      <w:spacing w:after="0" w:line="240" w:lineRule="auto"/>
    </w:pPr>
  </w:style>
  <w:style w:type="character" w:styleId="Hyperlink">
    <w:name w:val="Hyperlink"/>
    <w:basedOn w:val="DefaultParagraphFont"/>
    <w:uiPriority w:val="99"/>
    <w:unhideWhenUsed/>
    <w:rsid w:val="006841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3943">
      <w:bodyDiv w:val="1"/>
      <w:marLeft w:val="0"/>
      <w:marRight w:val="0"/>
      <w:marTop w:val="0"/>
      <w:marBottom w:val="0"/>
      <w:divBdr>
        <w:top w:val="none" w:sz="0" w:space="0" w:color="auto"/>
        <w:left w:val="none" w:sz="0" w:space="0" w:color="auto"/>
        <w:bottom w:val="none" w:sz="0" w:space="0" w:color="auto"/>
        <w:right w:val="none" w:sz="0" w:space="0" w:color="auto"/>
      </w:divBdr>
    </w:div>
    <w:div w:id="134220135">
      <w:bodyDiv w:val="1"/>
      <w:marLeft w:val="0"/>
      <w:marRight w:val="0"/>
      <w:marTop w:val="0"/>
      <w:marBottom w:val="0"/>
      <w:divBdr>
        <w:top w:val="none" w:sz="0" w:space="0" w:color="auto"/>
        <w:left w:val="none" w:sz="0" w:space="0" w:color="auto"/>
        <w:bottom w:val="none" w:sz="0" w:space="0" w:color="auto"/>
        <w:right w:val="none" w:sz="0" w:space="0" w:color="auto"/>
      </w:divBdr>
    </w:div>
    <w:div w:id="212426757">
      <w:bodyDiv w:val="1"/>
      <w:marLeft w:val="0"/>
      <w:marRight w:val="0"/>
      <w:marTop w:val="0"/>
      <w:marBottom w:val="0"/>
      <w:divBdr>
        <w:top w:val="none" w:sz="0" w:space="0" w:color="auto"/>
        <w:left w:val="none" w:sz="0" w:space="0" w:color="auto"/>
        <w:bottom w:val="none" w:sz="0" w:space="0" w:color="auto"/>
        <w:right w:val="none" w:sz="0" w:space="0" w:color="auto"/>
      </w:divBdr>
    </w:div>
    <w:div w:id="483593108">
      <w:bodyDiv w:val="1"/>
      <w:marLeft w:val="0"/>
      <w:marRight w:val="0"/>
      <w:marTop w:val="0"/>
      <w:marBottom w:val="0"/>
      <w:divBdr>
        <w:top w:val="none" w:sz="0" w:space="0" w:color="auto"/>
        <w:left w:val="none" w:sz="0" w:space="0" w:color="auto"/>
        <w:bottom w:val="none" w:sz="0" w:space="0" w:color="auto"/>
        <w:right w:val="none" w:sz="0" w:space="0" w:color="auto"/>
      </w:divBdr>
    </w:div>
    <w:div w:id="585499362">
      <w:bodyDiv w:val="1"/>
      <w:marLeft w:val="0"/>
      <w:marRight w:val="0"/>
      <w:marTop w:val="0"/>
      <w:marBottom w:val="0"/>
      <w:divBdr>
        <w:top w:val="none" w:sz="0" w:space="0" w:color="auto"/>
        <w:left w:val="none" w:sz="0" w:space="0" w:color="auto"/>
        <w:bottom w:val="none" w:sz="0" w:space="0" w:color="auto"/>
        <w:right w:val="none" w:sz="0" w:space="0" w:color="auto"/>
      </w:divBdr>
    </w:div>
    <w:div w:id="641928225">
      <w:bodyDiv w:val="1"/>
      <w:marLeft w:val="0"/>
      <w:marRight w:val="0"/>
      <w:marTop w:val="0"/>
      <w:marBottom w:val="0"/>
      <w:divBdr>
        <w:top w:val="none" w:sz="0" w:space="0" w:color="auto"/>
        <w:left w:val="none" w:sz="0" w:space="0" w:color="auto"/>
        <w:bottom w:val="none" w:sz="0" w:space="0" w:color="auto"/>
        <w:right w:val="none" w:sz="0" w:space="0" w:color="auto"/>
      </w:divBdr>
    </w:div>
    <w:div w:id="682754420">
      <w:bodyDiv w:val="1"/>
      <w:marLeft w:val="0"/>
      <w:marRight w:val="0"/>
      <w:marTop w:val="0"/>
      <w:marBottom w:val="0"/>
      <w:divBdr>
        <w:top w:val="none" w:sz="0" w:space="0" w:color="auto"/>
        <w:left w:val="none" w:sz="0" w:space="0" w:color="auto"/>
        <w:bottom w:val="none" w:sz="0" w:space="0" w:color="auto"/>
        <w:right w:val="none" w:sz="0" w:space="0" w:color="auto"/>
      </w:divBdr>
    </w:div>
    <w:div w:id="687099971">
      <w:bodyDiv w:val="1"/>
      <w:marLeft w:val="0"/>
      <w:marRight w:val="0"/>
      <w:marTop w:val="0"/>
      <w:marBottom w:val="0"/>
      <w:divBdr>
        <w:top w:val="none" w:sz="0" w:space="0" w:color="auto"/>
        <w:left w:val="none" w:sz="0" w:space="0" w:color="auto"/>
        <w:bottom w:val="none" w:sz="0" w:space="0" w:color="auto"/>
        <w:right w:val="none" w:sz="0" w:space="0" w:color="auto"/>
      </w:divBdr>
    </w:div>
    <w:div w:id="705721157">
      <w:bodyDiv w:val="1"/>
      <w:marLeft w:val="0"/>
      <w:marRight w:val="0"/>
      <w:marTop w:val="0"/>
      <w:marBottom w:val="0"/>
      <w:divBdr>
        <w:top w:val="none" w:sz="0" w:space="0" w:color="auto"/>
        <w:left w:val="none" w:sz="0" w:space="0" w:color="auto"/>
        <w:bottom w:val="none" w:sz="0" w:space="0" w:color="auto"/>
        <w:right w:val="none" w:sz="0" w:space="0" w:color="auto"/>
      </w:divBdr>
      <w:divsChild>
        <w:div w:id="1604218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340159">
      <w:bodyDiv w:val="1"/>
      <w:marLeft w:val="0"/>
      <w:marRight w:val="0"/>
      <w:marTop w:val="0"/>
      <w:marBottom w:val="0"/>
      <w:divBdr>
        <w:top w:val="none" w:sz="0" w:space="0" w:color="auto"/>
        <w:left w:val="none" w:sz="0" w:space="0" w:color="auto"/>
        <w:bottom w:val="none" w:sz="0" w:space="0" w:color="auto"/>
        <w:right w:val="none" w:sz="0" w:space="0" w:color="auto"/>
      </w:divBdr>
    </w:div>
    <w:div w:id="913901312">
      <w:bodyDiv w:val="1"/>
      <w:marLeft w:val="0"/>
      <w:marRight w:val="0"/>
      <w:marTop w:val="0"/>
      <w:marBottom w:val="0"/>
      <w:divBdr>
        <w:top w:val="none" w:sz="0" w:space="0" w:color="auto"/>
        <w:left w:val="none" w:sz="0" w:space="0" w:color="auto"/>
        <w:bottom w:val="none" w:sz="0" w:space="0" w:color="auto"/>
        <w:right w:val="none" w:sz="0" w:space="0" w:color="auto"/>
      </w:divBdr>
    </w:div>
    <w:div w:id="998265768">
      <w:bodyDiv w:val="1"/>
      <w:marLeft w:val="0"/>
      <w:marRight w:val="0"/>
      <w:marTop w:val="0"/>
      <w:marBottom w:val="0"/>
      <w:divBdr>
        <w:top w:val="none" w:sz="0" w:space="0" w:color="auto"/>
        <w:left w:val="none" w:sz="0" w:space="0" w:color="auto"/>
        <w:bottom w:val="none" w:sz="0" w:space="0" w:color="auto"/>
        <w:right w:val="none" w:sz="0" w:space="0" w:color="auto"/>
      </w:divBdr>
    </w:div>
    <w:div w:id="1016813621">
      <w:bodyDiv w:val="1"/>
      <w:marLeft w:val="0"/>
      <w:marRight w:val="0"/>
      <w:marTop w:val="0"/>
      <w:marBottom w:val="0"/>
      <w:divBdr>
        <w:top w:val="none" w:sz="0" w:space="0" w:color="auto"/>
        <w:left w:val="none" w:sz="0" w:space="0" w:color="auto"/>
        <w:bottom w:val="none" w:sz="0" w:space="0" w:color="auto"/>
        <w:right w:val="none" w:sz="0" w:space="0" w:color="auto"/>
      </w:divBdr>
      <w:divsChild>
        <w:div w:id="885944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525127">
      <w:bodyDiv w:val="1"/>
      <w:marLeft w:val="0"/>
      <w:marRight w:val="0"/>
      <w:marTop w:val="0"/>
      <w:marBottom w:val="0"/>
      <w:divBdr>
        <w:top w:val="none" w:sz="0" w:space="0" w:color="auto"/>
        <w:left w:val="none" w:sz="0" w:space="0" w:color="auto"/>
        <w:bottom w:val="none" w:sz="0" w:space="0" w:color="auto"/>
        <w:right w:val="none" w:sz="0" w:space="0" w:color="auto"/>
      </w:divBdr>
    </w:div>
    <w:div w:id="1304118643">
      <w:bodyDiv w:val="1"/>
      <w:marLeft w:val="0"/>
      <w:marRight w:val="0"/>
      <w:marTop w:val="0"/>
      <w:marBottom w:val="0"/>
      <w:divBdr>
        <w:top w:val="none" w:sz="0" w:space="0" w:color="auto"/>
        <w:left w:val="none" w:sz="0" w:space="0" w:color="auto"/>
        <w:bottom w:val="none" w:sz="0" w:space="0" w:color="auto"/>
        <w:right w:val="none" w:sz="0" w:space="0" w:color="auto"/>
      </w:divBdr>
    </w:div>
    <w:div w:id="1318608262">
      <w:bodyDiv w:val="1"/>
      <w:marLeft w:val="0"/>
      <w:marRight w:val="0"/>
      <w:marTop w:val="0"/>
      <w:marBottom w:val="0"/>
      <w:divBdr>
        <w:top w:val="none" w:sz="0" w:space="0" w:color="auto"/>
        <w:left w:val="none" w:sz="0" w:space="0" w:color="auto"/>
        <w:bottom w:val="none" w:sz="0" w:space="0" w:color="auto"/>
        <w:right w:val="none" w:sz="0" w:space="0" w:color="auto"/>
      </w:divBdr>
    </w:div>
    <w:div w:id="1463694440">
      <w:bodyDiv w:val="1"/>
      <w:marLeft w:val="0"/>
      <w:marRight w:val="0"/>
      <w:marTop w:val="0"/>
      <w:marBottom w:val="0"/>
      <w:divBdr>
        <w:top w:val="none" w:sz="0" w:space="0" w:color="auto"/>
        <w:left w:val="none" w:sz="0" w:space="0" w:color="auto"/>
        <w:bottom w:val="none" w:sz="0" w:space="0" w:color="auto"/>
        <w:right w:val="none" w:sz="0" w:space="0" w:color="auto"/>
      </w:divBdr>
    </w:div>
    <w:div w:id="1489512975">
      <w:bodyDiv w:val="1"/>
      <w:marLeft w:val="0"/>
      <w:marRight w:val="0"/>
      <w:marTop w:val="0"/>
      <w:marBottom w:val="0"/>
      <w:divBdr>
        <w:top w:val="none" w:sz="0" w:space="0" w:color="auto"/>
        <w:left w:val="none" w:sz="0" w:space="0" w:color="auto"/>
        <w:bottom w:val="none" w:sz="0" w:space="0" w:color="auto"/>
        <w:right w:val="none" w:sz="0" w:space="0" w:color="auto"/>
      </w:divBdr>
    </w:div>
    <w:div w:id="1579946698">
      <w:bodyDiv w:val="1"/>
      <w:marLeft w:val="0"/>
      <w:marRight w:val="0"/>
      <w:marTop w:val="0"/>
      <w:marBottom w:val="0"/>
      <w:divBdr>
        <w:top w:val="none" w:sz="0" w:space="0" w:color="auto"/>
        <w:left w:val="none" w:sz="0" w:space="0" w:color="auto"/>
        <w:bottom w:val="none" w:sz="0" w:space="0" w:color="auto"/>
        <w:right w:val="none" w:sz="0" w:space="0" w:color="auto"/>
      </w:divBdr>
    </w:div>
    <w:div w:id="1787044997">
      <w:bodyDiv w:val="1"/>
      <w:marLeft w:val="0"/>
      <w:marRight w:val="0"/>
      <w:marTop w:val="0"/>
      <w:marBottom w:val="0"/>
      <w:divBdr>
        <w:top w:val="none" w:sz="0" w:space="0" w:color="auto"/>
        <w:left w:val="none" w:sz="0" w:space="0" w:color="auto"/>
        <w:bottom w:val="none" w:sz="0" w:space="0" w:color="auto"/>
        <w:right w:val="none" w:sz="0" w:space="0" w:color="auto"/>
      </w:divBdr>
    </w:div>
    <w:div w:id="1789230839">
      <w:bodyDiv w:val="1"/>
      <w:marLeft w:val="0"/>
      <w:marRight w:val="0"/>
      <w:marTop w:val="0"/>
      <w:marBottom w:val="0"/>
      <w:divBdr>
        <w:top w:val="none" w:sz="0" w:space="0" w:color="auto"/>
        <w:left w:val="none" w:sz="0" w:space="0" w:color="auto"/>
        <w:bottom w:val="none" w:sz="0" w:space="0" w:color="auto"/>
        <w:right w:val="none" w:sz="0" w:space="0" w:color="auto"/>
      </w:divBdr>
    </w:div>
    <w:div w:id="1823498643">
      <w:bodyDiv w:val="1"/>
      <w:marLeft w:val="0"/>
      <w:marRight w:val="0"/>
      <w:marTop w:val="0"/>
      <w:marBottom w:val="0"/>
      <w:divBdr>
        <w:top w:val="none" w:sz="0" w:space="0" w:color="auto"/>
        <w:left w:val="none" w:sz="0" w:space="0" w:color="auto"/>
        <w:bottom w:val="none" w:sz="0" w:space="0" w:color="auto"/>
        <w:right w:val="none" w:sz="0" w:space="0" w:color="auto"/>
      </w:divBdr>
    </w:div>
    <w:div w:id="1911037737">
      <w:bodyDiv w:val="1"/>
      <w:marLeft w:val="0"/>
      <w:marRight w:val="0"/>
      <w:marTop w:val="0"/>
      <w:marBottom w:val="0"/>
      <w:divBdr>
        <w:top w:val="none" w:sz="0" w:space="0" w:color="auto"/>
        <w:left w:val="none" w:sz="0" w:space="0" w:color="auto"/>
        <w:bottom w:val="none" w:sz="0" w:space="0" w:color="auto"/>
        <w:right w:val="none" w:sz="0" w:space="0" w:color="auto"/>
      </w:divBdr>
    </w:div>
    <w:div w:id="1926570829">
      <w:bodyDiv w:val="1"/>
      <w:marLeft w:val="0"/>
      <w:marRight w:val="0"/>
      <w:marTop w:val="0"/>
      <w:marBottom w:val="0"/>
      <w:divBdr>
        <w:top w:val="none" w:sz="0" w:space="0" w:color="auto"/>
        <w:left w:val="none" w:sz="0" w:space="0" w:color="auto"/>
        <w:bottom w:val="none" w:sz="0" w:space="0" w:color="auto"/>
        <w:right w:val="none" w:sz="0" w:space="0" w:color="auto"/>
      </w:divBdr>
    </w:div>
    <w:div w:id="1945722173">
      <w:bodyDiv w:val="1"/>
      <w:marLeft w:val="0"/>
      <w:marRight w:val="0"/>
      <w:marTop w:val="0"/>
      <w:marBottom w:val="0"/>
      <w:divBdr>
        <w:top w:val="none" w:sz="0" w:space="0" w:color="auto"/>
        <w:left w:val="none" w:sz="0" w:space="0" w:color="auto"/>
        <w:bottom w:val="none" w:sz="0" w:space="0" w:color="auto"/>
        <w:right w:val="none" w:sz="0" w:space="0" w:color="auto"/>
      </w:divBdr>
    </w:div>
    <w:div w:id="2076316134">
      <w:bodyDiv w:val="1"/>
      <w:marLeft w:val="0"/>
      <w:marRight w:val="0"/>
      <w:marTop w:val="0"/>
      <w:marBottom w:val="0"/>
      <w:divBdr>
        <w:top w:val="none" w:sz="0" w:space="0" w:color="auto"/>
        <w:left w:val="none" w:sz="0" w:space="0" w:color="auto"/>
        <w:bottom w:val="none" w:sz="0" w:space="0" w:color="auto"/>
        <w:right w:val="none" w:sz="0" w:space="0" w:color="auto"/>
      </w:divBdr>
    </w:div>
    <w:div w:id="2098552044">
      <w:bodyDiv w:val="1"/>
      <w:marLeft w:val="0"/>
      <w:marRight w:val="0"/>
      <w:marTop w:val="0"/>
      <w:marBottom w:val="0"/>
      <w:divBdr>
        <w:top w:val="none" w:sz="0" w:space="0" w:color="auto"/>
        <w:left w:val="none" w:sz="0" w:space="0" w:color="auto"/>
        <w:bottom w:val="none" w:sz="0" w:space="0" w:color="auto"/>
        <w:right w:val="none" w:sz="0" w:space="0" w:color="auto"/>
      </w:divBdr>
    </w:div>
    <w:div w:id="2103647116">
      <w:bodyDiv w:val="1"/>
      <w:marLeft w:val="0"/>
      <w:marRight w:val="0"/>
      <w:marTop w:val="0"/>
      <w:marBottom w:val="0"/>
      <w:divBdr>
        <w:top w:val="none" w:sz="0" w:space="0" w:color="auto"/>
        <w:left w:val="none" w:sz="0" w:space="0" w:color="auto"/>
        <w:bottom w:val="none" w:sz="0" w:space="0" w:color="auto"/>
        <w:right w:val="none" w:sz="0" w:space="0" w:color="auto"/>
      </w:divBdr>
    </w:div>
    <w:div w:id="211951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tram.stubenrauch@lmu.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824BC-1D3A-4E1C-BFFA-71E9C7DD6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4184</Words>
  <Characters>23853</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27982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Rysiek jach</dc:creator>
  <cp:lastModifiedBy>Bożena Futoma-Kołoch</cp:lastModifiedBy>
  <cp:revision>3</cp:revision>
  <dcterms:created xsi:type="dcterms:W3CDTF">2026-03-18T06:27:00Z</dcterms:created>
  <dcterms:modified xsi:type="dcterms:W3CDTF">2026-07-07T10:14:00Z</dcterms:modified>
</cp:coreProperties>
</file>