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57F4" w14:textId="5FE3364D" w:rsidR="0064219B" w:rsidRDefault="00753755" w:rsidP="00753755">
      <w:pPr>
        <w:spacing w:line="240" w:lineRule="auto"/>
        <w:rPr>
          <w:rStyle w:val="Emphasis"/>
          <w:rFonts w:ascii="Times New Roman" w:hAnsi="Times New Roman" w:cs="Times New Roman"/>
          <w:i w:val="0"/>
          <w:iCs w:val="0"/>
          <w:sz w:val="24"/>
          <w:szCs w:val="24"/>
          <w:shd w:val="clear" w:color="auto" w:fill="FFFFFF"/>
          <w:lang w:val="de-AT"/>
        </w:rPr>
      </w:pPr>
      <w:r w:rsidRPr="00753755">
        <w:rPr>
          <w:rFonts w:ascii="Times New Roman" w:hAnsi="Times New Roman" w:cs="Times New Roman"/>
          <w:sz w:val="24"/>
          <w:szCs w:val="24"/>
          <w:u w:val="single"/>
          <w:lang w:val="en-US"/>
        </w:rPr>
        <w:t xml:space="preserve">THOMAS SÖDING </w:t>
      </w:r>
      <w:r w:rsidRPr="00753755">
        <w:rPr>
          <w:rFonts w:ascii="Times New Roman" w:hAnsi="Times New Roman" w:cs="Times New Roman"/>
          <w:sz w:val="24"/>
          <w:szCs w:val="24"/>
          <w:u w:val="single"/>
          <w:lang w:val="en-US"/>
        </w:rPr>
        <w:br/>
      </w:r>
      <w:r w:rsidRPr="00753755">
        <w:rPr>
          <w:rFonts w:ascii="Times New Roman" w:hAnsi="Times New Roman" w:cs="Times New Roman"/>
          <w:sz w:val="24"/>
          <w:szCs w:val="24"/>
          <w:lang w:val="en-US"/>
        </w:rPr>
        <w:t xml:space="preserve">Ruhr University Bochum, </w:t>
      </w:r>
      <w:r w:rsidRPr="00CF5842">
        <w:rPr>
          <w:rFonts w:ascii="Times New Roman" w:hAnsi="Times New Roman" w:cs="Times New Roman"/>
          <w:sz w:val="24"/>
          <w:szCs w:val="24"/>
          <w:lang w:val="en-GB"/>
        </w:rPr>
        <w:t>Germany</w:t>
      </w:r>
      <w:r>
        <w:rPr>
          <w:rStyle w:val="Emphasis"/>
          <w:rFonts w:ascii="Times New Roman" w:hAnsi="Times New Roman" w:cs="Times New Roman"/>
          <w:i w:val="0"/>
          <w:iCs w:val="0"/>
          <w:sz w:val="24"/>
          <w:szCs w:val="24"/>
          <w:shd w:val="clear" w:color="auto" w:fill="FFFFFF"/>
          <w:lang w:val="en-US"/>
        </w:rPr>
        <w:br/>
      </w:r>
      <w:r w:rsidRPr="00753755">
        <w:rPr>
          <w:rStyle w:val="Emphasis"/>
          <w:rFonts w:ascii="Times New Roman" w:hAnsi="Times New Roman" w:cs="Times New Roman"/>
          <w:i w:val="0"/>
          <w:iCs w:val="0"/>
          <w:sz w:val="24"/>
          <w:szCs w:val="24"/>
          <w:shd w:val="clear" w:color="auto" w:fill="FFFFFF"/>
          <w:lang w:val="de-AT"/>
        </w:rPr>
        <w:t xml:space="preserve">e-mail: </w:t>
      </w:r>
      <w:hyperlink r:id="rId8" w:history="1">
        <w:r w:rsidRPr="00310B18">
          <w:rPr>
            <w:rStyle w:val="Hyperlink"/>
            <w:rFonts w:ascii="Times New Roman" w:hAnsi="Times New Roman" w:cs="Times New Roman"/>
            <w:sz w:val="24"/>
            <w:szCs w:val="24"/>
            <w:shd w:val="clear" w:color="auto" w:fill="FFFFFF"/>
            <w:lang w:val="de-AT"/>
          </w:rPr>
          <w:t>thomas.soeding@rub.de</w:t>
        </w:r>
      </w:hyperlink>
      <w:r>
        <w:rPr>
          <w:rStyle w:val="Emphasis"/>
          <w:rFonts w:ascii="Times New Roman" w:hAnsi="Times New Roman" w:cs="Times New Roman"/>
          <w:i w:val="0"/>
          <w:iCs w:val="0"/>
          <w:sz w:val="24"/>
          <w:szCs w:val="24"/>
          <w:shd w:val="clear" w:color="auto" w:fill="FFFFFF"/>
          <w:lang w:val="de-AT"/>
        </w:rPr>
        <w:br/>
        <w:t>ORCID:</w:t>
      </w:r>
      <w:r w:rsidRPr="00753755">
        <w:rPr>
          <w:rStyle w:val="Emphasis"/>
          <w:rFonts w:ascii="Times New Roman" w:hAnsi="Times New Roman" w:cs="Times New Roman"/>
          <w:i w:val="0"/>
          <w:iCs w:val="0"/>
          <w:sz w:val="24"/>
          <w:szCs w:val="24"/>
          <w:shd w:val="clear" w:color="auto" w:fill="FFFFFF"/>
          <w:lang w:val="de-AT"/>
        </w:rPr>
        <w:t xml:space="preserve"> </w:t>
      </w:r>
      <w:hyperlink r:id="rId9" w:history="1">
        <w:r w:rsidRPr="00CF5842">
          <w:rPr>
            <w:rStyle w:val="Hyperlink"/>
            <w:rFonts w:ascii="Times New Roman" w:hAnsi="Times New Roman" w:cs="Times New Roman"/>
            <w:color w:val="auto"/>
            <w:sz w:val="24"/>
            <w:szCs w:val="24"/>
            <w:u w:val="none"/>
            <w:lang w:val="en-GB"/>
          </w:rPr>
          <w:t>0000-0001-6189-2469</w:t>
        </w:r>
      </w:hyperlink>
      <w:r>
        <w:rPr>
          <w:rStyle w:val="Emphasis"/>
          <w:rFonts w:ascii="Times New Roman" w:hAnsi="Times New Roman" w:cs="Times New Roman"/>
          <w:i w:val="0"/>
          <w:iCs w:val="0"/>
          <w:sz w:val="24"/>
          <w:szCs w:val="24"/>
          <w:shd w:val="clear" w:color="auto" w:fill="FFFFFF"/>
          <w:lang w:val="de-AT"/>
        </w:rPr>
        <w:br/>
        <w:t>DOI:</w:t>
      </w:r>
      <w:r w:rsidR="00CF5842">
        <w:rPr>
          <w:rStyle w:val="Emphasis"/>
          <w:rFonts w:ascii="Times New Roman" w:hAnsi="Times New Roman" w:cs="Times New Roman"/>
          <w:i w:val="0"/>
          <w:iCs w:val="0"/>
          <w:sz w:val="24"/>
          <w:szCs w:val="24"/>
          <w:shd w:val="clear" w:color="auto" w:fill="FFFFFF"/>
          <w:lang w:val="de-AT"/>
        </w:rPr>
        <w:t xml:space="preserve"> </w:t>
      </w:r>
      <w:r w:rsidR="00CF5842" w:rsidRPr="00CF5842">
        <w:rPr>
          <w:rStyle w:val="Emphasis"/>
          <w:rFonts w:ascii="Times New Roman" w:hAnsi="Times New Roman" w:cs="Times New Roman"/>
          <w:i w:val="0"/>
          <w:iCs w:val="0"/>
          <w:sz w:val="24"/>
          <w:szCs w:val="24"/>
          <w:shd w:val="clear" w:color="auto" w:fill="FFFFFF"/>
          <w:lang w:val="de-AT"/>
        </w:rPr>
        <w:t>10.48224/COM-230-2025-83</w:t>
      </w:r>
    </w:p>
    <w:p w14:paraId="7DF71B21" w14:textId="77777777" w:rsidR="0041782F" w:rsidRPr="00753755" w:rsidRDefault="0041782F" w:rsidP="003B0D35">
      <w:pPr>
        <w:pStyle w:val="NoSpacing"/>
        <w:jc w:val="both"/>
        <w:rPr>
          <w:lang w:val="de-AT"/>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41782F" w14:paraId="171633ED" w14:textId="77777777" w:rsidTr="0041782F">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0BD8CBFC" w14:textId="77777777" w:rsidR="0041782F" w:rsidRDefault="0041782F" w:rsidP="003B0D35">
            <w:pPr>
              <w:pStyle w:val="NoSpacing"/>
              <w:jc w:val="center"/>
              <w:rPr>
                <w:rFonts w:ascii="Times New Roman" w:hAnsi="Times New Roman" w:cs="Times New Roman"/>
                <w:sz w:val="20"/>
                <w:szCs w:val="20"/>
              </w:rPr>
            </w:pPr>
            <w:r w:rsidRPr="00753755">
              <w:rPr>
                <w:sz w:val="20"/>
                <w:szCs w:val="20"/>
                <w:lang w:val="de-AT"/>
              </w:rPr>
              <w:br/>
            </w:r>
            <w:r>
              <w:rPr>
                <w:rFonts w:ascii="Times New Roman" w:hAnsi="Times New Roman" w:cs="Times New Roman"/>
                <w:sz w:val="20"/>
                <w:szCs w:val="20"/>
              </w:rPr>
              <w:t>Communio 45(2025)2, s. 2-2</w:t>
            </w:r>
          </w:p>
        </w:tc>
      </w:tr>
    </w:tbl>
    <w:p w14:paraId="49D2D979" w14:textId="77777777" w:rsidR="0041782F" w:rsidRDefault="0041782F" w:rsidP="003B0D35">
      <w:pPr>
        <w:pStyle w:val="NoSpacing"/>
        <w:jc w:val="both"/>
        <w:rPr>
          <w:b/>
        </w:rPr>
      </w:pPr>
    </w:p>
    <w:p w14:paraId="38EDD0A6" w14:textId="77777777" w:rsidR="0041782F" w:rsidRPr="006D733F" w:rsidRDefault="0041782F" w:rsidP="003B0D35">
      <w:pPr>
        <w:spacing w:line="240" w:lineRule="auto"/>
        <w:jc w:val="center"/>
        <w:rPr>
          <w:rFonts w:ascii="Times New Roman" w:hAnsi="Times New Roman" w:cs="Times New Roman"/>
          <w:sz w:val="28"/>
          <w:szCs w:val="28"/>
        </w:rPr>
      </w:pPr>
    </w:p>
    <w:p w14:paraId="166A340B" w14:textId="77777777" w:rsidR="003B0D35" w:rsidRPr="003B0D35" w:rsidRDefault="003B0D35" w:rsidP="003B0D35">
      <w:pPr>
        <w:pStyle w:val="NoSpacing"/>
        <w:jc w:val="center"/>
        <w:rPr>
          <w:rFonts w:ascii="Times New Roman" w:hAnsi="Times New Roman" w:cs="Times New Roman"/>
        </w:rPr>
      </w:pPr>
      <w:r w:rsidRPr="003B0D35">
        <w:rPr>
          <w:rStyle w:val="Strong"/>
          <w:rFonts w:ascii="Times New Roman" w:hAnsi="Times New Roman" w:cs="Times New Roman"/>
          <w:sz w:val="28"/>
          <w:szCs w:val="28"/>
        </w:rPr>
        <w:t>Autorytet</w:t>
      </w:r>
      <w:r w:rsidR="00B976EF" w:rsidRPr="003B0D35">
        <w:rPr>
          <w:rStyle w:val="Strong"/>
          <w:rFonts w:ascii="Times New Roman" w:hAnsi="Times New Roman" w:cs="Times New Roman"/>
          <w:sz w:val="28"/>
          <w:szCs w:val="28"/>
        </w:rPr>
        <w:t xml:space="preserve"> od Boga dla ludzi</w:t>
      </w:r>
    </w:p>
    <w:p w14:paraId="035B4545" w14:textId="77777777" w:rsidR="00B976EF" w:rsidRDefault="00B976EF" w:rsidP="003B0D35">
      <w:pPr>
        <w:pStyle w:val="NoSpacing"/>
        <w:jc w:val="center"/>
        <w:rPr>
          <w:rStyle w:val="Strong"/>
          <w:rFonts w:ascii="Times New Roman" w:hAnsi="Times New Roman" w:cs="Times New Roman"/>
          <w:sz w:val="28"/>
          <w:szCs w:val="28"/>
        </w:rPr>
      </w:pPr>
      <w:r w:rsidRPr="003B0D35">
        <w:rPr>
          <w:rStyle w:val="Strong"/>
          <w:rFonts w:ascii="Times New Roman" w:hAnsi="Times New Roman" w:cs="Times New Roman"/>
          <w:sz w:val="28"/>
          <w:szCs w:val="28"/>
        </w:rPr>
        <w:t>Autorytet Jezusa i Jego zbawcza posługa w świetle Ewangelii</w:t>
      </w:r>
    </w:p>
    <w:p w14:paraId="5F7D0F2D" w14:textId="77777777" w:rsidR="003B0D35" w:rsidRPr="003B0D35" w:rsidRDefault="003B0D35" w:rsidP="003B0D35">
      <w:pPr>
        <w:pStyle w:val="NoSpacing"/>
        <w:jc w:val="center"/>
        <w:rPr>
          <w:rStyle w:val="Strong"/>
          <w:rFonts w:ascii="Times New Roman" w:hAnsi="Times New Roman" w:cs="Times New Roman"/>
          <w:sz w:val="28"/>
          <w:szCs w:val="28"/>
        </w:rPr>
      </w:pPr>
    </w:p>
    <w:p w14:paraId="5BBC2A81" w14:textId="77777777" w:rsidR="003B0D35" w:rsidRDefault="003B0D35" w:rsidP="003B0D35">
      <w:pPr>
        <w:pStyle w:val="NoSpacing"/>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Authority from God for Humans</w:t>
      </w:r>
    </w:p>
    <w:p w14:paraId="5CB78C0D" w14:textId="77777777" w:rsidR="00C7031C" w:rsidRDefault="003B0D35" w:rsidP="003B0D35">
      <w:pPr>
        <w:pStyle w:val="NoSpacing"/>
        <w:jc w:val="center"/>
        <w:rPr>
          <w:rFonts w:ascii="Times New Roman" w:hAnsi="Times New Roman" w:cs="Times New Roman"/>
          <w:b/>
          <w:bCs/>
          <w:sz w:val="28"/>
          <w:szCs w:val="28"/>
          <w:lang w:val="en-US"/>
        </w:rPr>
      </w:pPr>
      <w:r w:rsidRPr="003B0D35">
        <w:rPr>
          <w:rFonts w:ascii="Times New Roman" w:hAnsi="Times New Roman" w:cs="Times New Roman"/>
          <w:b/>
          <w:bCs/>
          <w:sz w:val="28"/>
          <w:szCs w:val="28"/>
          <w:lang w:val="en-US"/>
        </w:rPr>
        <w:t xml:space="preserve">The Authority of Jesus and His Ministry of Salvation as Reflected in the </w:t>
      </w:r>
      <w:r>
        <w:rPr>
          <w:rFonts w:ascii="Times New Roman" w:hAnsi="Times New Roman" w:cs="Times New Roman"/>
          <w:b/>
          <w:bCs/>
          <w:sz w:val="28"/>
          <w:szCs w:val="28"/>
          <w:lang w:val="en-US"/>
        </w:rPr>
        <w:t>Gospels</w:t>
      </w:r>
    </w:p>
    <w:p w14:paraId="0884ABDD" w14:textId="77777777" w:rsidR="003B0D35" w:rsidRDefault="003B0D35" w:rsidP="003B0D35">
      <w:pPr>
        <w:pStyle w:val="NoSpacing"/>
        <w:jc w:val="center"/>
        <w:rPr>
          <w:rFonts w:ascii="Times New Roman" w:hAnsi="Times New Roman" w:cs="Times New Roman"/>
          <w:b/>
          <w:bCs/>
          <w:sz w:val="28"/>
          <w:szCs w:val="28"/>
          <w:lang w:val="en-US"/>
        </w:rPr>
      </w:pPr>
    </w:p>
    <w:p w14:paraId="64C1E84B" w14:textId="77777777" w:rsidR="003B0D35" w:rsidRPr="009E7760" w:rsidRDefault="003B0D35" w:rsidP="003B0D35">
      <w:pPr>
        <w:pStyle w:val="NormalWeb"/>
        <w:spacing w:before="0" w:beforeAutospacing="0" w:after="0" w:afterAutospacing="0"/>
        <w:jc w:val="center"/>
        <w:rPr>
          <w:b/>
          <w:bCs/>
          <w:sz w:val="20"/>
          <w:szCs w:val="20"/>
          <w:lang w:val="en-US"/>
        </w:rPr>
      </w:pPr>
      <w:r w:rsidRPr="009E7760">
        <w:rPr>
          <w:b/>
          <w:bCs/>
          <w:sz w:val="20"/>
          <w:szCs w:val="20"/>
          <w:lang w:val="en-US"/>
        </w:rPr>
        <w:t>Abstract</w:t>
      </w:r>
    </w:p>
    <w:p w14:paraId="7DF9691F" w14:textId="77777777" w:rsidR="003B0D35" w:rsidRPr="009E7760" w:rsidRDefault="003B0D35" w:rsidP="003B0D35">
      <w:pPr>
        <w:pStyle w:val="NormalWeb"/>
        <w:jc w:val="both"/>
        <w:rPr>
          <w:sz w:val="20"/>
          <w:szCs w:val="20"/>
          <w:lang w:val="en-US"/>
        </w:rPr>
      </w:pPr>
      <w:r w:rsidRPr="009E7760">
        <w:rPr>
          <w:sz w:val="20"/>
          <w:szCs w:val="20"/>
          <w:lang w:val="en-US"/>
        </w:rPr>
        <w:t xml:space="preserve">Jesus’ authority is divine right, inspired competence, and redeeming freedom. The synoptic Gospels characterise Jesus’ teaching and healing as a manifestation of his authoritative mission. It is service because it gives glory to God and reveals the dignity of human beings. It is criticised because it raises the question of God – and leads to criticism of the criticism because it gives space to the love of God and neighbour. Jesus himself transfers his authority to his disciples so that it does not become a thing of the past but remains present. The danger of abuse is great from the outset and is repeatedly suppressed. It can be overcome if authority is not regarded as a privilege but as a gift that becomes greater through sharing. </w:t>
      </w:r>
    </w:p>
    <w:p w14:paraId="6442CF55" w14:textId="77777777" w:rsidR="003B0D35" w:rsidRPr="00CF5842" w:rsidRDefault="003B0D35" w:rsidP="003B0D35">
      <w:pPr>
        <w:pStyle w:val="NormalWeb"/>
        <w:rPr>
          <w:b/>
          <w:bCs/>
          <w:sz w:val="20"/>
          <w:szCs w:val="20"/>
          <w:lang w:val="en-GB"/>
        </w:rPr>
      </w:pPr>
      <w:r w:rsidRPr="00CF5842">
        <w:rPr>
          <w:b/>
          <w:bCs/>
          <w:sz w:val="20"/>
          <w:szCs w:val="20"/>
          <w:lang w:val="en-GB"/>
        </w:rPr>
        <w:t>Keywords:</w:t>
      </w:r>
      <w:r w:rsidRPr="00CF5842">
        <w:rPr>
          <w:sz w:val="20"/>
          <w:szCs w:val="20"/>
          <w:lang w:val="en-GB"/>
        </w:rPr>
        <w:t xml:space="preserve"> Authority – New Testament – Gospel – Exousia – Mission – Jesus – Disciples</w:t>
      </w:r>
    </w:p>
    <w:p w14:paraId="7218E07E" w14:textId="77777777" w:rsidR="003B0D35" w:rsidRPr="009E7760" w:rsidRDefault="003B0D35" w:rsidP="003B0D35">
      <w:pPr>
        <w:pStyle w:val="NormalWeb"/>
        <w:jc w:val="center"/>
        <w:rPr>
          <w:b/>
          <w:bCs/>
          <w:sz w:val="20"/>
          <w:szCs w:val="20"/>
        </w:rPr>
      </w:pPr>
      <w:r w:rsidRPr="009E7760">
        <w:rPr>
          <w:b/>
          <w:bCs/>
          <w:sz w:val="20"/>
          <w:szCs w:val="20"/>
        </w:rPr>
        <w:t xml:space="preserve">Streszczenie </w:t>
      </w:r>
    </w:p>
    <w:p w14:paraId="3F694233" w14:textId="77777777" w:rsidR="003B0D35" w:rsidRPr="009E7760" w:rsidRDefault="003B0D35" w:rsidP="003B0D35">
      <w:pPr>
        <w:pStyle w:val="NormalWeb"/>
        <w:rPr>
          <w:sz w:val="20"/>
          <w:szCs w:val="20"/>
        </w:rPr>
      </w:pPr>
      <w:r w:rsidRPr="009E7760">
        <w:rPr>
          <w:sz w:val="20"/>
          <w:szCs w:val="20"/>
        </w:rPr>
        <w:t>Autorytet Jezusa jest prawem pochodzącym od Boga, natchnioną kompetencją i wyzwalającą mocą zbawczą. Ewangelie synoptyczne ukazują nauczanie i uzdrawianie Jezusa jako przejaw Jego autorytatywnej misji. Jest ona służbą, ponieważ oddaje chwałę Bogu i objawia godność człowieka. Spotyka się z krytyką, gdyż stawia pytanie o Boga – a także prowadzi do krytyki tej krytyki, ponieważ otwiera przestrzeń dla miłości Boga i bliźniego. Sam Jezus przekazuje swój autorytet uczniom, aby nie stał się on jedynie przeszłością, lecz pozostał żywy i obecny. Niebezpieczeństwo nadużycia jest od początku wielkie i wciąż na nowo dochodzi do głosu. Może ono zostać przezwyciężone, jeśli władza nie jest postrzegana jako przywilej, lecz jako dar, który wzrasta poprzez dzielenie się nim.</w:t>
      </w:r>
    </w:p>
    <w:p w14:paraId="441D8541" w14:textId="77777777" w:rsidR="003B0D35" w:rsidRPr="009E7760" w:rsidRDefault="003B0D35" w:rsidP="003B0D35">
      <w:pPr>
        <w:pStyle w:val="NormalWeb"/>
        <w:rPr>
          <w:sz w:val="20"/>
          <w:szCs w:val="20"/>
        </w:rPr>
      </w:pPr>
      <w:r w:rsidRPr="009E7760">
        <w:rPr>
          <w:b/>
          <w:bCs/>
          <w:sz w:val="20"/>
          <w:szCs w:val="20"/>
        </w:rPr>
        <w:t>Słowa kluczowe:</w:t>
      </w:r>
      <w:r w:rsidRPr="009E7760">
        <w:rPr>
          <w:sz w:val="20"/>
          <w:szCs w:val="20"/>
        </w:rPr>
        <w:t xml:space="preserve"> autorytet – Nowy Testament – Ewangelia – exousia – misja – Jezus – uczniowie</w:t>
      </w:r>
    </w:p>
    <w:p w14:paraId="3B8DE994" w14:textId="77777777" w:rsidR="003B0D35" w:rsidRPr="003B0D35" w:rsidRDefault="003B0D35" w:rsidP="003B0D35">
      <w:pPr>
        <w:pStyle w:val="NoSpacing"/>
        <w:jc w:val="center"/>
        <w:rPr>
          <w:rFonts w:ascii="Times New Roman" w:hAnsi="Times New Roman" w:cs="Times New Roman"/>
          <w:b/>
          <w:bCs/>
          <w:sz w:val="28"/>
          <w:szCs w:val="28"/>
        </w:rPr>
      </w:pPr>
    </w:p>
    <w:p w14:paraId="4E4699DF" w14:textId="77777777" w:rsidR="00044A55" w:rsidRDefault="000073A0" w:rsidP="003B0D35">
      <w:pPr>
        <w:spacing w:after="0" w:line="240" w:lineRule="auto"/>
        <w:ind w:firstLine="708"/>
        <w:jc w:val="both"/>
        <w:rPr>
          <w:rFonts w:ascii="Times New Roman" w:hAnsi="Times New Roman" w:cs="Times New Roman"/>
          <w:sz w:val="24"/>
          <w:szCs w:val="24"/>
        </w:rPr>
      </w:pPr>
      <w:r w:rsidRPr="00044A55">
        <w:rPr>
          <w:rFonts w:ascii="Times New Roman" w:hAnsi="Times New Roman" w:cs="Times New Roman"/>
          <w:sz w:val="24"/>
          <w:szCs w:val="24"/>
        </w:rPr>
        <w:t xml:space="preserve">Według Ewangelii Mateusza Jezus wygłasza Kazanie na Górze, ponieważ widzi wielki tłum, który się zgromadził. Zebrał wokół siebie swoich uczniów i zwraca się do nich, gdyż wobec tak wielu chce ukazać powagę i błogosławieństwo naśladowania (Mt 5,1–2). Mówi w taki sposób, że wszyscy ludzie u stóp góry mogą zrozumieć to, co przekazuje uczniom na drogę. Ewangelista pisze na zakończenie Kazania </w:t>
      </w:r>
      <w:r w:rsidR="006D733F">
        <w:rPr>
          <w:rFonts w:ascii="Times New Roman" w:hAnsi="Times New Roman" w:cs="Times New Roman"/>
          <w:sz w:val="24"/>
          <w:szCs w:val="24"/>
        </w:rPr>
        <w:t>na Górze: „</w:t>
      </w:r>
      <w:r w:rsidRPr="00044A55">
        <w:rPr>
          <w:rFonts w:ascii="Times New Roman" w:hAnsi="Times New Roman" w:cs="Times New Roman"/>
          <w:sz w:val="24"/>
          <w:szCs w:val="24"/>
        </w:rPr>
        <w:t>A gdy Jezus dokończył tyc</w:t>
      </w:r>
      <w:r w:rsidR="001A6D1E">
        <w:rPr>
          <w:rFonts w:ascii="Times New Roman" w:hAnsi="Times New Roman" w:cs="Times New Roman"/>
          <w:sz w:val="24"/>
          <w:szCs w:val="24"/>
        </w:rPr>
        <w:t>h słów, tłumy zdumiewały się Jego nauką. U</w:t>
      </w:r>
      <w:r w:rsidRPr="00044A55">
        <w:rPr>
          <w:rFonts w:ascii="Times New Roman" w:hAnsi="Times New Roman" w:cs="Times New Roman"/>
          <w:sz w:val="24"/>
          <w:szCs w:val="24"/>
        </w:rPr>
        <w:t>czył ich bowiem jak ten, który ma władzę</w:t>
      </w:r>
      <w:r w:rsidR="006D733F">
        <w:rPr>
          <w:rFonts w:ascii="Times New Roman" w:hAnsi="Times New Roman" w:cs="Times New Roman"/>
          <w:sz w:val="24"/>
          <w:szCs w:val="24"/>
        </w:rPr>
        <w:t>, a nie jak ich uczeni w Piśmie”</w:t>
      </w:r>
      <w:r w:rsidRPr="00044A55">
        <w:rPr>
          <w:rFonts w:ascii="Times New Roman" w:hAnsi="Times New Roman" w:cs="Times New Roman"/>
          <w:sz w:val="24"/>
          <w:szCs w:val="24"/>
        </w:rPr>
        <w:t xml:space="preserve"> (Mt 7,28–29). Zdumienie nie jest jeszcze wiarą, ale </w:t>
      </w:r>
      <w:r w:rsidRPr="00044A55">
        <w:rPr>
          <w:rFonts w:ascii="Times New Roman" w:hAnsi="Times New Roman" w:cs="Times New Roman"/>
          <w:sz w:val="24"/>
          <w:szCs w:val="24"/>
        </w:rPr>
        <w:lastRenderedPageBreak/>
        <w:t>ludzie są pozytywnie poruszeni: rozpoznają sposób nauczania o innej jakości niż</w:t>
      </w:r>
      <w:r w:rsidR="002347DA">
        <w:rPr>
          <w:rFonts w:ascii="Times New Roman" w:hAnsi="Times New Roman" w:cs="Times New Roman"/>
          <w:sz w:val="24"/>
          <w:szCs w:val="24"/>
        </w:rPr>
        <w:t xml:space="preserve"> ten właściwy uczonym w Piśmie, </w:t>
      </w:r>
      <w:r w:rsidRPr="00044A55">
        <w:rPr>
          <w:rFonts w:ascii="Times New Roman" w:hAnsi="Times New Roman" w:cs="Times New Roman"/>
          <w:sz w:val="24"/>
          <w:szCs w:val="24"/>
        </w:rPr>
        <w:t xml:space="preserve"> ponieważ nie wyczerpuje się on w odnawianiu i objaśnianiu świętych tradycji i tekstów</w:t>
      </w:r>
      <w:r w:rsidR="002347DA">
        <w:rPr>
          <w:rFonts w:ascii="Times New Roman" w:hAnsi="Times New Roman" w:cs="Times New Roman"/>
          <w:sz w:val="24"/>
          <w:szCs w:val="24"/>
        </w:rPr>
        <w:t xml:space="preserve">, lecz tworzy coś oryginalnego, </w:t>
      </w:r>
      <w:r w:rsidRPr="00044A55">
        <w:rPr>
          <w:rFonts w:ascii="Times New Roman" w:hAnsi="Times New Roman" w:cs="Times New Roman"/>
          <w:sz w:val="24"/>
          <w:szCs w:val="24"/>
        </w:rPr>
        <w:t xml:space="preserve"> nie przeciw „Prawu i Prorokom</w:t>
      </w:r>
      <w:r w:rsidR="0045019E">
        <w:rPr>
          <w:rFonts w:ascii="Times New Roman" w:hAnsi="Times New Roman" w:cs="Times New Roman"/>
          <w:sz w:val="24"/>
          <w:szCs w:val="24"/>
        </w:rPr>
        <w:t xml:space="preserve">”, </w:t>
      </w:r>
      <w:r w:rsidRPr="00044A55">
        <w:rPr>
          <w:rFonts w:ascii="Times New Roman" w:hAnsi="Times New Roman" w:cs="Times New Roman"/>
          <w:sz w:val="24"/>
          <w:szCs w:val="24"/>
        </w:rPr>
        <w:t xml:space="preserve"> lecz w zgodzie z nimi, a zarazem tak głęboko w nie wnikając i tak daleko je przekraczając, że objawia się pełnia sprawiedliwości (Mt 5,17–20), w znaku królestwa niebieskiego, które się przybliżyło (Mt 4,17)</w:t>
      </w:r>
      <w:r w:rsidR="009A6282" w:rsidRPr="00044A55">
        <w:rPr>
          <w:rStyle w:val="FootnoteReference"/>
          <w:rFonts w:ascii="Times New Roman" w:hAnsi="Times New Roman" w:cs="Times New Roman"/>
          <w:sz w:val="24"/>
          <w:szCs w:val="24"/>
        </w:rPr>
        <w:footnoteReference w:id="1"/>
      </w:r>
      <w:r w:rsidRPr="00044A55">
        <w:rPr>
          <w:rFonts w:ascii="Times New Roman" w:hAnsi="Times New Roman" w:cs="Times New Roman"/>
          <w:sz w:val="24"/>
          <w:szCs w:val="24"/>
        </w:rPr>
        <w:t>.</w:t>
      </w:r>
    </w:p>
    <w:p w14:paraId="0589E851" w14:textId="77777777" w:rsidR="0045019E" w:rsidRDefault="008B0BD0" w:rsidP="003B0D35">
      <w:pPr>
        <w:spacing w:after="0" w:line="240" w:lineRule="auto"/>
        <w:ind w:firstLine="708"/>
        <w:jc w:val="both"/>
        <w:rPr>
          <w:rFonts w:ascii="Times New Roman" w:hAnsi="Times New Roman" w:cs="Times New Roman"/>
          <w:sz w:val="24"/>
          <w:szCs w:val="24"/>
        </w:rPr>
      </w:pPr>
      <w:r w:rsidRPr="00044A55">
        <w:rPr>
          <w:rFonts w:ascii="Times New Roman" w:hAnsi="Times New Roman" w:cs="Times New Roman"/>
          <w:sz w:val="24"/>
          <w:szCs w:val="24"/>
        </w:rPr>
        <w:t>Jacob Neusner, znany judaista z Nowego Jorku, wyobraził sobie</w:t>
      </w:r>
      <w:r w:rsidRPr="00044A55">
        <w:rPr>
          <w:rStyle w:val="FootnoteReference"/>
          <w:rFonts w:ascii="Times New Roman" w:hAnsi="Times New Roman" w:cs="Times New Roman"/>
          <w:sz w:val="24"/>
          <w:szCs w:val="24"/>
        </w:rPr>
        <w:footnoteReference w:id="2"/>
      </w:r>
      <w:r w:rsidRPr="00044A55">
        <w:rPr>
          <w:rFonts w:ascii="Times New Roman" w:hAnsi="Times New Roman" w:cs="Times New Roman"/>
          <w:sz w:val="24"/>
          <w:szCs w:val="24"/>
        </w:rPr>
        <w:t>, że stał u stóp góry i sły</w:t>
      </w:r>
      <w:r w:rsidR="00044A55">
        <w:rPr>
          <w:rFonts w:ascii="Times New Roman" w:hAnsi="Times New Roman" w:cs="Times New Roman"/>
          <w:sz w:val="24"/>
          <w:szCs w:val="24"/>
        </w:rPr>
        <w:t xml:space="preserve">szał słowa Jezusa, a następnie,  głęboko poruszony, </w:t>
      </w:r>
      <w:r w:rsidRPr="00044A55">
        <w:rPr>
          <w:rFonts w:ascii="Times New Roman" w:hAnsi="Times New Roman" w:cs="Times New Roman"/>
          <w:sz w:val="24"/>
          <w:szCs w:val="24"/>
        </w:rPr>
        <w:t xml:space="preserve"> poszedł do swojego rabina, aby mu o tym opowiedzieć. Ten zadał mu tylko dwa pytania: „C</w:t>
      </w:r>
      <w:r w:rsidR="0045019E">
        <w:rPr>
          <w:rFonts w:ascii="Times New Roman" w:hAnsi="Times New Roman" w:cs="Times New Roman"/>
          <w:sz w:val="24"/>
          <w:szCs w:val="24"/>
        </w:rPr>
        <w:t xml:space="preserve">o pominął?” Odpowiedź: „Nic”.  </w:t>
      </w:r>
      <w:r w:rsidRPr="00044A55">
        <w:rPr>
          <w:rFonts w:ascii="Times New Roman" w:hAnsi="Times New Roman" w:cs="Times New Roman"/>
          <w:sz w:val="24"/>
          <w:szCs w:val="24"/>
        </w:rPr>
        <w:t>„Co więc dodał?” Odpowiedź Jacoba: „Samego siebie</w:t>
      </w:r>
      <w:r w:rsidR="0045019E">
        <w:rPr>
          <w:rFonts w:ascii="Times New Roman" w:hAnsi="Times New Roman" w:cs="Times New Roman"/>
          <w:sz w:val="24"/>
          <w:szCs w:val="24"/>
        </w:rPr>
        <w:t>”.</w:t>
      </w:r>
      <w:r w:rsidRPr="00044A55">
        <w:rPr>
          <w:rFonts w:ascii="Times New Roman" w:hAnsi="Times New Roman" w:cs="Times New Roman"/>
          <w:sz w:val="24"/>
          <w:szCs w:val="24"/>
        </w:rPr>
        <w:t xml:space="preserve"> Na to rabin powiedział tylko: „Och!” Prowokacja została uchwycona: w Kazaniu na Górze nie rozwija się wprost żadnej chrystologii, lecz zapewnienie i roszczenie Jezusa są takie, jakie mogą pochodzić jedynie od Boga. Joseph Ratzinger w dialogu z Jacobem Neusnerem podkreślił prowokacyjny cha</w:t>
      </w:r>
      <w:r w:rsidR="0045019E">
        <w:rPr>
          <w:rFonts w:ascii="Times New Roman" w:hAnsi="Times New Roman" w:cs="Times New Roman"/>
          <w:sz w:val="24"/>
          <w:szCs w:val="24"/>
        </w:rPr>
        <w:t xml:space="preserve">rakter roszczenia Jezusa, </w:t>
      </w:r>
      <w:r w:rsidRPr="00044A55">
        <w:rPr>
          <w:rFonts w:ascii="Times New Roman" w:hAnsi="Times New Roman" w:cs="Times New Roman"/>
          <w:sz w:val="24"/>
          <w:szCs w:val="24"/>
        </w:rPr>
        <w:t xml:space="preserve"> ale (słusznie) postawił znak zapytania przy słowie „dodał”:</w:t>
      </w:r>
      <w:r w:rsidR="0045019E">
        <w:rPr>
          <w:rFonts w:ascii="Times New Roman" w:hAnsi="Times New Roman" w:cs="Times New Roman"/>
          <w:sz w:val="24"/>
          <w:szCs w:val="24"/>
        </w:rPr>
        <w:t xml:space="preserve"> </w:t>
      </w:r>
      <w:r w:rsidR="00996436" w:rsidRPr="0045019E">
        <w:rPr>
          <w:rFonts w:ascii="Times New Roman" w:hAnsi="Times New Roman" w:cs="Times New Roman"/>
          <w:sz w:val="24"/>
          <w:szCs w:val="24"/>
        </w:rPr>
        <w:t>Jezus utożsamiał się z ludem Bożym i Słowem Bożym</w:t>
      </w:r>
      <w:r w:rsidR="0045019E">
        <w:rPr>
          <w:rStyle w:val="FootnoteReference"/>
          <w:rFonts w:ascii="Times New Roman" w:hAnsi="Times New Roman" w:cs="Times New Roman"/>
          <w:sz w:val="24"/>
          <w:szCs w:val="24"/>
        </w:rPr>
        <w:footnoteReference w:id="3"/>
      </w:r>
      <w:r w:rsidR="00996436" w:rsidRPr="0045019E">
        <w:rPr>
          <w:rFonts w:ascii="Times New Roman" w:hAnsi="Times New Roman" w:cs="Times New Roman"/>
          <w:sz w:val="24"/>
          <w:szCs w:val="24"/>
        </w:rPr>
        <w:t>. Jego roszczenie nie staje się mniejsze przez to monoteistyczne doprecyzowanie, lecz większe. Jego władza jest władzą Boga, a Jego posłannictwo całkowicie ludzkie. Gdyby bez zastrzeżeń nie podzielił ubóstwa, niskości, głodu i pragnienia ludzi, Dobra No</w:t>
      </w:r>
      <w:r w:rsidR="00E64169">
        <w:rPr>
          <w:rFonts w:ascii="Times New Roman" w:hAnsi="Times New Roman" w:cs="Times New Roman"/>
          <w:sz w:val="24"/>
          <w:szCs w:val="24"/>
        </w:rPr>
        <w:t xml:space="preserve">wina nie stałaby się skuteczna, </w:t>
      </w:r>
      <w:r w:rsidR="00996436" w:rsidRPr="0045019E">
        <w:rPr>
          <w:rFonts w:ascii="Times New Roman" w:hAnsi="Times New Roman" w:cs="Times New Roman"/>
          <w:sz w:val="24"/>
          <w:szCs w:val="24"/>
        </w:rPr>
        <w:t>a gdyby nie przemawiał i nie działał w autorytecie Boga, Jego człowieczeństwo pozostałoby wprawdzie pełnym miłości, lecz bezsilnym gestem. </w:t>
      </w:r>
    </w:p>
    <w:p w14:paraId="16A218E9" w14:textId="77777777" w:rsidR="008B0BD0" w:rsidRPr="0045019E" w:rsidRDefault="00996436" w:rsidP="003B0D35">
      <w:pPr>
        <w:spacing w:after="0" w:line="240" w:lineRule="auto"/>
        <w:ind w:firstLine="708"/>
        <w:jc w:val="both"/>
        <w:rPr>
          <w:rFonts w:ascii="Times New Roman" w:hAnsi="Times New Roman" w:cs="Times New Roman"/>
          <w:sz w:val="24"/>
          <w:szCs w:val="24"/>
        </w:rPr>
      </w:pPr>
      <w:r w:rsidRPr="0045019E">
        <w:rPr>
          <w:rFonts w:ascii="Times New Roman" w:hAnsi="Times New Roman" w:cs="Times New Roman"/>
          <w:sz w:val="24"/>
          <w:szCs w:val="24"/>
        </w:rPr>
        <w:t>W paschalnym spojrzeniu wstecz Ewangelie w</w:t>
      </w:r>
      <w:r w:rsidR="00317E0F">
        <w:rPr>
          <w:rFonts w:ascii="Times New Roman" w:hAnsi="Times New Roman" w:cs="Times New Roman"/>
          <w:sz w:val="24"/>
          <w:szCs w:val="24"/>
        </w:rPr>
        <w:t>ydobywają pełnię władzy Jezusa</w:t>
      </w:r>
      <w:r w:rsidR="006A2F0F">
        <w:rPr>
          <w:rStyle w:val="FootnoteReference"/>
          <w:rFonts w:ascii="Times New Roman" w:hAnsi="Times New Roman" w:cs="Times New Roman"/>
          <w:sz w:val="24"/>
          <w:szCs w:val="24"/>
        </w:rPr>
        <w:footnoteReference w:id="4"/>
      </w:r>
      <w:r w:rsidR="00317E0F">
        <w:rPr>
          <w:rFonts w:ascii="Times New Roman" w:hAnsi="Times New Roman" w:cs="Times New Roman"/>
          <w:sz w:val="24"/>
          <w:szCs w:val="24"/>
        </w:rPr>
        <w:t xml:space="preserve"> </w:t>
      </w:r>
      <w:r w:rsidRPr="0045019E">
        <w:rPr>
          <w:rFonts w:ascii="Times New Roman" w:hAnsi="Times New Roman" w:cs="Times New Roman"/>
          <w:sz w:val="24"/>
          <w:szCs w:val="24"/>
        </w:rPr>
        <w:t xml:space="preserve"> i ukazują ją w napięciu wobec Jego bezsilności, która potwierdziła się na krzyżu. Podkreślają krytykę władzy Jezusa, aby w sprzeciwie ukazać wielkość i głębię, surowość i dobroć pytania o wiarę, które Jezus stawia. Opowiadają, jak Jezus wzywa swoich uczniów do służby w naśladowaniu, by wyjaśnić, że Jego władza nie jest odległym wspomnieniem, lecz żywą obecnością, a zarazem staje się nieustanną pokusą, przed którą uchronić może tylko Bóg. Synoptycy zbudowali te trzy </w:t>
      </w:r>
      <w:r w:rsidR="00E64169">
        <w:rPr>
          <w:rFonts w:ascii="Times New Roman" w:hAnsi="Times New Roman" w:cs="Times New Roman"/>
          <w:sz w:val="24"/>
          <w:szCs w:val="24"/>
        </w:rPr>
        <w:t>linie</w:t>
      </w:r>
      <w:r w:rsidRPr="0045019E">
        <w:rPr>
          <w:rFonts w:ascii="Times New Roman" w:hAnsi="Times New Roman" w:cs="Times New Roman"/>
          <w:sz w:val="24"/>
          <w:szCs w:val="24"/>
        </w:rPr>
        <w:t xml:space="preserve"> napięcia, a Jan je podjął i pogłębił.</w:t>
      </w:r>
    </w:p>
    <w:p w14:paraId="63A25FEF" w14:textId="77777777" w:rsidR="00996436" w:rsidRDefault="00996436" w:rsidP="003B0D35">
      <w:pPr>
        <w:spacing w:after="0" w:line="240" w:lineRule="auto"/>
        <w:rPr>
          <w:rFonts w:ascii="Times New Roman" w:eastAsia="Times New Roman" w:hAnsi="Times New Roman" w:cs="Times New Roman"/>
          <w:sz w:val="19"/>
          <w:szCs w:val="19"/>
        </w:rPr>
      </w:pPr>
    </w:p>
    <w:p w14:paraId="674743FD" w14:textId="77777777" w:rsidR="00996436" w:rsidRDefault="00996436" w:rsidP="003B0D35">
      <w:pPr>
        <w:spacing w:after="0" w:line="240" w:lineRule="auto"/>
        <w:rPr>
          <w:rFonts w:ascii="Times New Roman" w:eastAsia="Times New Roman" w:hAnsi="Times New Roman" w:cs="Times New Roman"/>
          <w:sz w:val="19"/>
          <w:szCs w:val="19"/>
        </w:rPr>
      </w:pPr>
    </w:p>
    <w:p w14:paraId="34083DE4" w14:textId="77777777" w:rsidR="00996436" w:rsidRPr="00AF5B6B" w:rsidRDefault="00996436" w:rsidP="003B0D35">
      <w:pPr>
        <w:pStyle w:val="ListParagraph"/>
        <w:numPr>
          <w:ilvl w:val="0"/>
          <w:numId w:val="1"/>
        </w:numPr>
        <w:spacing w:after="0" w:line="240" w:lineRule="auto"/>
        <w:ind w:hanging="11"/>
        <w:jc w:val="both"/>
        <w:rPr>
          <w:rFonts w:ascii="Times New Roman" w:eastAsia="Times New Roman" w:hAnsi="Times New Roman" w:cs="Times New Roman"/>
          <w:b/>
          <w:bCs/>
          <w:sz w:val="24"/>
          <w:szCs w:val="24"/>
        </w:rPr>
      </w:pPr>
      <w:r w:rsidRPr="00AF5B6B">
        <w:rPr>
          <w:rFonts w:ascii="Times New Roman" w:eastAsia="Times New Roman" w:hAnsi="Times New Roman" w:cs="Times New Roman"/>
          <w:b/>
          <w:bCs/>
          <w:sz w:val="24"/>
          <w:szCs w:val="24"/>
        </w:rPr>
        <w:t>Roszczenie</w:t>
      </w:r>
    </w:p>
    <w:p w14:paraId="3B3B2CC5" w14:textId="77777777" w:rsidR="008D0E79" w:rsidRPr="008D0E79" w:rsidRDefault="008D0E79" w:rsidP="003B0D35">
      <w:pPr>
        <w:spacing w:after="0" w:line="240" w:lineRule="auto"/>
        <w:ind w:left="360"/>
        <w:jc w:val="both"/>
        <w:rPr>
          <w:rFonts w:ascii="Times New Roman" w:eastAsia="Times New Roman" w:hAnsi="Times New Roman" w:cs="Times New Roman"/>
          <w:sz w:val="24"/>
          <w:szCs w:val="24"/>
        </w:rPr>
      </w:pPr>
    </w:p>
    <w:p w14:paraId="68314C58" w14:textId="77777777" w:rsidR="00F82283" w:rsidRDefault="00996436" w:rsidP="003B0D35">
      <w:pPr>
        <w:spacing w:after="0" w:line="240" w:lineRule="auto"/>
        <w:ind w:firstLine="708"/>
        <w:jc w:val="both"/>
        <w:rPr>
          <w:rFonts w:ascii="Times New Roman" w:eastAsia="Times New Roman" w:hAnsi="Times New Roman" w:cs="Times New Roman"/>
          <w:sz w:val="24"/>
          <w:szCs w:val="24"/>
        </w:rPr>
      </w:pPr>
      <w:r w:rsidRPr="00996436">
        <w:rPr>
          <w:rFonts w:ascii="Times New Roman" w:eastAsia="Times New Roman" w:hAnsi="Times New Roman" w:cs="Times New Roman"/>
          <w:sz w:val="24"/>
          <w:szCs w:val="24"/>
        </w:rPr>
        <w:t xml:space="preserve">Biblijnym słowem kluczowym jest </w:t>
      </w:r>
      <w:r w:rsidRPr="00996436">
        <w:rPr>
          <w:rFonts w:ascii="Times New Roman" w:eastAsia="Times New Roman" w:hAnsi="Times New Roman" w:cs="Times New Roman"/>
          <w:i/>
          <w:iCs/>
          <w:sz w:val="24"/>
          <w:szCs w:val="24"/>
        </w:rPr>
        <w:t>exousía</w:t>
      </w:r>
      <w:r w:rsidRPr="00996436">
        <w:rPr>
          <w:rFonts w:ascii="Times New Roman" w:eastAsia="Times New Roman" w:hAnsi="Times New Roman" w:cs="Times New Roman"/>
          <w:sz w:val="24"/>
          <w:szCs w:val="24"/>
        </w:rPr>
        <w:t xml:space="preserve">. Przyjętym niemieckim tłumaczeniem we wszystkich wyznaniach jest: </w:t>
      </w:r>
      <w:r w:rsidRPr="00996436">
        <w:rPr>
          <w:rFonts w:ascii="Times New Roman" w:eastAsia="Times New Roman" w:hAnsi="Times New Roman" w:cs="Times New Roman"/>
          <w:bCs/>
          <w:sz w:val="24"/>
          <w:szCs w:val="24"/>
        </w:rPr>
        <w:t>Vollmacht</w:t>
      </w:r>
      <w:r w:rsidRPr="00996436">
        <w:rPr>
          <w:rFonts w:ascii="Times New Roman" w:eastAsia="Times New Roman" w:hAnsi="Times New Roman" w:cs="Times New Roman"/>
          <w:sz w:val="24"/>
          <w:szCs w:val="24"/>
        </w:rPr>
        <w:t xml:space="preserve"> (pełnomocnictwo / władza). Angielskie Biblie wahają się między </w:t>
      </w:r>
      <w:r w:rsidRPr="00996436">
        <w:rPr>
          <w:rFonts w:ascii="Times New Roman" w:eastAsia="Times New Roman" w:hAnsi="Times New Roman" w:cs="Times New Roman"/>
          <w:i/>
          <w:iCs/>
          <w:sz w:val="24"/>
          <w:szCs w:val="24"/>
        </w:rPr>
        <w:t>power</w:t>
      </w:r>
      <w:r w:rsidRPr="00996436">
        <w:rPr>
          <w:rFonts w:ascii="Times New Roman" w:eastAsia="Times New Roman" w:hAnsi="Times New Roman" w:cs="Times New Roman"/>
          <w:sz w:val="24"/>
          <w:szCs w:val="24"/>
        </w:rPr>
        <w:t xml:space="preserve"> a </w:t>
      </w:r>
      <w:r w:rsidRPr="00996436">
        <w:rPr>
          <w:rFonts w:ascii="Times New Roman" w:eastAsia="Times New Roman" w:hAnsi="Times New Roman" w:cs="Times New Roman"/>
          <w:i/>
          <w:iCs/>
          <w:sz w:val="24"/>
          <w:szCs w:val="24"/>
        </w:rPr>
        <w:t>authority</w:t>
      </w:r>
      <w:r w:rsidRPr="00996436">
        <w:rPr>
          <w:rFonts w:ascii="Times New Roman" w:eastAsia="Times New Roman" w:hAnsi="Times New Roman" w:cs="Times New Roman"/>
          <w:sz w:val="24"/>
          <w:szCs w:val="24"/>
        </w:rPr>
        <w:t xml:space="preserve">. Wulgata ma </w:t>
      </w:r>
      <w:r w:rsidRPr="00996436">
        <w:rPr>
          <w:rFonts w:ascii="Times New Roman" w:eastAsia="Times New Roman" w:hAnsi="Times New Roman" w:cs="Times New Roman"/>
          <w:i/>
          <w:iCs/>
          <w:sz w:val="24"/>
          <w:szCs w:val="24"/>
        </w:rPr>
        <w:t>potestas</w:t>
      </w:r>
      <w:r w:rsidRPr="00996436">
        <w:rPr>
          <w:rFonts w:ascii="Times New Roman" w:eastAsia="Times New Roman" w:hAnsi="Times New Roman" w:cs="Times New Roman"/>
          <w:sz w:val="24"/>
          <w:szCs w:val="24"/>
        </w:rPr>
        <w:t xml:space="preserve">. Jest to być może najlepsze oddanie: </w:t>
      </w:r>
      <w:r w:rsidRPr="00996436">
        <w:rPr>
          <w:rFonts w:ascii="Times New Roman" w:eastAsia="Times New Roman" w:hAnsi="Times New Roman" w:cs="Times New Roman"/>
          <w:i/>
          <w:iCs/>
          <w:sz w:val="24"/>
          <w:szCs w:val="24"/>
        </w:rPr>
        <w:t>exousía</w:t>
      </w:r>
      <w:r w:rsidRPr="00996436">
        <w:rPr>
          <w:rFonts w:ascii="Times New Roman" w:eastAsia="Times New Roman" w:hAnsi="Times New Roman" w:cs="Times New Roman"/>
          <w:sz w:val="24"/>
          <w:szCs w:val="24"/>
        </w:rPr>
        <w:t xml:space="preserve"> oznacza możność, która jest uprawniona; prawo, które jest wolnością; kompetencję, która jest charyzmatem. Odpowiedni grecki czasownik </w:t>
      </w:r>
      <w:r w:rsidRPr="00996436">
        <w:rPr>
          <w:rFonts w:ascii="Times New Roman" w:eastAsia="Times New Roman" w:hAnsi="Times New Roman" w:cs="Times New Roman"/>
          <w:i/>
          <w:iCs/>
          <w:sz w:val="24"/>
          <w:szCs w:val="24"/>
        </w:rPr>
        <w:t>éxestin</w:t>
      </w:r>
      <w:r w:rsidRPr="00996436">
        <w:rPr>
          <w:rFonts w:ascii="Times New Roman" w:eastAsia="Times New Roman" w:hAnsi="Times New Roman" w:cs="Times New Roman"/>
          <w:sz w:val="24"/>
          <w:szCs w:val="24"/>
        </w:rPr>
        <w:t xml:space="preserve"> opisuje to, co jest dozwolone i prawnie uzasadnione.</w:t>
      </w:r>
      <w:r w:rsidR="00F82283">
        <w:rPr>
          <w:rFonts w:ascii="Times New Roman" w:eastAsia="Times New Roman" w:hAnsi="Times New Roman" w:cs="Times New Roman"/>
          <w:sz w:val="24"/>
          <w:szCs w:val="24"/>
        </w:rPr>
        <w:t xml:space="preserve"> </w:t>
      </w:r>
      <w:r w:rsidRPr="00996436">
        <w:rPr>
          <w:rFonts w:ascii="Times New Roman" w:eastAsia="Times New Roman" w:hAnsi="Times New Roman" w:cs="Times New Roman"/>
          <w:sz w:val="24"/>
          <w:szCs w:val="24"/>
        </w:rPr>
        <w:t xml:space="preserve">Ten, kto ma </w:t>
      </w:r>
      <w:r w:rsidRPr="00996436">
        <w:rPr>
          <w:rFonts w:ascii="Times New Roman" w:eastAsia="Times New Roman" w:hAnsi="Times New Roman" w:cs="Times New Roman"/>
          <w:i/>
          <w:iCs/>
          <w:sz w:val="24"/>
          <w:szCs w:val="24"/>
        </w:rPr>
        <w:t>exousía</w:t>
      </w:r>
      <w:r w:rsidRPr="00996436">
        <w:rPr>
          <w:rFonts w:ascii="Times New Roman" w:eastAsia="Times New Roman" w:hAnsi="Times New Roman" w:cs="Times New Roman"/>
          <w:sz w:val="24"/>
          <w:szCs w:val="24"/>
        </w:rPr>
        <w:t>, podąża bez przymusu za powierzoną misją: w przypadku Jezusa za posłani</w:t>
      </w:r>
      <w:r w:rsidR="00F82283">
        <w:rPr>
          <w:rFonts w:ascii="Times New Roman" w:eastAsia="Times New Roman" w:hAnsi="Times New Roman" w:cs="Times New Roman"/>
          <w:sz w:val="24"/>
          <w:szCs w:val="24"/>
        </w:rPr>
        <w:t>em Boga, a w przypadku uczniów</w:t>
      </w:r>
      <w:r w:rsidRPr="00996436">
        <w:rPr>
          <w:rFonts w:ascii="Times New Roman" w:eastAsia="Times New Roman" w:hAnsi="Times New Roman" w:cs="Times New Roman"/>
          <w:sz w:val="24"/>
          <w:szCs w:val="24"/>
        </w:rPr>
        <w:t xml:space="preserve"> za misją Jezusa. Jezus ma upoważnienie, by głosić Ewangelię Boga o królestwie Bożym (Mk 1,15; Mt 4,17; por. Łk 21,31); utożsamia się z Bogiem i Jego słowem w taki sposób, że jest to Jego władza, Jego prawo i Jego wolność, za które ręczy własnym życiem. </w:t>
      </w:r>
    </w:p>
    <w:p w14:paraId="464AB073" w14:textId="77777777" w:rsidR="006A2F0F" w:rsidRDefault="00996436" w:rsidP="003B0D35">
      <w:pPr>
        <w:spacing w:after="0" w:line="240" w:lineRule="auto"/>
        <w:ind w:firstLine="708"/>
        <w:jc w:val="both"/>
        <w:rPr>
          <w:rFonts w:ascii="Times New Roman" w:eastAsia="Times New Roman" w:hAnsi="Times New Roman" w:cs="Times New Roman"/>
          <w:sz w:val="24"/>
          <w:szCs w:val="24"/>
        </w:rPr>
      </w:pPr>
      <w:r w:rsidRPr="00996436">
        <w:rPr>
          <w:rFonts w:ascii="Times New Roman" w:eastAsia="Times New Roman" w:hAnsi="Times New Roman" w:cs="Times New Roman"/>
          <w:sz w:val="24"/>
          <w:szCs w:val="24"/>
        </w:rPr>
        <w:t>Dla Marka, Mateusza i Łukasza władza Jezusa zawsze dot</w:t>
      </w:r>
      <w:r w:rsidR="00FD31D5">
        <w:rPr>
          <w:rFonts w:ascii="Times New Roman" w:eastAsia="Times New Roman" w:hAnsi="Times New Roman" w:cs="Times New Roman"/>
          <w:sz w:val="24"/>
          <w:szCs w:val="24"/>
        </w:rPr>
        <w:t>yczy obietnicy i wyzwolenia Bożego</w:t>
      </w:r>
      <w:r w:rsidRPr="00996436">
        <w:rPr>
          <w:rFonts w:ascii="Times New Roman" w:eastAsia="Times New Roman" w:hAnsi="Times New Roman" w:cs="Times New Roman"/>
          <w:sz w:val="24"/>
          <w:szCs w:val="24"/>
        </w:rPr>
        <w:t>, zawsze</w:t>
      </w:r>
      <w:r w:rsidR="00FD31D5">
        <w:rPr>
          <w:rFonts w:ascii="Times New Roman" w:eastAsia="Times New Roman" w:hAnsi="Times New Roman" w:cs="Times New Roman"/>
          <w:sz w:val="24"/>
          <w:szCs w:val="24"/>
        </w:rPr>
        <w:t xml:space="preserve"> chodzi o </w:t>
      </w:r>
      <w:r w:rsidR="00FD31D5" w:rsidRPr="00C03BFA">
        <w:rPr>
          <w:rFonts w:ascii="Times New Roman" w:eastAsia="Times New Roman" w:hAnsi="Times New Roman" w:cs="Times New Roman"/>
          <w:i/>
          <w:iCs/>
          <w:sz w:val="24"/>
          <w:szCs w:val="24"/>
        </w:rPr>
        <w:t>kairos</w:t>
      </w:r>
      <w:r w:rsidRPr="00996436">
        <w:rPr>
          <w:rFonts w:ascii="Times New Roman" w:eastAsia="Times New Roman" w:hAnsi="Times New Roman" w:cs="Times New Roman"/>
          <w:sz w:val="24"/>
          <w:szCs w:val="24"/>
        </w:rPr>
        <w:t xml:space="preserve"> Jego obecności, zawsze</w:t>
      </w:r>
      <w:r w:rsidR="00FD31D5">
        <w:rPr>
          <w:rFonts w:ascii="Times New Roman" w:eastAsia="Times New Roman" w:hAnsi="Times New Roman" w:cs="Times New Roman"/>
          <w:sz w:val="24"/>
          <w:szCs w:val="24"/>
        </w:rPr>
        <w:t xml:space="preserve"> o</w:t>
      </w:r>
      <w:r w:rsidRPr="00996436">
        <w:rPr>
          <w:rFonts w:ascii="Times New Roman" w:eastAsia="Times New Roman" w:hAnsi="Times New Roman" w:cs="Times New Roman"/>
          <w:sz w:val="24"/>
          <w:szCs w:val="24"/>
        </w:rPr>
        <w:t xml:space="preserve"> ot</w:t>
      </w:r>
      <w:r w:rsidR="00FD31D5">
        <w:rPr>
          <w:rFonts w:ascii="Times New Roman" w:eastAsia="Times New Roman" w:hAnsi="Times New Roman" w:cs="Times New Roman"/>
          <w:sz w:val="24"/>
          <w:szCs w:val="24"/>
        </w:rPr>
        <w:t>warcie</w:t>
      </w:r>
      <w:r w:rsidRPr="00996436">
        <w:rPr>
          <w:rFonts w:ascii="Times New Roman" w:eastAsia="Times New Roman" w:hAnsi="Times New Roman" w:cs="Times New Roman"/>
          <w:sz w:val="24"/>
          <w:szCs w:val="24"/>
        </w:rPr>
        <w:t xml:space="preserve"> świata na królestwo Boże. </w:t>
      </w:r>
      <w:r w:rsidRPr="00996436">
        <w:rPr>
          <w:rFonts w:ascii="Times New Roman" w:eastAsia="Times New Roman" w:hAnsi="Times New Roman" w:cs="Times New Roman"/>
          <w:sz w:val="24"/>
          <w:szCs w:val="24"/>
        </w:rPr>
        <w:lastRenderedPageBreak/>
        <w:t>W centrum uwagi stoi imponujące nauczanie Jezusa: Jego zdolność do głoszenia słowa Bożego i nauczania prawdy Bożej (Mk 1,22; Mt 7,29; Łk 4,32); zostaje ukazana Jego obietnica odpuszczania grzechów na ziemi jako Syn Człowieczy (Mk 2,5; Mt 9,6; Łk 5,24), a także – w sposób szczególnie wyrazisty – Jego przewrót w świątyni (Mk 11,15–19; Mt 21,12–17; Łk 19,45–48; por. J 2,13–16), który z „jaskini zbójców” (Jr 7,11) czyni „dom modlitwy” (Iz 56,7) (Mk 11,27–33; Mt 21,23–27; Łk 20,1–8).</w:t>
      </w:r>
    </w:p>
    <w:p w14:paraId="3A5FF582" w14:textId="77777777" w:rsidR="006C38AD" w:rsidRDefault="00996436" w:rsidP="003B0D35">
      <w:pPr>
        <w:spacing w:after="0" w:line="240" w:lineRule="auto"/>
        <w:ind w:firstLine="708"/>
        <w:jc w:val="both"/>
        <w:rPr>
          <w:rFonts w:ascii="Times New Roman" w:eastAsia="Times New Roman" w:hAnsi="Times New Roman" w:cs="Times New Roman"/>
          <w:sz w:val="24"/>
          <w:szCs w:val="24"/>
        </w:rPr>
      </w:pPr>
      <w:r w:rsidRPr="00996436">
        <w:rPr>
          <w:rFonts w:ascii="Times New Roman" w:eastAsia="Times New Roman" w:hAnsi="Times New Roman" w:cs="Times New Roman"/>
          <w:sz w:val="24"/>
          <w:szCs w:val="24"/>
        </w:rPr>
        <w:t>Setnik z Kafarnaum, który prosi Jezusa o uzdrowienie swego chorego sługi (Mt 8,5–13; Łk 7,1–10), a jako poganin zachowuje pełen szacunku dystans wobec Żyda Jezusa, znajduje właściwe porównanie. Wyznaje swoje zaufanie: „Powiedz tylko słowo, a mój sługa będzie uzdrowiony” (Mt 8,8; Łk 7,7). Uzasadnia je swoim doświadczeniem zawodowym: „Bo i ja jestem człowiekiem podległym władzy, a mam pod sobą żołnierzy; i mówię temu: «dź» – a idzie; innemu: «Przyjdź» – a przychodzi; a mojemu słudze: «Zrób to» – a robi” (Mt 8,9; Łk 7,8).</w:t>
      </w:r>
      <w:r w:rsidR="006A2F0F">
        <w:rPr>
          <w:rFonts w:ascii="Times New Roman" w:eastAsia="Times New Roman" w:hAnsi="Times New Roman" w:cs="Times New Roman"/>
          <w:sz w:val="24"/>
          <w:szCs w:val="24"/>
        </w:rPr>
        <w:t xml:space="preserve"> </w:t>
      </w:r>
      <w:r w:rsidRPr="00996436">
        <w:rPr>
          <w:rFonts w:ascii="Times New Roman" w:eastAsia="Times New Roman" w:hAnsi="Times New Roman" w:cs="Times New Roman"/>
          <w:sz w:val="24"/>
          <w:szCs w:val="24"/>
        </w:rPr>
        <w:t>Ten człowiek wie, że Jezus przychodzi z posłania Boga i dlatego może sprawować władzę</w:t>
      </w:r>
      <w:r w:rsidR="006A2F0F">
        <w:rPr>
          <w:rStyle w:val="FootnoteReference"/>
          <w:rFonts w:ascii="Times New Roman" w:eastAsia="Times New Roman" w:hAnsi="Times New Roman" w:cs="Times New Roman"/>
          <w:sz w:val="24"/>
          <w:szCs w:val="24"/>
        </w:rPr>
        <w:footnoteReference w:id="5"/>
      </w:r>
      <w:r w:rsidRPr="00996436">
        <w:rPr>
          <w:rFonts w:ascii="Times New Roman" w:eastAsia="Times New Roman" w:hAnsi="Times New Roman" w:cs="Times New Roman"/>
          <w:sz w:val="24"/>
          <w:szCs w:val="24"/>
        </w:rPr>
        <w:t>.</w:t>
      </w:r>
    </w:p>
    <w:p w14:paraId="0E5A4BE1" w14:textId="77777777" w:rsidR="000C6440" w:rsidRDefault="00996436" w:rsidP="003B0D35">
      <w:pPr>
        <w:spacing w:after="0" w:line="240" w:lineRule="auto"/>
        <w:ind w:firstLine="708"/>
        <w:jc w:val="both"/>
        <w:rPr>
          <w:rFonts w:ascii="Times New Roman" w:eastAsia="Times New Roman" w:hAnsi="Times New Roman" w:cs="Times New Roman"/>
          <w:sz w:val="24"/>
          <w:szCs w:val="24"/>
        </w:rPr>
      </w:pPr>
      <w:r w:rsidRPr="00996436">
        <w:rPr>
          <w:rFonts w:ascii="Times New Roman" w:eastAsia="Times New Roman" w:hAnsi="Times New Roman" w:cs="Times New Roman"/>
          <w:sz w:val="24"/>
          <w:szCs w:val="24"/>
        </w:rPr>
        <w:t>Ta władza Jezusa nie jest jednak nieograniczona. Mateusz jasno ukazuje, że dopiero wskrzeszony</w:t>
      </w:r>
      <w:r w:rsidR="006C38AD">
        <w:rPr>
          <w:rFonts w:ascii="Times New Roman" w:eastAsia="Times New Roman" w:hAnsi="Times New Roman" w:cs="Times New Roman"/>
          <w:sz w:val="24"/>
          <w:szCs w:val="24"/>
        </w:rPr>
        <w:t xml:space="preserve"> Kyrios może powiedzieć: „Dana m</w:t>
      </w:r>
      <w:r w:rsidRPr="00996436">
        <w:rPr>
          <w:rFonts w:ascii="Times New Roman" w:eastAsia="Times New Roman" w:hAnsi="Times New Roman" w:cs="Times New Roman"/>
          <w:sz w:val="24"/>
          <w:szCs w:val="24"/>
        </w:rPr>
        <w:t>i jest wszelka władza w niebie i na ziemi” (Mt 28,18) – ponieważ jako Wywyższony ma pełny udział w wszechmocy, wszechdobroci i wszechwiedzy Boga.</w:t>
      </w:r>
      <w:r w:rsidR="006C38AD">
        <w:rPr>
          <w:rFonts w:ascii="Times New Roman" w:eastAsia="Times New Roman" w:hAnsi="Times New Roman" w:cs="Times New Roman"/>
          <w:sz w:val="24"/>
          <w:szCs w:val="24"/>
        </w:rPr>
        <w:t xml:space="preserve"> </w:t>
      </w:r>
      <w:r w:rsidRPr="00996436">
        <w:rPr>
          <w:rFonts w:ascii="Times New Roman" w:eastAsia="Times New Roman" w:hAnsi="Times New Roman" w:cs="Times New Roman"/>
          <w:sz w:val="24"/>
          <w:szCs w:val="24"/>
        </w:rPr>
        <w:t>Na ziemi wyznaje – według Mateusza, jak i Marka – że nie zna „dnia ani godziny” paruzji – „tylko Ojciec” (Mt 24,36; por. Mk 13,32). W Getsemani doświadcza udręki bezsilności, że jako konsekwencja Jego posłania zostaje Mu przygotowana śmierć (Mk 14,32–42; Mt 26,36–46; Łk 22,39–46).</w:t>
      </w:r>
      <w:r w:rsidR="006C38AD">
        <w:rPr>
          <w:rFonts w:ascii="Times New Roman" w:eastAsia="Times New Roman" w:hAnsi="Times New Roman" w:cs="Times New Roman"/>
          <w:sz w:val="24"/>
          <w:szCs w:val="24"/>
        </w:rPr>
        <w:t xml:space="preserve"> </w:t>
      </w:r>
      <w:r w:rsidRPr="00996436">
        <w:rPr>
          <w:rFonts w:ascii="Times New Roman" w:eastAsia="Times New Roman" w:hAnsi="Times New Roman" w:cs="Times New Roman"/>
          <w:sz w:val="24"/>
          <w:szCs w:val="24"/>
        </w:rPr>
        <w:t>Według Marka i Mateusza umiera z wołaniem skargi cierpiącego Sprawiedliwego: „Boże mój, Boże mój, czemuś Mnie opuścił?” (Mk 15,34; Mt 27,46; Ps 22,2), u Łukasza zaś z wyznaniem ufności: „Ojcze, w Twoje ręce powierzam ducha mojego” (Łk 23,46; Ps 31,6).</w:t>
      </w:r>
    </w:p>
    <w:p w14:paraId="391DAD70" w14:textId="77777777" w:rsidR="000C6440" w:rsidRDefault="000C6440" w:rsidP="003B0D35">
      <w:pPr>
        <w:spacing w:after="0" w:line="240" w:lineRule="auto"/>
        <w:ind w:firstLine="708"/>
        <w:jc w:val="both"/>
        <w:rPr>
          <w:rFonts w:ascii="Times New Roman" w:hAnsi="Times New Roman" w:cs="Times New Roman"/>
          <w:sz w:val="24"/>
          <w:szCs w:val="24"/>
        </w:rPr>
      </w:pPr>
      <w:r w:rsidRPr="000C6440">
        <w:rPr>
          <w:rFonts w:ascii="Times New Roman" w:hAnsi="Times New Roman" w:cs="Times New Roman"/>
          <w:sz w:val="24"/>
          <w:szCs w:val="24"/>
        </w:rPr>
        <w:t>We wszystkich Ewangeliach synoptycznych bezsilność nie dowodzi pustki władzy Jezusa, a władza nie dowodzi pustki Jego bezsilności. Przeciwnie, zbawcze działanie Jego pełnej mocy misji dopełnia się w bezsilności krzyża, ponieważ Jezus oddaje swoje życie „jako okup za wielu” (Mk 10,45; Mt 20,28)</w:t>
      </w:r>
      <w:r w:rsidRPr="000C6440">
        <w:rPr>
          <w:rStyle w:val="FootnoteReference"/>
          <w:rFonts w:ascii="Times New Roman" w:hAnsi="Times New Roman" w:cs="Times New Roman"/>
          <w:sz w:val="24"/>
          <w:szCs w:val="24"/>
        </w:rPr>
        <w:footnoteReference w:id="6"/>
      </w:r>
      <w:r w:rsidRPr="000C6440">
        <w:rPr>
          <w:rFonts w:ascii="Times New Roman" w:hAnsi="Times New Roman" w:cs="Times New Roman"/>
          <w:sz w:val="24"/>
          <w:szCs w:val="24"/>
        </w:rPr>
        <w:t>. Jego władza służy przekazywaniu zbawienia. Jest i pozostaje wolny, nawet gdy zostaje skazany jako bluźnierca (Mk 14,61–63; Mt 26,63–65; por. Łk 22,67–72).</w:t>
      </w:r>
    </w:p>
    <w:p w14:paraId="42936C17" w14:textId="77777777" w:rsidR="00922E9F" w:rsidRDefault="00DB798F" w:rsidP="003B0D35">
      <w:pPr>
        <w:pStyle w:val="NormalWeb"/>
        <w:spacing w:before="0" w:beforeAutospacing="0" w:after="0" w:afterAutospacing="0"/>
        <w:ind w:firstLine="708"/>
        <w:jc w:val="both"/>
      </w:pPr>
      <w:r>
        <w:t>Wszystkie trzy Ewangelie ukazują dialektykę mocy i bezsilności już na wstępie opowiadań o działalności publicznej w scenie kuszenia. To, że Syn Boży zostaje wystawiony na pokusę, kładzie kres wszelkiemu monofizytyzmowi; w Liście do Hebrajczyków jest to jednak uznane za świadectwo prawdziwego człowieczeństwa Jezusa, bez którego nie mógłby On dokonać zbawienia, ponieważ odkupienie opiera się na empatii, na bliskości i uczestnictwie (Hbr 2,18; 4,15). Marek krótko opisuje, jak Jezus odrzuca diabła, aby przemienić pustynię w raj, w biotop Królestwa Bożego (Mk 1,12–13). Mateusz i Łukasz opowiadają (w odmiennej kolejności) trzy archetypiczne sceny, rozgrywające się na pustyni, na „górze” i w świątyni jerozolimskiej (Mt 4,1–11; Łk 4,1–13). Kusiciel zawsze przybiera pozór pobożności i zawsze chce zaatakować Jezusa tam, gdzie rozpoznaje Jego największą siłę, a zarazem największą słabość:</w:t>
      </w:r>
      <w:r w:rsidR="000A186B">
        <w:t xml:space="preserve"> w jego zaangażowaniu na rzecz chleba, na rzecz Królestwa i na rzecz domu Bożego. Łukasz opisuje drugą (u Mateusza: trzecią) pokusę w ten sposób: „Wyprowadził Go w górę i pokazał Mu w jednej chwili wszystkie królestwa świata. I powiedział Mu diabeł: «Tobie dam całą tę władzę i jej przepych, ponieważ została mi przekazana i daję ją, komu chcę. Jeśli więc oddasz mi pokłon, wszystko będzie Twoje»” (Łk </w:t>
      </w:r>
      <w:r w:rsidR="000A186B">
        <w:lastRenderedPageBreak/>
        <w:t>4,5–7). To, że świat idzie na zatracenie, miałoby być cyniczną prawdą, której Jezus – swoim przepowiadaniem o Królestwie Bożym – przecież chce zaprzeczyć; dlatego kusiciel daje Mu ku temu okazję – jeśli tylko uzna go za pana świata. Jezus odpowiada wyznaniem wiary Izraela (Pwt 5,9; 6,13). Jego władza nie jest diabelska, lecz Boża – a dlatego nie jest nieludzka, lecz ludzka. On wyzwala świat od zła.</w:t>
      </w:r>
    </w:p>
    <w:p w14:paraId="2CA6965C" w14:textId="77777777" w:rsidR="00922E9F" w:rsidRDefault="00922E9F" w:rsidP="003B0D35">
      <w:pPr>
        <w:pStyle w:val="NormalWeb"/>
        <w:spacing w:before="0" w:beforeAutospacing="0" w:after="0" w:afterAutospacing="0"/>
        <w:ind w:firstLine="708"/>
        <w:jc w:val="both"/>
      </w:pPr>
      <w:r>
        <w:t xml:space="preserve">U Jana znajdują się trzy pozytywne wypowiedzi Jezusa o Jego </w:t>
      </w:r>
      <w:r>
        <w:rPr>
          <w:rStyle w:val="Emphasis"/>
        </w:rPr>
        <w:t>exousía</w:t>
      </w:r>
      <w:r>
        <w:t>, które określają Jego boskie posłannictwo: ogłasza On, że Bóg, Ojciec, dał Mu, Synowi, „władzę sądzenia” (J 5,27), a więc prawo do surowej krytyki zła, bez której nie ma zbawienia – ani w świecie, ani w Bogu. Jezus głosi, że jako dobry pasterz ma prawo i wolność „oddać swoje życie”, aby ocalić powierzone Mu owce – a więc nie roztrwonić swego życia, lecz przyjąć męczeństwo (J 10,18). W „modlitwie arcykapłańskiej” Jezus rozpoczyna od dziękczynienia za to, że Bóg dał Mu „władzę nad wszelkim ciałem”, aby mógł dać „życie wieczne”, które polega na jedności z Bogiem (J 17,2). We wszystkich tych miejscach</w:t>
      </w:r>
      <w:r>
        <w:rPr>
          <w:rStyle w:val="FootnoteReference"/>
        </w:rPr>
        <w:footnoteReference w:id="7"/>
      </w:r>
      <w:r>
        <w:t xml:space="preserve"> Ewangelia Jana ukazuje się jako kondensacja tradycji synoptycznej.</w:t>
      </w:r>
    </w:p>
    <w:p w14:paraId="0DE2FF66" w14:textId="77777777" w:rsidR="00922E9F" w:rsidRDefault="00922E9F" w:rsidP="003B0D35">
      <w:pPr>
        <w:pStyle w:val="NormalWeb"/>
        <w:spacing w:before="0" w:beforeAutospacing="0" w:after="0" w:afterAutospacing="0"/>
        <w:ind w:firstLine="708"/>
        <w:jc w:val="both"/>
      </w:pPr>
      <w:r>
        <w:t>To, że władza Jezusa jest władzą Boga, zostaje zapowiedziane już w Prologu; ponieważ „Logosowi” Boga przypisuje się to, że „wszystkim, którzy Go przyjęli”, daje „moc”, aby stali się „dziećmi Bożymi” (J 1,12) – co, zależnie od interpretacji, może odnosić się do dzieci Izraela, które odnoszą się do preegzystentnego Słowa, albo do członków wspólnoty chrześcijańskiej, którzy odnoszą się do wcielonego Słowa Bożego.</w:t>
      </w:r>
    </w:p>
    <w:p w14:paraId="586C9377" w14:textId="77777777" w:rsidR="00243119" w:rsidRDefault="00922E9F" w:rsidP="003B0D35">
      <w:pPr>
        <w:pStyle w:val="NormalWeb"/>
        <w:spacing w:before="0" w:beforeAutospacing="0" w:after="0" w:afterAutospacing="0"/>
        <w:ind w:firstLine="708"/>
        <w:jc w:val="both"/>
      </w:pPr>
      <w:r>
        <w:t>Oczywiście Jan nie opowiada o żadnym kuszeniu Jezusa. Nie zna też motywu bezsilności, jak u synoptyków. Ostatnie słowo Jezusa brzmi: „Wykonało się” (J 19,30). Jednak w rozmowie procesowej z Piłatem poruszane jest pytanie o władzę – i odpow</w:t>
      </w:r>
      <w:r w:rsidR="002C5691">
        <w:t xml:space="preserve">iedzią jest </w:t>
      </w:r>
      <w:r>
        <w:t xml:space="preserve"> pytanie o prawdę. Tuż przed wydaniem wyroku z obawy, Piłat rości sobie „władzę” (</w:t>
      </w:r>
      <w:r>
        <w:rPr>
          <w:rStyle w:val="Emphasis"/>
        </w:rPr>
        <w:t>exousía</w:t>
      </w:r>
      <w:r>
        <w:t>), która przysługuje mu jako sędziemu (J 19,10). Jezus ją relatywizuje: „Nie miałbyś nade mną władzy, gdyby nie została ci dana z góry” (J 19,11). Często błędnie tłumaczy się to tak, jakby Jego władza nad życiem i śmiercią była dla Jezusa dana przez Boga, podczas gdy chodzi o relatywizację ludzkiej władzy Piłata wobec boskiego planu.</w:t>
      </w:r>
    </w:p>
    <w:p w14:paraId="58622AE6" w14:textId="77777777" w:rsidR="003A6D19" w:rsidRDefault="00243119" w:rsidP="003B0D35">
      <w:pPr>
        <w:pStyle w:val="NormalWeb"/>
        <w:spacing w:before="0" w:beforeAutospacing="0" w:after="0" w:afterAutospacing="0"/>
        <w:ind w:firstLine="708"/>
        <w:jc w:val="both"/>
      </w:pPr>
      <w:r>
        <w:t>Oskarżony wyjaśnia jednak, że Rzymianin musi przed Bogiem odpowiadać za sposób, w jaki sprawuje swoją władzę. Nie jest ona nielegalna – ale musi służyć sprawiedliwości. Na tym polega porażka Piłata. Jezus natomiast już w wcześniejszej rozmowie powiedział: „Moje Królestwo nie jest z tego świata” (J 18,36) – i wskazał na jakościową różnicę: władzę tę niesie nie siła militarna, lecz autorytet moralny. Opiera się ona na „prawdzie” – która w Ewangelii Jana jest prawdą zbawczą</w:t>
      </w:r>
      <w:r w:rsidR="00647827">
        <w:rPr>
          <w:rStyle w:val="FootnoteReference"/>
        </w:rPr>
        <w:footnoteReference w:id="8"/>
      </w:r>
      <w:r>
        <w:t>. Nawet jeśli Czwarte Ewangelium nie podkreśla słabości Jezusa, Jan w swój sposób wyraził jasno ludzką jakość boskiej władzy Jezusa, jej wykorzystanie dla zbawienia człowieka (J 13,1–20) oraz jej pełnię osiągniętą przez śmierć.</w:t>
      </w:r>
    </w:p>
    <w:p w14:paraId="49149E42" w14:textId="77777777" w:rsidR="003A6D19" w:rsidRDefault="003A6D19" w:rsidP="003B0D35">
      <w:pPr>
        <w:pStyle w:val="NormalWeb"/>
        <w:spacing w:before="0" w:beforeAutospacing="0" w:after="0" w:afterAutospacing="0"/>
        <w:ind w:firstLine="708"/>
        <w:jc w:val="both"/>
      </w:pPr>
      <w:r>
        <w:t>„Władza” Jezusa to Jego wolność, oparta na posłuszeństwie wobec Boga; Jego prawo wynika z preegzystencji, która realizuje uniwersalną wolę zbawczą Boga; a Jego autorytet to służba, wynikająca z Jego misji zbawczej. To roszczenie wywołuje sprzeciw – i jednocześnie uzasadnia uznanie.</w:t>
      </w:r>
    </w:p>
    <w:p w14:paraId="3708289D" w14:textId="77777777" w:rsidR="00C03BFA" w:rsidRDefault="00C03BFA" w:rsidP="003B0D35">
      <w:pPr>
        <w:pStyle w:val="NormalWeb"/>
        <w:spacing w:before="0" w:beforeAutospacing="0" w:after="0" w:afterAutospacing="0"/>
        <w:ind w:firstLine="708"/>
        <w:jc w:val="both"/>
      </w:pPr>
    </w:p>
    <w:p w14:paraId="4F0AD252" w14:textId="77777777" w:rsidR="00486355" w:rsidRPr="00AF5B6B" w:rsidRDefault="00486355" w:rsidP="003B0D35">
      <w:pPr>
        <w:pStyle w:val="ListParagraph"/>
        <w:numPr>
          <w:ilvl w:val="0"/>
          <w:numId w:val="1"/>
        </w:numPr>
        <w:spacing w:line="240" w:lineRule="auto"/>
        <w:ind w:hanging="11"/>
        <w:jc w:val="both"/>
        <w:rPr>
          <w:rFonts w:ascii="Times New Roman" w:hAnsi="Times New Roman" w:cs="Times New Roman"/>
          <w:b/>
          <w:bCs/>
          <w:sz w:val="24"/>
          <w:szCs w:val="24"/>
        </w:rPr>
      </w:pPr>
      <w:r w:rsidRPr="00AF5B6B">
        <w:rPr>
          <w:rFonts w:ascii="Times New Roman" w:hAnsi="Times New Roman" w:cs="Times New Roman"/>
          <w:b/>
          <w:bCs/>
          <w:sz w:val="24"/>
          <w:szCs w:val="24"/>
        </w:rPr>
        <w:t>Sprzeciw</w:t>
      </w:r>
    </w:p>
    <w:p w14:paraId="6D3371F9" w14:textId="77777777" w:rsidR="00604BE7" w:rsidRDefault="00E05928" w:rsidP="003B0D35">
      <w:pPr>
        <w:pStyle w:val="NormalWeb"/>
        <w:spacing w:before="0" w:beforeAutospacing="0" w:after="0" w:afterAutospacing="0"/>
        <w:ind w:firstLine="708"/>
        <w:jc w:val="both"/>
      </w:pPr>
      <w:r>
        <w:t xml:space="preserve">Ewangelie w wielu miejscach ukazują sprzeciw wobec roszczenia Jezusa: są stronnicze i polemiczne, stoją całkowicie po stronie swego Mistrza i nie cofają się przed insynuacjami. Jednak jasno pokazują dwie rzeczy: że przesłanie Jezusa wcale nie jest oczywiste, lecz rewolucyjne, oraz że istnieją dla niego dobre powody, które najlepiej </w:t>
      </w:r>
      <w:r>
        <w:lastRenderedPageBreak/>
        <w:t>uwidaczniają się w trakcie sporów. W Ewangeliach spory toczą się na gruncie monoteizmu – nie filozoficznego, który pozostaje teoretyczny, lecz religijnego, który prowadzi judaizm do miłości Boga (Pwt 6,4–5). W obrębie judaizmu Ewangelie interesują się mniej saduceuszami, którzy koncentrują się jedynie na Torze i świątyni</w:t>
      </w:r>
      <w:r w:rsidR="00604BE7">
        <w:rPr>
          <w:rStyle w:val="FootnoteReference"/>
        </w:rPr>
        <w:footnoteReference w:id="9"/>
      </w:r>
      <w:r>
        <w:t>, a bardziej faryzeuszami, przywódcami reformistycznego judaizmu</w:t>
      </w:r>
      <w:r w:rsidR="00604BE7">
        <w:rPr>
          <w:rStyle w:val="FootnoteReference"/>
        </w:rPr>
        <w:footnoteReference w:id="10"/>
      </w:r>
      <w:r>
        <w:t>. Choć często są oni uogólniająco nazywani „obłudnikami”, dzielą z Jezusem pasję do Boga, świętość Prawa i powołanie ludu Bożego.</w:t>
      </w:r>
    </w:p>
    <w:p w14:paraId="69A843A8" w14:textId="77777777" w:rsidR="00D10DA3" w:rsidRDefault="00604BE7" w:rsidP="003B0D35">
      <w:pPr>
        <w:pStyle w:val="NormalWeb"/>
        <w:spacing w:before="0" w:beforeAutospacing="0" w:after="0" w:afterAutospacing="0"/>
        <w:ind w:firstLine="708"/>
        <w:jc w:val="both"/>
      </w:pPr>
      <w:r>
        <w:t>W zwierciadle krytyki, o której opowiadają Ewangelie, na wszystkich trzech miejscach pojawiają się sprzeczności: Czy Jezus narusza jedyność Boga? Czy unieważnia Prawo? Czy gardzi historią zbawienia Izraela? Ewangelie zaprzeczają temu: Jezus konkretyzuje miłość do Boga; wypełnia Prawo; realizuje misję Izraela, będąc błogosławieństwem dla wszystkich narodów. U Marka pojawia się wspaniała możliwość głębokiego porozumienia: gdy w Jerozolimie pewien uczony Prawa pyta Jezusa o największe przykazanie, zgadza się z Jego odpowiedzią, że miłość do Boga i bliźniego tworzy jedność, i wtedy słyszy od Jezusa: „Nie jesteś daleko od Królestwa Bożego” (Mk 12,28–34).</w:t>
      </w:r>
    </w:p>
    <w:p w14:paraId="77387AF0" w14:textId="77777777" w:rsidR="00D10DA3" w:rsidRDefault="00D10DA3" w:rsidP="003B0D35">
      <w:pPr>
        <w:pStyle w:val="NormalWeb"/>
        <w:spacing w:before="0" w:beforeAutospacing="0" w:after="0" w:afterAutospacing="0"/>
        <w:ind w:firstLine="708"/>
        <w:jc w:val="both"/>
      </w:pPr>
      <w:r w:rsidRPr="00D10DA3">
        <w:t>U Mateusza i Łukasza konstelacja rozmowy jest mniej pokojowa (Mt 22, 34–40; Łk 10, 25–37), ale także u nich ujawnia się wspólna podstawa — która jednak nie wyklucza krytyki.</w:t>
      </w:r>
    </w:p>
    <w:p w14:paraId="4CD15381" w14:textId="77777777" w:rsidR="00D10DA3" w:rsidRDefault="00D10DA3" w:rsidP="003B0D35">
      <w:pPr>
        <w:pStyle w:val="NormalWeb"/>
        <w:spacing w:before="0" w:beforeAutospacing="0" w:after="0" w:afterAutospacing="0"/>
        <w:ind w:firstLine="708"/>
        <w:jc w:val="both"/>
      </w:pPr>
      <w:r w:rsidRPr="00D10DA3">
        <w:t>Jest ona w Ewangeliach tak ostra tylko dlatego, że ma uzasadnienie teologiczne. Zarzut, że przebaczenie grzechów przez Jezusa jest bluźnierstwem (Mk 2, 1–12; Mt 9, 1–8; Łk 5, 17–26), trafnie odzwierciedla fakt, iż Jezus nie okazuje jedynie wielkoduszności, gdy odpuszcza grzechy paralitykowi, lecz uprzedza pojednanie, które może pochodzić jedynie od Boga. Dlatego Jezus potwierdza żydowski dogmat, że tylko Bóg może odpuszczać grzechy — by następnie dodać, że powierzył „Synowi Człowieczemu” udzielanie tego przebaczenia na ziemi</w:t>
      </w:r>
      <w:r w:rsidR="00B53049">
        <w:t>.</w:t>
      </w:r>
      <w:r w:rsidRPr="00D10DA3">
        <w:t xml:space="preserve"> </w:t>
      </w:r>
    </w:p>
    <w:p w14:paraId="157D61B2" w14:textId="77777777" w:rsidR="005104DC" w:rsidRDefault="00D10DA3" w:rsidP="003B0D35">
      <w:pPr>
        <w:pStyle w:val="NormalWeb"/>
        <w:spacing w:before="0" w:beforeAutospacing="0" w:after="0" w:afterAutospacing="0"/>
        <w:ind w:firstLine="708"/>
        <w:jc w:val="both"/>
      </w:pPr>
      <w:r w:rsidRPr="00D10DA3">
        <w:t>Wielogłosowa krytyka Jezusa dotycząca postępowania z grzesznikami (Mk 2, 13–17; Mt 9, 9–13; Łk 5, 27–32) podejmuje myśl, że sprawiedliwość Boga wprowadza i domaga się jasnych rozróżnień, a zarazem ukazuje, iż odpowiedź Jezusa nie jest postawą „laissez-faire”, lecz zwróc</w:t>
      </w:r>
      <w:r w:rsidR="00B53049">
        <w:t>eniem się ku człowiekowi, które</w:t>
      </w:r>
      <w:r w:rsidRPr="00D10DA3">
        <w:t>go przemienia, ponieważ promieniuje na niego świętość Boga (por. Ewangelia Łukasza).</w:t>
      </w:r>
    </w:p>
    <w:p w14:paraId="06199760" w14:textId="77777777" w:rsidR="005104DC" w:rsidRDefault="005104DC" w:rsidP="003B0D35">
      <w:pPr>
        <w:pStyle w:val="NormalWeb"/>
        <w:spacing w:before="0" w:beforeAutospacing="0" w:after="0" w:afterAutospacing="0"/>
        <w:ind w:firstLine="708"/>
        <w:jc w:val="both"/>
      </w:pPr>
      <w:r>
        <w:t>Zarzut, że Jezus przez swoją działalność narusza szabat (Mk 2, 23 – 3, 6; Mt 12, 1–14; Łk 6, 1–11), daje się wyjaśnić jedynie tym, że wysoko ceniono świętość siódmego dnia (Wj 20, 8–11; Pwt 5, 12–15); pomija on jednak fakt, iż Bóg ustanowił ten dzień po to, aby działo się dobro — także pop</w:t>
      </w:r>
      <w:r w:rsidR="00F24EF4">
        <w:t>rzez pokarm i uzdrowienie.</w:t>
      </w:r>
    </w:p>
    <w:p w14:paraId="1ED0E9B6" w14:textId="77777777" w:rsidR="005104DC" w:rsidRDefault="005104DC" w:rsidP="003B0D35">
      <w:pPr>
        <w:pStyle w:val="NormalWeb"/>
        <w:spacing w:before="0" w:beforeAutospacing="0" w:after="0" w:afterAutospacing="0"/>
        <w:ind w:firstLine="708"/>
        <w:jc w:val="both"/>
      </w:pPr>
      <w:r>
        <w:t>Krytyka, jakoby Jezus nie nakłaniał swoich uczniów do przestrzegania przepisów o czystości zawartych w Prawie (Mk 7, 1–23; Mt 15, 1–20), z perspektywy Ewangelii synoptycznych nie myli się w tym, że postrzega Torę jako normę życia przed obliczem Boga, przeocza jednak, iż ważniejsza od czystości zewnętrznej jest czystość wewnętrzna — czystość serca — co, wbrew wszelkim ludzkim tradycjom, odpowiada</w:t>
      </w:r>
      <w:r w:rsidR="005043E9">
        <w:t xml:space="preserve"> pierwotnej woli Boga</w:t>
      </w:r>
      <w:r>
        <w:t>.</w:t>
      </w:r>
    </w:p>
    <w:p w14:paraId="4FA2A88F" w14:textId="77777777" w:rsidR="00795F44" w:rsidRDefault="005104DC" w:rsidP="003B0D35">
      <w:pPr>
        <w:pStyle w:val="NormalWeb"/>
        <w:spacing w:before="0" w:beforeAutospacing="0" w:after="0" w:afterAutospacing="0"/>
        <w:ind w:firstLine="708"/>
        <w:jc w:val="both"/>
      </w:pPr>
      <w:r>
        <w:t>Ob</w:t>
      </w:r>
      <w:r w:rsidR="00E864B5">
        <w:t>urzające</w:t>
      </w:r>
      <w:r>
        <w:t xml:space="preserve"> pytanie, kto dał Jezusowi prawo, by wyrzucać kupców ze świątyni (Mk 11, 27–33; Mt 21, 23–27; Łk 20, 1–8), trafnie dostrzega, że Jezus nie wyraża jedynie protestu przeciw finansowym korzyściom kapłanów czerpanym ze świątyni, lecz zasadniczo nie wiąże obecności Boga z budowlą z kamienia, choćby była ona najbardziej czcigodna (Mk 14, 57–58; Mt 26, 61; por. J 2, 10), lecz z żywymi ludźmi, którzy modlą się w duchu Jezusa (Mk 11, 22–25; Mt 21,</w:t>
      </w:r>
      <w:r w:rsidR="008D225D">
        <w:t xml:space="preserve"> 21–22)</w:t>
      </w:r>
      <w:r>
        <w:t>.</w:t>
      </w:r>
      <w:r w:rsidR="008D225D">
        <w:t xml:space="preserve"> </w:t>
      </w:r>
      <w:r>
        <w:t xml:space="preserve">To, że Jezus w swojej odpowiedzi odwołuje się do Jana Chrzciciela, </w:t>
      </w:r>
      <w:r>
        <w:lastRenderedPageBreak/>
        <w:t xml:space="preserve">nie jest unikaniem odpowiedzi ani próbą doprowadzenia do impasu, lecz precyzyjnym przypomnieniem, że już </w:t>
      </w:r>
      <w:r w:rsidR="001E4D90">
        <w:t>Jan Chrzciciel wskazał nad Rzeką</w:t>
      </w:r>
      <w:r>
        <w:t xml:space="preserve"> Jordan miejsce odpuszczenia grzechów, które nie jest Świątynią Jerozolimską, lecz jest głębiej zakorzenione w historii Izraela, a tym samym dalej niż ona wskazuje ku przyszłości określonej przez nadchodzącego Zbawiciela.</w:t>
      </w:r>
    </w:p>
    <w:p w14:paraId="2E294DB1" w14:textId="77777777" w:rsidR="004A4E67" w:rsidRDefault="00795F44" w:rsidP="003B0D35">
      <w:pPr>
        <w:pStyle w:val="NormalWeb"/>
        <w:spacing w:before="0" w:beforeAutospacing="0" w:after="0" w:afterAutospacing="0"/>
        <w:ind w:firstLine="708"/>
        <w:jc w:val="both"/>
      </w:pPr>
      <w:r w:rsidRPr="00795F44">
        <w:t>Ewangelie synoptyczne są pewne: Jezus nie umniejsza chwały Boga, lecz nadaje jej nowy wyraz — poprzez swoje nauczanie o Królestwie Bożym, poprzez swoje dzieło uzdrawiania oraz poprzez naukę modlitwy, która u Mateusza i Łukasza kulminuje w „Ojcze nasz” (Mt 6, 9–1</w:t>
      </w:r>
      <w:r>
        <w:t>3; Łk 11, 1–14)</w:t>
      </w:r>
      <w:r w:rsidRPr="00795F44">
        <w:t>. Wyznanie Jezusa potwierdza wyznanie Jezusa wobec Boga, a władza Jezusa ujawnia konkretną, wyzwalającą moc Słowa Bożego. Jezus nie znosi Prawa, lecz je wypełnia (Mt 5, 17–20), otwierając je na nowo z perspektywy Królestwa Bożego; choć stoi w sp</w:t>
      </w:r>
      <w:r>
        <w:t>rzeczności z przewodnią egzegez</w:t>
      </w:r>
      <w:r w:rsidRPr="00795F44">
        <w:t>ą faryzeuszy, którym w Nowym Testamencie zarzuca się niezrozumienie hierarchii prawd, prowadzonej przez „sprawiedliwość, miłosierdzie i wiarę” (Mt 23, 23), to jednak jego hermeneutyka nie wykracza poza judaizm, lecz nadaje mu wyrazisty kształt, zgodny z przesłaniem o Królestwie Bożym głoszonym przez Jezusa.</w:t>
      </w:r>
      <w:r>
        <w:t xml:space="preserve"> </w:t>
      </w:r>
      <w:r w:rsidRPr="00795F44">
        <w:t>Przymierze, które Bóg zawarł ze swoim ludem, przez Jezusa nie zostaje zerwane, lecz zostaje odnowione w wymiarze eschatologicznym — według Łukasza skoncentrowane w Ostatniej Wieczerzy (Łk 22, 20); przez to, że zbiera „zagubione owce domu Izraela” (Mt 15, 24; por. 10, 6), nie podważa wierności ludu wobec Prawa, lecz ją poszerza; a przez to, że — zarówno w przypadku setnika z Kafarnaum (Mt 8, 5–13; Łk 7, 1–10), jak i kobiety kananejskiej (Mk 7, 24–40; Mt 15, 21–28) — w swojej misji zbawczej obejmuje również pogan, rozszerza błogosławieństwo, które zgodnie z obietnicą spocz</w:t>
      </w:r>
      <w:r>
        <w:t>ywa na Abrahamie i jego potomku.</w:t>
      </w:r>
    </w:p>
    <w:p w14:paraId="01964DAE" w14:textId="77777777" w:rsidR="004A4E67" w:rsidRDefault="004A4E67" w:rsidP="003B0D35">
      <w:pPr>
        <w:pStyle w:val="NormalWeb"/>
        <w:spacing w:before="0" w:beforeAutospacing="0" w:after="0" w:afterAutospacing="0"/>
        <w:ind w:firstLine="708"/>
        <w:jc w:val="both"/>
      </w:pPr>
      <w:r w:rsidRPr="004A4E67">
        <w:t>W Ewangelii Jana pierwsze z wyraźnych roszczeń Jezusa jest przedmiotem ostrej dyskusji pars pro toto. Punktem wyjścia jest uzdrowienie paralityka przy sadzawce Betesda (J 5, 1–9). Stopniowo spór się zaostrza. Początkowo mężczyzna niosący swoje łoże oraz Jezus, który go uzdrowił i do tego zachęcił, są oskarżani o naruszenie szabatu (J 5, 10–16). Następnie Jezus inicjuje głębszą debatę nad swoim związkiem z Bogiem: „Mój Ojciec działa, ja też działam” (J 5, 17). Wrażliwi monoteistycznie krytycy, określani jako „Żydzi” (ci, którzy występują z roszczeniem reprezentowania ludu Bożego), dostrzegają bluźnierstwo; jak relacjonuje ewangelista ich śmiertelny podejrzenie, Jezus „nie tylko naruszył szabat, lecz także nazwał Boga swoim Ojcem i w ten sposób równając się z Bogiem” (J 5, 18). Choć kontrowersja ta jest tak stylizowana, wyraźnie pokazuje, jak dokładnie Jan zna synoptyczne konflikty szabatu i jak bardzo chce ujawnić, że w istocie do</w:t>
      </w:r>
      <w:r>
        <w:t>tyczą one pytania o Boga</w:t>
      </w:r>
      <w:r w:rsidRPr="004A4E67">
        <w:t>.</w:t>
      </w:r>
    </w:p>
    <w:p w14:paraId="7E2EBF89" w14:textId="77777777" w:rsidR="00D71AEA" w:rsidRDefault="004A4E67" w:rsidP="003B0D35">
      <w:pPr>
        <w:pStyle w:val="NormalWeb"/>
        <w:spacing w:before="0" w:beforeAutospacing="0" w:after="0" w:afterAutospacing="0"/>
        <w:ind w:firstLine="708"/>
        <w:jc w:val="both"/>
      </w:pPr>
      <w:r w:rsidRPr="004A4E67">
        <w:t>Według Jana Jezus odpowiada długim wyjaśnieniem, całkowicie skoncentrowanym na pytaniu o Boga. Na początku pojawia się wyznanie, które jest jednocześnie przyznaniem się: „Syn nic nie może czynić sam z siebie, jeśli nie widzi, że Ojciec czyni” (J 5, 19a). Z jednej strony Jezus znajduje się w żywej, trwałej i formującej relacji z Bogiem, swoim Ojcem: patrzy na Niego, słucha Go i uczy się od Niego</w:t>
      </w:r>
      <w:r w:rsidR="002206CA">
        <w:rPr>
          <w:rStyle w:val="FootnoteReference"/>
        </w:rPr>
        <w:footnoteReference w:id="11"/>
      </w:r>
      <w:r w:rsidR="002102D4">
        <w:t>. Z drugiej strony nie ma Syna bez Ojca ani pełnomocnictwa Jezusa bez wszechmocy Boga. Ten zasadniczy punkt całej misji Jezusa zostaje uzasadniony w łańcuchu trzech argumentów. Po pierwsze: „Albowiem cokolwiek On czyni, to samo czyni podobnie i Syn” (J 5,19b); pozwolić, by Bóg przemawiał i działał – nic więcej i nic mniej – to jest posłannictwo Jezusa; dlatego potrzebuje On nieustannego kontaktu z Bogiem, swoim Ojcem. Po drugie: „Ojciec bowiem miłuje Syna i ukazuje Mu wszystko, co sam czyni, i ukaże Mu jeszcze większe dzieła, abyście się dziwili” (J 5,20); miłość Boga do swego Syna Jezusa nie stawia Go na drugim miejscu, lecz tak łączy Go z Ojcem, że obaj „jedno są” (J 10,30) – odróżnieni, lecz nierozdzielni.</w:t>
      </w:r>
      <w:r w:rsidR="001B25BF">
        <w:t xml:space="preserve"> Ojciec „ukazuje”, Syn patrzy i czyni to, co zostaje Mu ukazane. Po trzecie: „Albowiem jak Ojciec wskrzesza umarłych i ożywia, tak i </w:t>
      </w:r>
      <w:r w:rsidR="001B25BF">
        <w:lastRenderedPageBreak/>
        <w:t>Syn ożywia tych, których chce” (J 5,21); to „… jak … tak …” ma dwa aspekty: z jednej strony Bóg działa to, co Jezus, z drugiej – Jezus działa to, co Bóg. Chodzi o nic mniejszego jak o życie wieczne, które może rozpocząć się już teraz, pośród krajobrazów śmierci. Stwarzanie tego „życia w obfitości” (J 10,10) jest misją Jezusa. Jedność w działaniu do niej należy, a „pełnomocnictwo” Jezusa do sprawowania sądu jest jej kluczem.</w:t>
      </w:r>
    </w:p>
    <w:p w14:paraId="6276D4DE" w14:textId="77777777" w:rsidR="00D71AEA" w:rsidRDefault="00D71AEA" w:rsidP="003B0D35">
      <w:pPr>
        <w:pStyle w:val="NormalWeb"/>
        <w:spacing w:before="0" w:beforeAutospacing="0" w:after="0" w:afterAutospacing="0"/>
        <w:ind w:firstLine="708"/>
        <w:jc w:val="both"/>
      </w:pPr>
      <w:r>
        <w:t>Pełnomocnictwo Jezusa jest Jego zdolnością i gotowością, Jego posłannictwem i służbą, by nawet wobec wielogłosowego „nie” doprowadzić do spotkania „tak” Boga wobec Jego obietnic (por. 2 Kor 1,20) oraz „tak” Izraela wobec jego Boga — i to w taki sposób, aby także narody zakosztowały dobroci Boga.</w:t>
      </w:r>
    </w:p>
    <w:p w14:paraId="03D135D3" w14:textId="77777777" w:rsidR="00C03BFA" w:rsidRDefault="00C03BFA" w:rsidP="003B0D35">
      <w:pPr>
        <w:pStyle w:val="NormalWeb"/>
        <w:spacing w:before="0" w:beforeAutospacing="0" w:after="0" w:afterAutospacing="0"/>
        <w:ind w:firstLine="708"/>
        <w:jc w:val="both"/>
      </w:pPr>
    </w:p>
    <w:p w14:paraId="0C0A85B8" w14:textId="77777777" w:rsidR="00720BCA" w:rsidRPr="00AF5B6B" w:rsidRDefault="00720BCA" w:rsidP="003B0D35">
      <w:pPr>
        <w:pStyle w:val="ListParagraph"/>
        <w:numPr>
          <w:ilvl w:val="0"/>
          <w:numId w:val="1"/>
        </w:numPr>
        <w:spacing w:line="240" w:lineRule="auto"/>
        <w:ind w:hanging="11"/>
        <w:jc w:val="both"/>
        <w:rPr>
          <w:rFonts w:ascii="Times New Roman" w:hAnsi="Times New Roman" w:cs="Times New Roman"/>
          <w:b/>
          <w:bCs/>
          <w:sz w:val="24"/>
          <w:szCs w:val="24"/>
        </w:rPr>
      </w:pPr>
      <w:r w:rsidRPr="00AF5B6B">
        <w:rPr>
          <w:rFonts w:ascii="Times New Roman" w:hAnsi="Times New Roman" w:cs="Times New Roman"/>
          <w:b/>
          <w:bCs/>
          <w:sz w:val="24"/>
          <w:szCs w:val="24"/>
        </w:rPr>
        <w:t>Obietnica</w:t>
      </w:r>
    </w:p>
    <w:p w14:paraId="0AB8A1D0" w14:textId="77777777" w:rsidR="00C954EE" w:rsidRDefault="007E6B60" w:rsidP="003B0D35">
      <w:pPr>
        <w:pStyle w:val="NormalWeb"/>
        <w:spacing w:before="0" w:beforeAutospacing="0" w:after="0" w:afterAutospacing="0"/>
        <w:ind w:firstLine="708"/>
        <w:jc w:val="both"/>
      </w:pPr>
      <w:r>
        <w:t>Jezus nie zatrzymuje dla siebie pełnomocnictwa, które wyróżnia Go jako Mesjasza, lecz przekazuje je dalej: swoim uczniom, których posyła. U Ewangelia Marka w odniesieniu do Dwunastu czytamy: „Dał im władzę (</w:t>
      </w:r>
      <w:r w:rsidRPr="00C03BFA">
        <w:rPr>
          <w:i/>
          <w:iCs/>
        </w:rPr>
        <w:t>exousía</w:t>
      </w:r>
      <w:r>
        <w:t>) nad duchami nieczystymi” (Mk 6,7); podobnie u Ewangelia Mateusza, lecz z uzupełnieniem: „… aby je wypędzali i uzdrawiali wszelką chorobę i wszelką niemoc” (Mt 10,1). Ewangelia Łukasza pisze o posłaniu Dwunastu: „Dał im moc (</w:t>
      </w:r>
      <w:r w:rsidRPr="00C03BFA">
        <w:rPr>
          <w:i/>
          <w:iCs/>
        </w:rPr>
        <w:t>dýnamis</w:t>
      </w:r>
      <w:r>
        <w:t>) i władzę nad wszystkimi demonami oraz aby uzdrawiali chorych” (Łk 9,1). Pełnomocnictwo to jest tym, które Jezus sprawuje w imieniu Boga. Przekazuje je Dwunastu, ponieważ idą za Nim i reprezentują cały Izrael, który Jezus gromadzi (Mk 3,13–19; Mt 10,1–4; Łk 6,12–16). Także siedemdziesięciu dwóch uczniów, których Jezus posyła (Łk 10,1–16), otrzymuje Jego „władzę” nad mocami śmierci (Łk 10,18). W przeciwnym razie nie mogliby wypełnić swojego zadania pracy w winnicy Pana (Łk 10,2; por. 10,7), to znaczy — jak Jezus słowem i czynem — głosić Ewangelię o królestwie Bożym (Łk 10,9.11; por. Mt 10,7). Powiązanie pełnomocnictwa z Dwunastoma nie ma charakteru wyłącznego, lecz jest ukierunkowane na działanie: ma ono być dzielone w ludzie Bożym przez tych, którzy głoszą Ewangelię.</w:t>
      </w:r>
    </w:p>
    <w:p w14:paraId="6824645A" w14:textId="77777777" w:rsidR="00C954EE" w:rsidRDefault="00873650" w:rsidP="003B0D35">
      <w:pPr>
        <w:pStyle w:val="NormalWeb"/>
        <w:spacing w:before="0" w:beforeAutospacing="0" w:after="0" w:afterAutospacing="0"/>
        <w:ind w:firstLine="708"/>
        <w:jc w:val="both"/>
      </w:pPr>
      <w:r w:rsidRPr="00873650">
        <w:t>Dwunastu potrzebuje przekazania pełnomocnictwa z podwójnego powodu: sami, nawet przy najlepszej woli, nie mają ani mocy, ani zadania, ani wolności, ani prawa, by działać jako zbawcy ludzi – jedynie Bóg jest ich Panem i Mistrzem, uosobionym w Jezusie (Mt 23,8–9).</w:t>
      </w:r>
      <w:r w:rsidR="00C954EE">
        <w:t xml:space="preserve"> </w:t>
      </w:r>
      <w:r w:rsidRPr="00873650">
        <w:t>Ludzie, do których są posłani, powinni jednak móc ufać, że od uczniów usłyszą tę samą Ewangelię co od samego Jezusa, że zaprowadzą ten sam pokój co On oraz że będzie się przez nich urzeczywistniać ta sama uzdrawiająca moc, która działała w Jezusie.</w:t>
      </w:r>
    </w:p>
    <w:p w14:paraId="572ACEF3" w14:textId="77777777" w:rsidR="0040615C" w:rsidRDefault="00873650" w:rsidP="003B0D35">
      <w:pPr>
        <w:pStyle w:val="NormalWeb"/>
        <w:spacing w:before="0" w:beforeAutospacing="0" w:after="0" w:afterAutospacing="0"/>
        <w:ind w:firstLine="708"/>
        <w:jc w:val="both"/>
      </w:pPr>
      <w:r w:rsidRPr="00873650">
        <w:t>Ta perspektywa proegzystencji Jezusa w posłaniu uczniów jest decydująca. Było i jest błędną drogą postrzeganie „pełnomocnictwa” jako przywileju Dwunastu – i ich następców. Przeciwnie, pokusą Dwunastu jest wykorzystywanie swojej bliskości z Jezusem do sprawowania władzy nad ludźmi: przez kontrolowanie dostępu do Jezusa, roszczenie sobie prawa do wyłącznej interpretacji Jego słów oraz zabieganie o własną wielkość.</w:t>
      </w:r>
      <w:r w:rsidR="00C954EE">
        <w:t xml:space="preserve"> </w:t>
      </w:r>
      <w:r w:rsidRPr="00873650">
        <w:t>O tym, że pokusa ta od początku była silna, opowiadają wszystkie Ewangelie synoptyczne, szczególnie wyraźnie Ewangelia Marka</w:t>
      </w:r>
      <w:r w:rsidR="00C954EE">
        <w:rPr>
          <w:rStyle w:val="FootnoteReference"/>
        </w:rPr>
        <w:footnoteReference w:id="12"/>
      </w:r>
      <w:r w:rsidRPr="00873650">
        <w:t>. Bezpośrednio po drugiej zapowiedzi męki i zmartwychwstania (Mk 9,31) Dwunastu sprzecza się w drodze o to, „kto z nich jest największy” (Mk 9,34; Łk 9,46; por. Mt 18,1). Jezus ich poucza: „Jeśli kto chce być pierwszym, niech będzie ostatnim ze wszystkich i sługą wszystkich” (Mk 9,35; por. Mk 10,43–44; Mt 20,26–27; Łk 22,26).</w:t>
      </w:r>
      <w:r w:rsidR="0040615C">
        <w:t xml:space="preserve"> </w:t>
      </w:r>
      <w:r w:rsidRPr="00873650">
        <w:t>Ta przemiana jest drogą Jezusa i nie dokonuje się jednorazowo, lecz wciąż na nowo: kto chce być pierwszy i dlatego staje się ostatni, właśnie przez to jest pierwszy – i znów musi stać się ostatni; kto chce być panem, musi stać się sługą i właśnie przez to jest panem, który ma być sługą. Tylko wtedy, gdy pojmują swoje pełnomocnictwo jako służbę i swoją służbę pełnią w mocy Jezusa, mogą działać zgodnie z Jego posłaniem.</w:t>
      </w:r>
    </w:p>
    <w:p w14:paraId="20521C97" w14:textId="77777777" w:rsidR="00505919" w:rsidRDefault="0040615C" w:rsidP="003B0D35">
      <w:pPr>
        <w:pStyle w:val="NormalWeb"/>
        <w:spacing w:before="0" w:beforeAutospacing="0" w:after="0" w:afterAutospacing="0"/>
        <w:ind w:firstLine="708"/>
        <w:jc w:val="both"/>
      </w:pPr>
      <w:r>
        <w:lastRenderedPageBreak/>
        <w:t>Było i jest jednak również błędną drogą nie korzystać z „pełnomocnictwa”, którego udzielił Jezus. Nie udzielił go uczniom ze względu na nich samych, lecz po to, aby wszyscy ci ludzie, do których nie może dotrzeć osobiście, otrzymali – bez jakiejkolwiek utraty jakości – tę samą Dobrą Nowinę co od Niego samego, nawet jeśli uczniowie od początku nie są postaciami idealnymi, lecz ludźmi ze swoimi słabościami. Po uzdrowieniu paralityka, któremu Jezus odpuścił grzechy, Mateusz pisze o ludziach głęboko poruszonych: „Wielbili Boga, który dał ludziom taką władzę” (Mt 9,8) – wraz z Jezusem i przez Jezusa także wszystkim tym, którzy za Nim idą, ponieważ są posłani w Jego imię.</w:t>
      </w:r>
      <w:r w:rsidR="00DF38D8">
        <w:t xml:space="preserve"> To, że pełnomocnictwo jest służbą, może – jak uczy historia – zostać nadużyte: wtedy, gdy zaciemnia się władzę, która wiąże się z pełnomocnictwem. Wówczas dochodzi do jego nadużycia. Konsekwencją nie może jednak być porzucenie ani dyskredytowanie Jezusowego podejścia, lecz jedynie jego konsekwentne realizowanie tak, jak zamierzył to Jezus. Udaje się to wtedy, gdy dostrzega się i zwalcza pokusę wykorzystywania bliskości z Jezusem oraz religijnego wywyższania własnych ambicji; udaje się przede wszystkim wtedy, gdy przestrzegane jest prawo odpowiadające pełnomocnictwu — gdy służy ono sprawiedliwości — oraz gdy wolność związana z posłaniem jest podejmowana odpowiedzialnie, tak aby mogła się urzeczywistniać miłość Boga.</w:t>
      </w:r>
    </w:p>
    <w:p w14:paraId="091F9E4E" w14:textId="77777777" w:rsidR="000A7DE8" w:rsidRDefault="00505919" w:rsidP="003B0D35">
      <w:pPr>
        <w:pStyle w:val="NormalWeb"/>
        <w:spacing w:before="0" w:beforeAutospacing="0" w:after="0" w:afterAutospacing="0"/>
        <w:ind w:firstLine="708"/>
        <w:jc w:val="both"/>
      </w:pPr>
      <w:r>
        <w:t>Oba te wątki znajdują wyraz u Marka na zakończenie mowy eschatologicznej w krótkiej przypowieści: „Jak człowiek, który udając się w podróż, opuszcza swój dom i daje swoim sługom pełnomocnictwo, każdemu jego zadanie — a odźwiernemu nakazuje, aby czuwał. Czuwajcie więc, bo nie wiecie, kiedy pan domu przyjdzie: czy wieczorem, czy o północy, czy o pianiu koguta, czy rankiem, aby was, gdy przyjdzie niespodziewanie, nie zastał śpiących. Lecz co wam mówię, mówię wszystkim: Czuwajcie!” (Mk 13,34–37). Uczniowie są tu adresatami — nie tylko ci sprzed Wielkanocy, lecz także ci po zmartwychwstaniu. Pełnomocnictwo jest przekazaniem odpowiedzialności. Czujność jest najważniejszą cnotą w niespokojnych czasach, gdy światy upadają i pomóc może jedynie przyjście Boga — jakkolwiek by było ono pośredniczone. Ta czujność prowadzi do koncentracji na zadaniu. Sługa nie jest panem — ale pan musi móc polegać na swoich sługach.</w:t>
      </w:r>
    </w:p>
    <w:p w14:paraId="1D08DAD3" w14:textId="77777777" w:rsidR="00C03BFA" w:rsidRDefault="000A7DE8" w:rsidP="00C03BFA">
      <w:pPr>
        <w:pStyle w:val="NormalWeb"/>
        <w:spacing w:before="0" w:beforeAutospacing="0" w:after="0" w:afterAutospacing="0"/>
        <w:ind w:firstLine="708"/>
        <w:jc w:val="both"/>
      </w:pPr>
      <w:r>
        <w:t>Przekazanie pełnomocnictwa jest także aktem prawnym: Dwunastu oraz wszyscy uczniowie posłani przez Jezusa (lub pełniący swoją służbę po Wielkanocy) mają wiążące zadanie, które powinni wypełniać i w którym powinni być uznawani. Bez wewnętrznego zaangażowania, bez oddania zostaje ono zdradzone. Jednak to, że jest ono podejmowane, nie wynika jedynie z ludzkiej determinacji, by wraz z Jezusem służyć Bogu, lecz z decyzji Boga, aby posłać swojego Syna jako Mesjasza, oraz z woli Jezusa, by konsekwentnie wobec tej misji udzielać ludziom pełnomocnictwa i powierzać im zadania. To, co pierwotnie łączyło przestrzenie, do dziś łączy czasy.</w:t>
      </w:r>
    </w:p>
    <w:p w14:paraId="77BF84E0" w14:textId="77777777" w:rsidR="007E5115" w:rsidRDefault="004D4144" w:rsidP="00C03BFA">
      <w:pPr>
        <w:pStyle w:val="NormalWeb"/>
        <w:spacing w:before="0" w:beforeAutospacing="0" w:after="0" w:afterAutospacing="0"/>
        <w:ind w:firstLine="708"/>
        <w:jc w:val="both"/>
      </w:pPr>
      <w:r>
        <w:t xml:space="preserve">W Ewangelii Jana nie ma wprost mowy o przekazaniu pełnomocnictwa, jest natomiast mowa o intymnym darze Ducha, który należy do serca orędzia wielkanocnego: po podwójnym pozdrowieniu pokoju Jezus mówi do swoich: „Jak Ojciec Mnie posłał, tak i Ja was posyłam” (J 20,21). To „jak… tak” nie oznacza także tutaj zewnętrznej konsekwencji, lecz wewnętrzną jedność między zbawczą misją Jezusa a wielkanocną misją Jego uczniów. To posłanie jest </w:t>
      </w:r>
      <w:r w:rsidR="007E5115">
        <w:t>inspiracją</w:t>
      </w:r>
      <w:r>
        <w:t>: „A to powiedziawszy, tchnął na nich i rzekł do nich: «Przyjmijcie Ducha Świętego. Którym odpuścicie grzechy, są im odpuszczone; którym zatrzymacie, są im zatrzymane»” (J 20,22–23)</w:t>
      </w:r>
      <w:r w:rsidR="00EE3BD6">
        <w:rPr>
          <w:rStyle w:val="FootnoteReference"/>
        </w:rPr>
        <w:footnoteReference w:id="13"/>
      </w:r>
      <w:r>
        <w:t>. Duch Boga jednoczy Jezusa i Jego uczniów tak, że On pozostaje Tym, który jest Synem Bożym, a oni pozostają tymi, którzy są Jego uczniami — lecz On działa przez nich, a oni przez Niego: aby pokonać moc zła i przynieść pokój.</w:t>
      </w:r>
    </w:p>
    <w:p w14:paraId="0959765F" w14:textId="77777777" w:rsidR="007E5115" w:rsidRPr="007E5115" w:rsidRDefault="007E5115" w:rsidP="003B0D35">
      <w:pPr>
        <w:pStyle w:val="NormalWeb"/>
        <w:spacing w:before="0" w:beforeAutospacing="0" w:after="0" w:afterAutospacing="0"/>
        <w:ind w:firstLine="708"/>
        <w:jc w:val="both"/>
      </w:pPr>
      <w:r w:rsidRPr="00873650">
        <w:lastRenderedPageBreak/>
        <w:t>Scenę janową najlepiej rozumieć w kontekście tradycji synoptycznych, jako alternatywne pogłębienie paschalnego posłania u Mateusza i Łukasza (Mt 28,19–20; Łk 24,44–49; Dz 1; por. Mk 16,15–18).</w:t>
      </w:r>
      <w:r w:rsidRPr="007E5115">
        <w:t xml:space="preserve"> Zarówno tu, jak i tam autorytet Jezusa promieniuje na Jego uczniów, aby mogła być przekazywana zbawcza moc Boga; zarówno tu, jak i tam autorytet ten jest zakorzeniony w miłości Boga, która ma moc, by działać, i ustanawia prawo, by wyzwalać.</w:t>
      </w:r>
    </w:p>
    <w:p w14:paraId="481ECAB1" w14:textId="77777777" w:rsidR="0040615C" w:rsidRPr="009E7760" w:rsidRDefault="000C4A90" w:rsidP="009E7760">
      <w:pPr>
        <w:spacing w:before="100" w:beforeAutospacing="1" w:after="100" w:afterAutospacing="1" w:line="24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Tłumaczenie</w:t>
      </w:r>
      <w:r w:rsidR="009E7760" w:rsidRPr="009E7760">
        <w:rPr>
          <w:rFonts w:ascii="Times New Roman" w:eastAsia="Times New Roman" w:hAnsi="Times New Roman" w:cs="Times New Roman"/>
          <w:i/>
          <w:iCs/>
          <w:sz w:val="24"/>
          <w:szCs w:val="24"/>
        </w:rPr>
        <w:t xml:space="preserve"> z języka niemieckiego Anna Buczniewska</w:t>
      </w:r>
    </w:p>
    <w:p w14:paraId="6052BA45" w14:textId="77777777" w:rsidR="00CF35C4" w:rsidRDefault="009E7760" w:rsidP="00753755">
      <w:pPr>
        <w:pStyle w:val="NormalWeb"/>
        <w:ind w:firstLine="708"/>
        <w:jc w:val="both"/>
      </w:pPr>
      <w:r>
        <w:rPr>
          <w:b/>
        </w:rPr>
        <w:t xml:space="preserve">Nota o Autorze: </w:t>
      </w:r>
      <w:r w:rsidR="00CF35C4" w:rsidRPr="00CF35C4">
        <w:rPr>
          <w:b/>
        </w:rPr>
        <w:t>Thomas Söding</w:t>
      </w:r>
      <w:r w:rsidR="00CF35C4">
        <w:t xml:space="preserve"> </w:t>
      </w:r>
      <w:r>
        <w:t>–</w:t>
      </w:r>
      <w:r w:rsidR="00753755">
        <w:t xml:space="preserve"> urodzony 10 stycznia 1956 w Hanowerze. Niemiecki</w:t>
      </w:r>
      <w:r>
        <w:t xml:space="preserve"> </w:t>
      </w:r>
      <w:r w:rsidR="00753755">
        <w:t xml:space="preserve">teolog katolicki, </w:t>
      </w:r>
      <w:r>
        <w:t>profesorem egzegezy Nowego Testamentu na Uniwersytecie Ruhr w Bochum</w:t>
      </w:r>
      <w:r w:rsidR="00753755">
        <w:t>. S</w:t>
      </w:r>
      <w:r>
        <w:t>tudiował teologię katolicką, germanistykę i historię na Uniwersytecie Wilhelma w Münster, gdzie w 1979 roku uzyskał dyplom z teologii katolickiej. W 1980 roku zdał pierwsze państwowe egzaminy nauczycielskie w zakresie germanistyki i został asystentem w seminarium Nowego Testamentu na Wydziale Teologii Katolickiej Uniwersytetu Münster. W 1985 roku uzyskał doktorat, a jego praca doktorska dotyczyła rozumienia wiary w Ewangelii Marka. W 1991 roku zakończył habilitację (Przykazanie miłości u Pawła)</w:t>
      </w:r>
      <w:r w:rsidR="00753755">
        <w:t xml:space="preserve">. </w:t>
      </w:r>
      <w:r>
        <w:t>Od 1989 do 1993 roku Thomas Söding był wykładowcą egzegezy w seminarium duchownym w Hild</w:t>
      </w:r>
      <w:r w:rsidR="00753755">
        <w:t>esheim, a w latach 1991-1993 był</w:t>
      </w:r>
      <w:r>
        <w:t xml:space="preserve"> docentem na Wydziale Teologii Katolickiej Uniwersytetu Münster. W 1993 roku został profesorem teologii biblijnej na Uniwersytecie Bergisch w Wuppertalu.W latach 1995-1999 był dziekanem Wydziału Historii – Filozofii – Teologii Uniwersytetu Wuppertal, a w latach 1996-2004 wspólnie z Johnem Reumannem kierował seminariów „Teologia Biblijna” w Studiorum Novi Testamenti Societas, stowarzyszeniu biblistów.</w:t>
      </w:r>
      <w:r w:rsidR="00753755">
        <w:t xml:space="preserve"> </w:t>
      </w:r>
      <w:r>
        <w:t xml:space="preserve">W 2008 roku </w:t>
      </w:r>
      <w:r w:rsidR="00753755">
        <w:t xml:space="preserve">został kierownikiem </w:t>
      </w:r>
      <w:r>
        <w:t>katedr</w:t>
      </w:r>
      <w:r w:rsidR="00753755">
        <w:t>y</w:t>
      </w:r>
      <w:r>
        <w:t xml:space="preserve"> egzegezy Now</w:t>
      </w:r>
      <w:r w:rsidR="00753755">
        <w:t>ego Testamentu na uniwersytecie</w:t>
      </w:r>
      <w:r>
        <w:t xml:space="preserve"> w Bochum. Thomas Söding zajmuje się tematami egzegezy i teologii Nowego Testamentu. Skupia się na pytaniach dotyczących historii recepcji w kontekście ekumenicznym. Jego główne obszary badań koncentrują się na Marku, Pawle i Janie. Rozwija metody egzegezy historyczno-krytycznej i literaturoznawczej, uwzględniając kanon z perspektywy estetyki recepcyjnej i hermeneutyki. Jego główną uwagę przyciągają pytania dotyczące chrystologii i eklezjologii. </w:t>
      </w:r>
    </w:p>
    <w:p w14:paraId="60C0DE54" w14:textId="77777777" w:rsidR="00753755" w:rsidRPr="00753755" w:rsidRDefault="00753755" w:rsidP="00DB46F5">
      <w:pPr>
        <w:pStyle w:val="NormalWeb"/>
        <w:spacing w:after="0" w:afterAutospacing="0"/>
        <w:jc w:val="both"/>
        <w:rPr>
          <w:b/>
          <w:bCs/>
        </w:rPr>
      </w:pPr>
      <w:r w:rsidRPr="00753755">
        <w:rPr>
          <w:b/>
          <w:bCs/>
        </w:rPr>
        <w:t xml:space="preserve">Bibliografia: </w:t>
      </w:r>
    </w:p>
    <w:p w14:paraId="621E209E" w14:textId="77777777" w:rsidR="00D77F5B" w:rsidRPr="00DB46F5" w:rsidRDefault="00D77F5B" w:rsidP="00D77F5B">
      <w:pPr>
        <w:pStyle w:val="FootnoteText"/>
        <w:ind w:left="1134" w:hanging="1134"/>
        <w:jc w:val="both"/>
        <w:rPr>
          <w:rFonts w:ascii="Times New Roman" w:hAnsi="Times New Roman" w:cs="Times New Roman"/>
          <w:sz w:val="24"/>
          <w:szCs w:val="24"/>
          <w:lang w:val="de-AT"/>
        </w:rPr>
      </w:pPr>
      <w:r w:rsidRPr="00DB46F5">
        <w:rPr>
          <w:rFonts w:ascii="Times New Roman" w:eastAsia="Times New Roman" w:hAnsi="Times New Roman" w:cs="Times New Roman"/>
          <w:sz w:val="24"/>
          <w:szCs w:val="24"/>
          <w:lang w:val="en-US"/>
        </w:rPr>
        <w:t>Brand</w:t>
      </w:r>
      <w:r>
        <w:rPr>
          <w:rFonts w:ascii="Times New Roman" w:eastAsia="Times New Roman" w:hAnsi="Times New Roman" w:cs="Times New Roman"/>
          <w:sz w:val="24"/>
          <w:szCs w:val="24"/>
          <w:lang w:val="en-US"/>
        </w:rPr>
        <w:t xml:space="preserve"> </w:t>
      </w:r>
      <w:r w:rsidRPr="00DB46F5">
        <w:rPr>
          <w:rFonts w:ascii="Times New Roman" w:eastAsia="Times New Roman" w:hAnsi="Times New Roman" w:cs="Times New Roman"/>
          <w:sz w:val="24"/>
          <w:szCs w:val="24"/>
          <w:lang w:val="en-US"/>
        </w:rPr>
        <w:t xml:space="preserve">A., </w:t>
      </w:r>
      <w:r w:rsidRPr="00DB46F5">
        <w:rPr>
          <w:rFonts w:ascii="Times New Roman" w:eastAsia="Times New Roman" w:hAnsi="Times New Roman" w:cs="Times New Roman"/>
          <w:i/>
          <w:iCs/>
          <w:sz w:val="24"/>
          <w:szCs w:val="24"/>
          <w:lang w:val="en-US"/>
        </w:rPr>
        <w:t xml:space="preserve">Bottom-Up und Top-Down. </w:t>
      </w:r>
      <w:r w:rsidRPr="00DB46F5">
        <w:rPr>
          <w:rFonts w:ascii="Times New Roman" w:eastAsia="Times New Roman" w:hAnsi="Times New Roman" w:cs="Times New Roman"/>
          <w:i/>
          <w:iCs/>
          <w:sz w:val="24"/>
          <w:szCs w:val="24"/>
          <w:lang w:val="de-AT"/>
        </w:rPr>
        <w:t>Begründungsstrukturen von Macht und Autorität in den synoptischen Evangelien</w:t>
      </w:r>
      <w:r w:rsidRPr="00DB46F5">
        <w:rPr>
          <w:rFonts w:ascii="Times New Roman" w:eastAsia="Times New Roman" w:hAnsi="Times New Roman" w:cs="Times New Roman"/>
          <w:sz w:val="24"/>
          <w:szCs w:val="24"/>
          <w:lang w:val="de-AT"/>
        </w:rPr>
        <w:t xml:space="preserve">, w: B. Jürgens, M. Sellmann (red.), </w:t>
      </w:r>
      <w:r w:rsidRPr="00DB46F5">
        <w:rPr>
          <w:rFonts w:ascii="Times New Roman" w:eastAsia="Times New Roman" w:hAnsi="Times New Roman" w:cs="Times New Roman"/>
          <w:i/>
          <w:iCs/>
          <w:sz w:val="24"/>
          <w:szCs w:val="24"/>
          <w:lang w:val="de-AT"/>
        </w:rPr>
        <w:t>Wer entscheidet, wer was entscheidet? Zum Reformbedarf kirchlicher Führungspraxis</w:t>
      </w:r>
      <w:r w:rsidRPr="00DB46F5">
        <w:rPr>
          <w:rFonts w:ascii="Times New Roman" w:eastAsia="Times New Roman" w:hAnsi="Times New Roman" w:cs="Times New Roman"/>
          <w:sz w:val="24"/>
          <w:szCs w:val="24"/>
          <w:lang w:val="de-AT"/>
        </w:rPr>
        <w:t xml:space="preserve"> (QD 312), Freiburg im Breisgau 2020, s. 91–105.</w:t>
      </w:r>
    </w:p>
    <w:p w14:paraId="38D64103" w14:textId="77777777" w:rsidR="00D77F5B"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B46F5">
        <w:rPr>
          <w:rFonts w:ascii="Times New Roman" w:eastAsia="Times New Roman" w:hAnsi="Times New Roman" w:cs="Times New Roman"/>
          <w:sz w:val="24"/>
          <w:szCs w:val="24"/>
          <w:lang w:val="de-AT"/>
        </w:rPr>
        <w:t>Brand</w:t>
      </w:r>
      <w:r>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sz w:val="24"/>
          <w:szCs w:val="24"/>
          <w:lang w:val="de-AT"/>
        </w:rPr>
        <w:t xml:space="preserve">A., </w:t>
      </w:r>
      <w:r w:rsidRPr="00DB46F5">
        <w:rPr>
          <w:rFonts w:ascii="Times New Roman" w:eastAsia="Times New Roman" w:hAnsi="Times New Roman" w:cs="Times New Roman"/>
          <w:i/>
          <w:iCs/>
          <w:sz w:val="24"/>
          <w:szCs w:val="24"/>
          <w:lang w:val="de-AT"/>
        </w:rPr>
        <w:t>Der Wert des Geldes. Soteriologie und Ethik in den synoptischen Evangelien</w:t>
      </w:r>
      <w:r w:rsidRPr="00DB46F5">
        <w:rPr>
          <w:rFonts w:ascii="Times New Roman" w:eastAsia="Times New Roman" w:hAnsi="Times New Roman" w:cs="Times New Roman"/>
          <w:sz w:val="24"/>
          <w:szCs w:val="24"/>
          <w:lang w:val="de-AT"/>
        </w:rPr>
        <w:t xml:space="preserve"> (BZ.S 16), Leiden - Paderborn 2025, s. 236–260.</w:t>
      </w:r>
    </w:p>
    <w:p w14:paraId="0E88F459" w14:textId="77777777" w:rsidR="00D77F5B" w:rsidRDefault="00D77F5B" w:rsidP="00D77F5B">
      <w:pPr>
        <w:spacing w:after="0" w:line="240" w:lineRule="auto"/>
        <w:ind w:left="1134" w:hanging="1134"/>
        <w:jc w:val="both"/>
        <w:rPr>
          <w:rFonts w:ascii="Times New Roman" w:eastAsia="Times New Roman" w:hAnsi="Times New Roman" w:cs="Times New Roman"/>
          <w:sz w:val="24"/>
          <w:szCs w:val="24"/>
          <w:lang w:val="en-US"/>
        </w:rPr>
      </w:pPr>
      <w:r w:rsidRPr="00D77F5B">
        <w:rPr>
          <w:rFonts w:ascii="Times New Roman" w:eastAsia="Times New Roman" w:hAnsi="Times New Roman" w:cs="Times New Roman"/>
          <w:sz w:val="24"/>
          <w:szCs w:val="24"/>
          <w:lang w:val="en-US"/>
        </w:rPr>
        <w:t xml:space="preserve">Goodman M., </w:t>
      </w:r>
      <w:r w:rsidRPr="00D77F5B">
        <w:rPr>
          <w:rFonts w:ascii="Times New Roman" w:eastAsia="Times New Roman" w:hAnsi="Times New Roman" w:cs="Times New Roman"/>
          <w:i/>
          <w:iCs/>
          <w:sz w:val="24"/>
          <w:szCs w:val="24"/>
          <w:lang w:val="en-US"/>
        </w:rPr>
        <w:t>The Place of the Sadducees in First-Century Judaism</w:t>
      </w:r>
      <w:r w:rsidRPr="00D77F5B">
        <w:rPr>
          <w:rFonts w:ascii="Times New Roman" w:eastAsia="Times New Roman" w:hAnsi="Times New Roman" w:cs="Times New Roman"/>
          <w:sz w:val="24"/>
          <w:szCs w:val="24"/>
          <w:lang w:val="en-US"/>
        </w:rPr>
        <w:t xml:space="preserve">, w: F.E. Udoh, S. Heschel, M.A. Chancey, G. Tatum (red.), </w:t>
      </w:r>
      <w:r w:rsidRPr="00D77F5B">
        <w:rPr>
          <w:rFonts w:ascii="Times New Roman" w:eastAsia="Times New Roman" w:hAnsi="Times New Roman" w:cs="Times New Roman"/>
          <w:i/>
          <w:iCs/>
          <w:sz w:val="24"/>
          <w:szCs w:val="24"/>
          <w:lang w:val="en-US"/>
        </w:rPr>
        <w:t>Redefining First-Century Jewish and Christian Identities. Essays in Honor of Ed Parish Sanders</w:t>
      </w:r>
      <w:r w:rsidRPr="00D77F5B">
        <w:rPr>
          <w:rFonts w:ascii="Times New Roman" w:eastAsia="Times New Roman" w:hAnsi="Times New Roman" w:cs="Times New Roman"/>
          <w:sz w:val="24"/>
          <w:szCs w:val="24"/>
          <w:lang w:val="en-US"/>
        </w:rPr>
        <w:t>, Notre Dame 2008, s. 139–152.</w:t>
      </w:r>
    </w:p>
    <w:p w14:paraId="3712AF28" w14:textId="77777777" w:rsidR="00D77F5B"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77F5B">
        <w:rPr>
          <w:rFonts w:ascii="Times New Roman" w:eastAsia="Times New Roman" w:hAnsi="Times New Roman" w:cs="Times New Roman"/>
          <w:sz w:val="24"/>
          <w:szCs w:val="24"/>
          <w:lang w:val="de-AT"/>
        </w:rPr>
        <w:t>Heede</w:t>
      </w:r>
      <w:r>
        <w:rPr>
          <w:rFonts w:ascii="Times New Roman" w:eastAsia="Times New Roman" w:hAnsi="Times New Roman" w:cs="Times New Roman"/>
          <w:sz w:val="24"/>
          <w:szCs w:val="24"/>
          <w:lang w:val="de-AT"/>
        </w:rPr>
        <w:t xml:space="preserve"> </w:t>
      </w:r>
      <w:r w:rsidRPr="00D77F5B">
        <w:rPr>
          <w:rFonts w:ascii="Times New Roman" w:eastAsia="Times New Roman" w:hAnsi="Times New Roman" w:cs="Times New Roman"/>
          <w:sz w:val="24"/>
          <w:szCs w:val="24"/>
          <w:lang w:val="de-AT"/>
        </w:rPr>
        <w:t xml:space="preserve">P. van den, </w:t>
      </w:r>
      <w:r w:rsidRPr="00D77F5B">
        <w:rPr>
          <w:rFonts w:ascii="Times New Roman" w:eastAsia="Times New Roman" w:hAnsi="Times New Roman" w:cs="Times New Roman"/>
          <w:i/>
          <w:iCs/>
          <w:sz w:val="24"/>
          <w:szCs w:val="24"/>
          <w:lang w:val="de-AT"/>
        </w:rPr>
        <w:t xml:space="preserve">Der Exeget Gottes. </w:t>
      </w:r>
      <w:r w:rsidRPr="00DB46F5">
        <w:rPr>
          <w:rFonts w:ascii="Times New Roman" w:eastAsia="Times New Roman" w:hAnsi="Times New Roman" w:cs="Times New Roman"/>
          <w:i/>
          <w:iCs/>
          <w:sz w:val="24"/>
          <w:szCs w:val="24"/>
          <w:lang w:val="de-AT"/>
        </w:rPr>
        <w:t>Studien zur johanneischen Offenbarungstheologie</w:t>
      </w:r>
      <w:r w:rsidRPr="00DB46F5">
        <w:rPr>
          <w:rFonts w:ascii="Times New Roman" w:eastAsia="Times New Roman" w:hAnsi="Times New Roman" w:cs="Times New Roman"/>
          <w:sz w:val="24"/>
          <w:szCs w:val="24"/>
          <w:lang w:val="de-AT"/>
        </w:rPr>
        <w:t xml:space="preserve"> (HBS 86), Freiburg im Breisgau 2017.</w:t>
      </w:r>
    </w:p>
    <w:p w14:paraId="62D66D8B" w14:textId="77777777" w:rsidR="00D77F5B" w:rsidRPr="00DB46F5"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B46F5">
        <w:rPr>
          <w:rFonts w:ascii="Times New Roman" w:eastAsia="Times New Roman" w:hAnsi="Times New Roman" w:cs="Times New Roman"/>
          <w:sz w:val="24"/>
          <w:szCs w:val="24"/>
          <w:lang w:val="de-AT"/>
        </w:rPr>
        <w:t>Jürgens</w:t>
      </w:r>
      <w:r>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sz w:val="24"/>
          <w:szCs w:val="24"/>
          <w:lang w:val="de-AT"/>
        </w:rPr>
        <w:t>B., Sellmann</w:t>
      </w:r>
      <w:r>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sz w:val="24"/>
          <w:szCs w:val="24"/>
          <w:lang w:val="de-AT"/>
        </w:rPr>
        <w:t xml:space="preserve">M. (red.), </w:t>
      </w:r>
      <w:r w:rsidRPr="00DB46F5">
        <w:rPr>
          <w:rFonts w:ascii="Times New Roman" w:eastAsia="Times New Roman" w:hAnsi="Times New Roman" w:cs="Times New Roman"/>
          <w:i/>
          <w:iCs/>
          <w:sz w:val="24"/>
          <w:szCs w:val="24"/>
          <w:lang w:val="de-AT"/>
        </w:rPr>
        <w:t>Wer entscheidet, wer was entscheidet? Zum Reformbedarf kirchlicher Führungspraxis</w:t>
      </w:r>
      <w:r w:rsidRPr="00DB46F5">
        <w:rPr>
          <w:rFonts w:ascii="Times New Roman" w:eastAsia="Times New Roman" w:hAnsi="Times New Roman" w:cs="Times New Roman"/>
          <w:sz w:val="24"/>
          <w:szCs w:val="24"/>
          <w:lang w:val="de-AT"/>
        </w:rPr>
        <w:t xml:space="preserve"> (QD 312), Frei</w:t>
      </w:r>
      <w:r>
        <w:rPr>
          <w:rFonts w:ascii="Times New Roman" w:eastAsia="Times New Roman" w:hAnsi="Times New Roman" w:cs="Times New Roman"/>
          <w:sz w:val="24"/>
          <w:szCs w:val="24"/>
          <w:lang w:val="de-AT"/>
        </w:rPr>
        <w:t>burg im Breisgau 2020</w:t>
      </w:r>
      <w:r w:rsidRPr="00DB46F5">
        <w:rPr>
          <w:rFonts w:ascii="Times New Roman" w:eastAsia="Times New Roman" w:hAnsi="Times New Roman" w:cs="Times New Roman"/>
          <w:sz w:val="24"/>
          <w:szCs w:val="24"/>
          <w:lang w:val="de-AT"/>
        </w:rPr>
        <w:t>.</w:t>
      </w:r>
    </w:p>
    <w:p w14:paraId="5735496F" w14:textId="77777777" w:rsidR="00D77F5B" w:rsidRPr="00DB46F5"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B46F5">
        <w:rPr>
          <w:rFonts w:ascii="Times New Roman" w:eastAsia="Times New Roman" w:hAnsi="Times New Roman" w:cs="Times New Roman"/>
          <w:sz w:val="24"/>
          <w:szCs w:val="24"/>
          <w:lang w:val="de-AT"/>
        </w:rPr>
        <w:t>Konradt</w:t>
      </w:r>
      <w:r>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sz w:val="24"/>
          <w:szCs w:val="24"/>
          <w:lang w:val="de-AT"/>
        </w:rPr>
        <w:t xml:space="preserve">M., </w:t>
      </w:r>
      <w:r w:rsidRPr="00DB46F5">
        <w:rPr>
          <w:rFonts w:ascii="Times New Roman" w:eastAsia="Times New Roman" w:hAnsi="Times New Roman" w:cs="Times New Roman"/>
          <w:i/>
          <w:iCs/>
          <w:sz w:val="24"/>
          <w:szCs w:val="24"/>
          <w:lang w:val="de-AT"/>
        </w:rPr>
        <w:t>Das Evangelium nach Matthäus</w:t>
      </w:r>
      <w:r>
        <w:rPr>
          <w:rFonts w:ascii="Times New Roman" w:eastAsia="Times New Roman" w:hAnsi="Times New Roman" w:cs="Times New Roman"/>
          <w:sz w:val="24"/>
          <w:szCs w:val="24"/>
          <w:lang w:val="de-AT"/>
        </w:rPr>
        <w:t xml:space="preserve"> (NTD 1), Göttingen </w:t>
      </w:r>
      <w:r w:rsidRPr="00DB46F5">
        <w:rPr>
          <w:rFonts w:ascii="Times New Roman" w:eastAsia="Times New Roman" w:hAnsi="Times New Roman" w:cs="Times New Roman"/>
          <w:sz w:val="24"/>
          <w:szCs w:val="24"/>
          <w:lang w:val="de-AT"/>
        </w:rPr>
        <w:t>2023.</w:t>
      </w:r>
    </w:p>
    <w:p w14:paraId="324EFC4B" w14:textId="77777777" w:rsidR="00D77F5B" w:rsidRDefault="00D77F5B" w:rsidP="00D77F5B">
      <w:pPr>
        <w:spacing w:after="0" w:line="240" w:lineRule="auto"/>
        <w:ind w:left="1134" w:hanging="1134"/>
        <w:jc w:val="both"/>
        <w:rPr>
          <w:rFonts w:ascii="Times New Roman" w:eastAsia="Times New Roman" w:hAnsi="Times New Roman" w:cs="Times New Roman"/>
          <w:sz w:val="24"/>
          <w:szCs w:val="24"/>
          <w:lang w:val="en-US"/>
        </w:rPr>
      </w:pPr>
      <w:r w:rsidRPr="00DB46F5">
        <w:rPr>
          <w:rFonts w:ascii="Times New Roman" w:eastAsia="Times New Roman" w:hAnsi="Times New Roman" w:cs="Times New Roman"/>
          <w:sz w:val="24"/>
          <w:szCs w:val="24"/>
          <w:lang w:val="en-US"/>
        </w:rPr>
        <w:t>Neusner</w:t>
      </w:r>
      <w:r>
        <w:rPr>
          <w:rFonts w:ascii="Times New Roman" w:eastAsia="Times New Roman" w:hAnsi="Times New Roman" w:cs="Times New Roman"/>
          <w:sz w:val="24"/>
          <w:szCs w:val="24"/>
          <w:lang w:val="en-US"/>
        </w:rPr>
        <w:t xml:space="preserve"> </w:t>
      </w:r>
      <w:r w:rsidRPr="00DB46F5">
        <w:rPr>
          <w:rFonts w:ascii="Times New Roman" w:eastAsia="Times New Roman" w:hAnsi="Times New Roman" w:cs="Times New Roman"/>
          <w:sz w:val="24"/>
          <w:szCs w:val="24"/>
          <w:lang w:val="en-US"/>
        </w:rPr>
        <w:t xml:space="preserve">J., </w:t>
      </w:r>
      <w:r w:rsidRPr="00DB46F5">
        <w:rPr>
          <w:rFonts w:ascii="Times New Roman" w:eastAsia="Times New Roman" w:hAnsi="Times New Roman" w:cs="Times New Roman"/>
          <w:i/>
          <w:iCs/>
          <w:sz w:val="24"/>
          <w:szCs w:val="24"/>
          <w:lang w:val="en-US"/>
        </w:rPr>
        <w:t>A Rabbi Talks with Jesus. An Intermillenial Interfaith Exchange</w:t>
      </w:r>
      <w:r w:rsidRPr="00DB46F5">
        <w:rPr>
          <w:rFonts w:ascii="Times New Roman" w:eastAsia="Times New Roman" w:hAnsi="Times New Roman" w:cs="Times New Roman"/>
          <w:sz w:val="24"/>
          <w:szCs w:val="24"/>
          <w:lang w:val="en-US"/>
        </w:rPr>
        <w:t xml:space="preserve">, New York 1993. </w:t>
      </w:r>
    </w:p>
    <w:p w14:paraId="1B31A257" w14:textId="77777777" w:rsidR="00D77F5B" w:rsidRPr="00DB46F5" w:rsidRDefault="00D77F5B" w:rsidP="00D77F5B">
      <w:pPr>
        <w:pStyle w:val="FootnoteText"/>
        <w:ind w:left="1134" w:hanging="1134"/>
        <w:jc w:val="both"/>
        <w:rPr>
          <w:rFonts w:ascii="Times New Roman" w:hAnsi="Times New Roman" w:cs="Times New Roman"/>
          <w:sz w:val="24"/>
          <w:szCs w:val="24"/>
          <w:lang w:val="de-AT"/>
        </w:rPr>
      </w:pPr>
      <w:r w:rsidRPr="00DB46F5">
        <w:rPr>
          <w:rFonts w:ascii="Times New Roman" w:eastAsia="Times New Roman" w:hAnsi="Times New Roman" w:cs="Times New Roman"/>
          <w:sz w:val="24"/>
          <w:szCs w:val="24"/>
          <w:lang w:val="de-AT"/>
        </w:rPr>
        <w:t>Ratzinger</w:t>
      </w:r>
      <w:r>
        <w:rPr>
          <w:rFonts w:ascii="Times New Roman" w:eastAsia="Times New Roman" w:hAnsi="Times New Roman" w:cs="Times New Roman"/>
          <w:sz w:val="24"/>
          <w:szCs w:val="24"/>
          <w:lang w:val="de-AT"/>
        </w:rPr>
        <w:t xml:space="preserve"> J.</w:t>
      </w:r>
      <w:r w:rsidRPr="00DB46F5">
        <w:rPr>
          <w:rFonts w:ascii="Times New Roman" w:eastAsia="Times New Roman" w:hAnsi="Times New Roman" w:cs="Times New Roman"/>
          <w:sz w:val="24"/>
          <w:szCs w:val="24"/>
          <w:lang w:val="de-AT"/>
        </w:rPr>
        <w:t xml:space="preserve"> / Benedykt XVI., </w:t>
      </w:r>
      <w:r w:rsidRPr="00DB46F5">
        <w:rPr>
          <w:rFonts w:ascii="Times New Roman" w:hAnsi="Times New Roman" w:cs="Times New Roman"/>
          <w:i/>
          <w:sz w:val="24"/>
          <w:szCs w:val="24"/>
          <w:lang w:val="de-AT"/>
        </w:rPr>
        <w:t>Jesus von Nazareth</w:t>
      </w:r>
      <w:r w:rsidRPr="00DB46F5">
        <w:rPr>
          <w:rFonts w:ascii="Times New Roman" w:eastAsia="Times New Roman" w:hAnsi="Times New Roman" w:cs="Times New Roman"/>
          <w:sz w:val="24"/>
          <w:szCs w:val="24"/>
          <w:lang w:val="de-AT"/>
        </w:rPr>
        <w:t xml:space="preserve">, t. 1: </w:t>
      </w:r>
      <w:r w:rsidRPr="00DB46F5">
        <w:rPr>
          <w:rFonts w:ascii="Times New Roman" w:hAnsi="Times New Roman" w:cs="Times New Roman"/>
          <w:i/>
          <w:sz w:val="24"/>
          <w:szCs w:val="24"/>
          <w:lang w:val="de-AT"/>
        </w:rPr>
        <w:t>Von der Taufe im Jordan bis zur Verklärung</w:t>
      </w:r>
      <w:r w:rsidRPr="00DB46F5">
        <w:rPr>
          <w:rFonts w:ascii="Times New Roman" w:eastAsia="Times New Roman" w:hAnsi="Times New Roman" w:cs="Times New Roman"/>
          <w:sz w:val="24"/>
          <w:szCs w:val="24"/>
          <w:lang w:val="de-AT"/>
        </w:rPr>
        <w:t>, Freib</w:t>
      </w:r>
      <w:r>
        <w:rPr>
          <w:rFonts w:ascii="Times New Roman" w:eastAsia="Times New Roman" w:hAnsi="Times New Roman" w:cs="Times New Roman"/>
          <w:sz w:val="24"/>
          <w:szCs w:val="24"/>
          <w:lang w:val="de-AT"/>
        </w:rPr>
        <w:t>urg im Breisgau 2007.</w:t>
      </w:r>
    </w:p>
    <w:p w14:paraId="5A2D95F5" w14:textId="77777777" w:rsidR="00D77F5B" w:rsidRPr="00DB46F5"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B46F5">
        <w:rPr>
          <w:rFonts w:ascii="Times New Roman" w:eastAsia="Times New Roman" w:hAnsi="Times New Roman" w:cs="Times New Roman"/>
          <w:sz w:val="24"/>
          <w:szCs w:val="24"/>
          <w:lang w:val="de-AT"/>
        </w:rPr>
        <w:lastRenderedPageBreak/>
        <w:t>Scholtissek</w:t>
      </w:r>
      <w:r>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sz w:val="24"/>
          <w:szCs w:val="24"/>
          <w:lang w:val="de-AT"/>
        </w:rPr>
        <w:t xml:space="preserve">K., </w:t>
      </w:r>
      <w:r w:rsidRPr="00DB46F5">
        <w:rPr>
          <w:rFonts w:ascii="Times New Roman" w:eastAsia="Times New Roman" w:hAnsi="Times New Roman" w:cs="Times New Roman"/>
          <w:i/>
          <w:iCs/>
          <w:sz w:val="24"/>
          <w:szCs w:val="24"/>
          <w:lang w:val="de-AT"/>
        </w:rPr>
        <w:t>Die Vollmacht Jesu. Traditions- und redaktionsgeschichtliche Analysen zu einem Leitmotiv markinischer Christologie</w:t>
      </w:r>
      <w:r w:rsidRPr="00DB46F5">
        <w:rPr>
          <w:rFonts w:ascii="Times New Roman" w:eastAsia="Times New Roman" w:hAnsi="Times New Roman" w:cs="Times New Roman"/>
          <w:sz w:val="24"/>
          <w:szCs w:val="24"/>
          <w:lang w:val="de-AT"/>
        </w:rPr>
        <w:t xml:space="preserve"> (NTA 25), Münster 1992.</w:t>
      </w:r>
    </w:p>
    <w:p w14:paraId="21DEB43E" w14:textId="77777777" w:rsidR="00D77F5B"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77F5B">
        <w:rPr>
          <w:rFonts w:ascii="Times New Roman" w:eastAsia="Times New Roman" w:hAnsi="Times New Roman" w:cs="Times New Roman"/>
          <w:sz w:val="24"/>
          <w:szCs w:val="24"/>
          <w:lang w:val="de-AT"/>
        </w:rPr>
        <w:t>Sievers</w:t>
      </w:r>
      <w:r>
        <w:rPr>
          <w:rFonts w:ascii="Times New Roman" w:eastAsia="Times New Roman" w:hAnsi="Times New Roman" w:cs="Times New Roman"/>
          <w:sz w:val="24"/>
          <w:szCs w:val="24"/>
          <w:lang w:val="de-AT"/>
        </w:rPr>
        <w:t xml:space="preserve"> </w:t>
      </w:r>
      <w:r w:rsidRPr="00D77F5B">
        <w:rPr>
          <w:rFonts w:ascii="Times New Roman" w:eastAsia="Times New Roman" w:hAnsi="Times New Roman" w:cs="Times New Roman"/>
          <w:sz w:val="24"/>
          <w:szCs w:val="24"/>
          <w:lang w:val="de-AT"/>
        </w:rPr>
        <w:t>J., Levine</w:t>
      </w:r>
      <w:r>
        <w:rPr>
          <w:rFonts w:ascii="Times New Roman" w:eastAsia="Times New Roman" w:hAnsi="Times New Roman" w:cs="Times New Roman"/>
          <w:sz w:val="24"/>
          <w:szCs w:val="24"/>
          <w:lang w:val="de-AT"/>
        </w:rPr>
        <w:t xml:space="preserve"> </w:t>
      </w:r>
      <w:r w:rsidRPr="00D77F5B">
        <w:rPr>
          <w:rFonts w:ascii="Times New Roman" w:eastAsia="Times New Roman" w:hAnsi="Times New Roman" w:cs="Times New Roman"/>
          <w:sz w:val="24"/>
          <w:szCs w:val="24"/>
          <w:lang w:val="de-AT"/>
        </w:rPr>
        <w:t xml:space="preserve">A.J., Schröter J. (red.), </w:t>
      </w:r>
      <w:r w:rsidRPr="00D77F5B">
        <w:rPr>
          <w:rFonts w:ascii="Times New Roman" w:eastAsia="Times New Roman" w:hAnsi="Times New Roman" w:cs="Times New Roman"/>
          <w:i/>
          <w:iCs/>
          <w:sz w:val="24"/>
          <w:szCs w:val="24"/>
          <w:lang w:val="de-AT"/>
        </w:rPr>
        <w:t>Die Pharisäer – Geschichte und Deutung</w:t>
      </w:r>
      <w:r w:rsidRPr="00D77F5B">
        <w:rPr>
          <w:rFonts w:ascii="Times New Roman" w:eastAsia="Times New Roman" w:hAnsi="Times New Roman" w:cs="Times New Roman"/>
          <w:sz w:val="24"/>
          <w:szCs w:val="24"/>
          <w:lang w:val="de-AT"/>
        </w:rPr>
        <w:t>, Freiburg im Breisgau 2024.</w:t>
      </w:r>
    </w:p>
    <w:p w14:paraId="77B57900" w14:textId="77777777" w:rsidR="00D77F5B"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B46F5">
        <w:rPr>
          <w:rFonts w:ascii="Times New Roman" w:eastAsia="Times New Roman" w:hAnsi="Times New Roman" w:cs="Times New Roman"/>
          <w:sz w:val="24"/>
          <w:szCs w:val="24"/>
          <w:lang w:val="de-AT"/>
        </w:rPr>
        <w:t>Söding</w:t>
      </w:r>
      <w:r>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sz w:val="24"/>
          <w:szCs w:val="24"/>
          <w:lang w:val="de-AT"/>
        </w:rPr>
        <w:t xml:space="preserve">T., </w:t>
      </w:r>
      <w:r w:rsidRPr="00DB46F5">
        <w:rPr>
          <w:rFonts w:ascii="Times New Roman" w:eastAsia="Times New Roman" w:hAnsi="Times New Roman" w:cs="Times New Roman"/>
          <w:i/>
          <w:iCs/>
          <w:sz w:val="24"/>
          <w:szCs w:val="24"/>
          <w:lang w:val="de-AT"/>
        </w:rPr>
        <w:t>Gemeinsam unterwegs. Synodalität in der katholischen Kirche</w:t>
      </w:r>
      <w:r w:rsidRPr="00DB46F5">
        <w:rPr>
          <w:rFonts w:ascii="Times New Roman" w:eastAsia="Times New Roman" w:hAnsi="Times New Roman" w:cs="Times New Roman"/>
          <w:sz w:val="24"/>
          <w:szCs w:val="24"/>
          <w:lang w:val="de-AT"/>
        </w:rPr>
        <w:t>, Ostfildern 2022</w:t>
      </w:r>
      <w:r>
        <w:rPr>
          <w:rFonts w:ascii="Times New Roman" w:eastAsia="Times New Roman" w:hAnsi="Times New Roman" w:cs="Times New Roman"/>
          <w:sz w:val="24"/>
          <w:szCs w:val="24"/>
          <w:lang w:val="de-AT"/>
        </w:rPr>
        <w:t>.</w:t>
      </w:r>
    </w:p>
    <w:p w14:paraId="07EFE3F9" w14:textId="77777777" w:rsidR="00D77F5B" w:rsidRPr="00DB46F5"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B46F5">
        <w:rPr>
          <w:rFonts w:ascii="Times New Roman" w:eastAsia="Times New Roman" w:hAnsi="Times New Roman" w:cs="Times New Roman"/>
          <w:sz w:val="24"/>
          <w:szCs w:val="24"/>
          <w:lang w:val="de-AT"/>
        </w:rPr>
        <w:t>Söding</w:t>
      </w:r>
      <w:r>
        <w:rPr>
          <w:rFonts w:ascii="Times New Roman" w:eastAsia="Times New Roman" w:hAnsi="Times New Roman" w:cs="Times New Roman"/>
          <w:sz w:val="24"/>
          <w:szCs w:val="24"/>
          <w:lang w:val="de-AT"/>
        </w:rPr>
        <w:t xml:space="preserve"> T.</w:t>
      </w:r>
      <w:r w:rsidRPr="00DB46F5">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i/>
          <w:iCs/>
          <w:sz w:val="24"/>
          <w:szCs w:val="24"/>
          <w:lang w:val="de-AT"/>
        </w:rPr>
        <w:t>Gottesreich und Menschenmacht. Politische Ethik des Neuen Testaments</w:t>
      </w:r>
      <w:r w:rsidRPr="00DB46F5">
        <w:rPr>
          <w:rFonts w:ascii="Times New Roman" w:eastAsia="Times New Roman" w:hAnsi="Times New Roman" w:cs="Times New Roman"/>
          <w:sz w:val="24"/>
          <w:szCs w:val="24"/>
          <w:lang w:val="de-AT"/>
        </w:rPr>
        <w:t>, Freiburg im Breisgau 2024.</w:t>
      </w:r>
    </w:p>
    <w:p w14:paraId="19097B63" w14:textId="77777777" w:rsidR="00D77F5B" w:rsidRPr="00D77F5B" w:rsidRDefault="00D77F5B" w:rsidP="00D77F5B">
      <w:pPr>
        <w:spacing w:after="0" w:line="240" w:lineRule="auto"/>
        <w:ind w:left="1134" w:hanging="1134"/>
        <w:jc w:val="both"/>
        <w:rPr>
          <w:rFonts w:ascii="Times New Roman" w:eastAsia="Times New Roman" w:hAnsi="Times New Roman" w:cs="Times New Roman"/>
          <w:sz w:val="24"/>
          <w:szCs w:val="24"/>
          <w:lang w:val="en-US"/>
        </w:rPr>
      </w:pPr>
      <w:r w:rsidRPr="00D77F5B">
        <w:rPr>
          <w:rFonts w:ascii="Times New Roman" w:eastAsia="Times New Roman" w:hAnsi="Times New Roman" w:cs="Times New Roman"/>
          <w:sz w:val="24"/>
          <w:szCs w:val="24"/>
          <w:lang w:val="en-US"/>
        </w:rPr>
        <w:t>Udoh</w:t>
      </w:r>
      <w:r>
        <w:rPr>
          <w:rFonts w:ascii="Times New Roman" w:eastAsia="Times New Roman" w:hAnsi="Times New Roman" w:cs="Times New Roman"/>
          <w:sz w:val="24"/>
          <w:szCs w:val="24"/>
          <w:lang w:val="en-US"/>
        </w:rPr>
        <w:t xml:space="preserve"> </w:t>
      </w:r>
      <w:r w:rsidRPr="00D77F5B">
        <w:rPr>
          <w:rFonts w:ascii="Times New Roman" w:eastAsia="Times New Roman" w:hAnsi="Times New Roman" w:cs="Times New Roman"/>
          <w:sz w:val="24"/>
          <w:szCs w:val="24"/>
          <w:lang w:val="en-US"/>
        </w:rPr>
        <w:t>F.E., Heschel</w:t>
      </w:r>
      <w:r>
        <w:rPr>
          <w:rFonts w:ascii="Times New Roman" w:eastAsia="Times New Roman" w:hAnsi="Times New Roman" w:cs="Times New Roman"/>
          <w:sz w:val="24"/>
          <w:szCs w:val="24"/>
          <w:lang w:val="en-US"/>
        </w:rPr>
        <w:t xml:space="preserve"> </w:t>
      </w:r>
      <w:r w:rsidRPr="00D77F5B">
        <w:rPr>
          <w:rFonts w:ascii="Times New Roman" w:eastAsia="Times New Roman" w:hAnsi="Times New Roman" w:cs="Times New Roman"/>
          <w:sz w:val="24"/>
          <w:szCs w:val="24"/>
          <w:lang w:val="en-US"/>
        </w:rPr>
        <w:t>S., Chancey</w:t>
      </w:r>
      <w:r>
        <w:rPr>
          <w:rFonts w:ascii="Times New Roman" w:eastAsia="Times New Roman" w:hAnsi="Times New Roman" w:cs="Times New Roman"/>
          <w:sz w:val="24"/>
          <w:szCs w:val="24"/>
          <w:lang w:val="en-US"/>
        </w:rPr>
        <w:t xml:space="preserve"> </w:t>
      </w:r>
      <w:r w:rsidRPr="00D77F5B">
        <w:rPr>
          <w:rFonts w:ascii="Times New Roman" w:eastAsia="Times New Roman" w:hAnsi="Times New Roman" w:cs="Times New Roman"/>
          <w:sz w:val="24"/>
          <w:szCs w:val="24"/>
          <w:lang w:val="en-US"/>
        </w:rPr>
        <w:t xml:space="preserve">M.A., Tatum G. (red.), </w:t>
      </w:r>
      <w:r w:rsidRPr="00D77F5B">
        <w:rPr>
          <w:rFonts w:ascii="Times New Roman" w:eastAsia="Times New Roman" w:hAnsi="Times New Roman" w:cs="Times New Roman"/>
          <w:i/>
          <w:iCs/>
          <w:sz w:val="24"/>
          <w:szCs w:val="24"/>
          <w:lang w:val="en-US"/>
        </w:rPr>
        <w:t>Redefining First-Century Jewish and Christian Identities. Essays in Honor of Ed Parish Sanders</w:t>
      </w:r>
      <w:r>
        <w:rPr>
          <w:rFonts w:ascii="Times New Roman" w:eastAsia="Times New Roman" w:hAnsi="Times New Roman" w:cs="Times New Roman"/>
          <w:sz w:val="24"/>
          <w:szCs w:val="24"/>
          <w:lang w:val="en-US"/>
        </w:rPr>
        <w:t>, Notre Dame 2008.</w:t>
      </w:r>
    </w:p>
    <w:p w14:paraId="1BCF33B9" w14:textId="77777777" w:rsidR="00D77F5B" w:rsidRPr="00DB46F5" w:rsidRDefault="00D77F5B" w:rsidP="00D77F5B">
      <w:pPr>
        <w:spacing w:after="0" w:line="240" w:lineRule="auto"/>
        <w:ind w:left="1134" w:hanging="1134"/>
        <w:jc w:val="both"/>
        <w:rPr>
          <w:rFonts w:ascii="Times New Roman" w:eastAsia="Times New Roman" w:hAnsi="Times New Roman" w:cs="Times New Roman"/>
          <w:sz w:val="24"/>
          <w:szCs w:val="24"/>
          <w:lang w:val="de-AT"/>
        </w:rPr>
      </w:pPr>
      <w:r w:rsidRPr="00DB46F5">
        <w:rPr>
          <w:rFonts w:ascii="Times New Roman" w:eastAsia="Times New Roman" w:hAnsi="Times New Roman" w:cs="Times New Roman"/>
          <w:sz w:val="24"/>
          <w:szCs w:val="24"/>
          <w:lang w:val="de-AT"/>
        </w:rPr>
        <w:t>Vorholt</w:t>
      </w:r>
      <w:r>
        <w:rPr>
          <w:rFonts w:ascii="Times New Roman" w:eastAsia="Times New Roman" w:hAnsi="Times New Roman" w:cs="Times New Roman"/>
          <w:sz w:val="24"/>
          <w:szCs w:val="24"/>
          <w:lang w:val="de-AT"/>
        </w:rPr>
        <w:t xml:space="preserve"> </w:t>
      </w:r>
      <w:r w:rsidRPr="00DB46F5">
        <w:rPr>
          <w:rFonts w:ascii="Times New Roman" w:eastAsia="Times New Roman" w:hAnsi="Times New Roman" w:cs="Times New Roman"/>
          <w:sz w:val="24"/>
          <w:szCs w:val="24"/>
          <w:lang w:val="de-AT"/>
        </w:rPr>
        <w:t xml:space="preserve">R., </w:t>
      </w:r>
      <w:r w:rsidRPr="00DB46F5">
        <w:rPr>
          <w:rFonts w:ascii="Times New Roman" w:eastAsia="Times New Roman" w:hAnsi="Times New Roman" w:cs="Times New Roman"/>
          <w:i/>
          <w:iCs/>
          <w:sz w:val="24"/>
          <w:szCs w:val="24"/>
          <w:lang w:val="de-AT"/>
        </w:rPr>
        <w:t>Das Osterevangelium. Erinnerung und Erzählung</w:t>
      </w:r>
      <w:r w:rsidRPr="00DB46F5">
        <w:rPr>
          <w:rFonts w:ascii="Times New Roman" w:eastAsia="Times New Roman" w:hAnsi="Times New Roman" w:cs="Times New Roman"/>
          <w:sz w:val="24"/>
          <w:szCs w:val="24"/>
          <w:lang w:val="de-AT"/>
        </w:rPr>
        <w:t xml:space="preserve"> (HBS 73), Freiburg im Breisgau 2013, s. 289–290.</w:t>
      </w:r>
    </w:p>
    <w:p w14:paraId="770000DE" w14:textId="77777777" w:rsidR="00D77F5B" w:rsidRPr="00DB46F5" w:rsidRDefault="00D77F5B" w:rsidP="00D77F5B">
      <w:pPr>
        <w:spacing w:after="0" w:line="240" w:lineRule="auto"/>
        <w:ind w:left="1134" w:hanging="1134"/>
        <w:jc w:val="both"/>
        <w:rPr>
          <w:rFonts w:ascii="Times New Roman" w:eastAsia="Times New Roman" w:hAnsi="Times New Roman" w:cs="Times New Roman"/>
          <w:sz w:val="24"/>
          <w:szCs w:val="24"/>
          <w:lang w:val="fr-FR"/>
        </w:rPr>
      </w:pPr>
      <w:r w:rsidRPr="00DB46F5">
        <w:rPr>
          <w:rFonts w:ascii="Times New Roman" w:eastAsia="Times New Roman" w:hAnsi="Times New Roman" w:cs="Times New Roman"/>
          <w:sz w:val="24"/>
          <w:szCs w:val="24"/>
          <w:lang w:val="fr-FR"/>
        </w:rPr>
        <w:t xml:space="preserve">Zumstein J., </w:t>
      </w:r>
      <w:r w:rsidRPr="00DB46F5">
        <w:rPr>
          <w:rFonts w:ascii="Times New Roman" w:eastAsia="Times New Roman" w:hAnsi="Times New Roman" w:cs="Times New Roman"/>
          <w:i/>
          <w:iCs/>
          <w:sz w:val="24"/>
          <w:szCs w:val="24"/>
          <w:lang w:val="fr-FR"/>
        </w:rPr>
        <w:t>L’Évangile selon Saint Jean</w:t>
      </w:r>
      <w:r w:rsidRPr="00DB46F5">
        <w:rPr>
          <w:rFonts w:ascii="Times New Roman" w:eastAsia="Times New Roman" w:hAnsi="Times New Roman" w:cs="Times New Roman"/>
          <w:sz w:val="24"/>
          <w:szCs w:val="24"/>
          <w:lang w:val="fr-FR"/>
        </w:rPr>
        <w:t xml:space="preserve"> I–II (CNT IV), Genève 2014.</w:t>
      </w:r>
    </w:p>
    <w:p w14:paraId="562E3B7C" w14:textId="77777777" w:rsidR="00DB46F5" w:rsidRPr="00D77F5B" w:rsidRDefault="00DB46F5" w:rsidP="00DB46F5">
      <w:pPr>
        <w:pStyle w:val="FootnoteText"/>
        <w:rPr>
          <w:sz w:val="24"/>
          <w:szCs w:val="24"/>
          <w:lang w:val="fr-FR"/>
        </w:rPr>
      </w:pPr>
    </w:p>
    <w:p w14:paraId="46ACE12F" w14:textId="77777777" w:rsidR="00753755" w:rsidRPr="00D77F5B" w:rsidRDefault="00753755" w:rsidP="00753755">
      <w:pPr>
        <w:pStyle w:val="NormalWeb"/>
        <w:jc w:val="both"/>
        <w:rPr>
          <w:lang w:val="fr-FR"/>
        </w:rPr>
      </w:pPr>
    </w:p>
    <w:p w14:paraId="71479972" w14:textId="77777777" w:rsidR="00CF35C4" w:rsidRPr="00D77F5B" w:rsidRDefault="00CF35C4" w:rsidP="003B0D35">
      <w:pPr>
        <w:spacing w:line="240" w:lineRule="auto"/>
        <w:jc w:val="both"/>
        <w:rPr>
          <w:rFonts w:ascii="Times New Roman" w:hAnsi="Times New Roman" w:cs="Times New Roman"/>
          <w:sz w:val="24"/>
          <w:szCs w:val="24"/>
          <w:lang w:val="fr-FR"/>
        </w:rPr>
      </w:pPr>
    </w:p>
    <w:sectPr w:rsidR="00CF35C4" w:rsidRPr="00D77F5B" w:rsidSect="006421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BCBA" w14:textId="77777777" w:rsidR="003D16CA" w:rsidRDefault="003D16CA" w:rsidP="009A6282">
      <w:pPr>
        <w:spacing w:after="0" w:line="240" w:lineRule="auto"/>
      </w:pPr>
      <w:r>
        <w:separator/>
      </w:r>
    </w:p>
  </w:endnote>
  <w:endnote w:type="continuationSeparator" w:id="0">
    <w:p w14:paraId="756B95D1" w14:textId="77777777" w:rsidR="003D16CA" w:rsidRDefault="003D16CA" w:rsidP="009A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A513" w14:textId="77777777" w:rsidR="003D16CA" w:rsidRDefault="003D16CA" w:rsidP="009A6282">
      <w:pPr>
        <w:spacing w:after="0" w:line="240" w:lineRule="auto"/>
      </w:pPr>
      <w:r>
        <w:separator/>
      </w:r>
    </w:p>
  </w:footnote>
  <w:footnote w:type="continuationSeparator" w:id="0">
    <w:p w14:paraId="079F680A" w14:textId="77777777" w:rsidR="003D16CA" w:rsidRDefault="003D16CA" w:rsidP="009A6282">
      <w:pPr>
        <w:spacing w:after="0" w:line="240" w:lineRule="auto"/>
      </w:pPr>
      <w:r>
        <w:continuationSeparator/>
      </w:r>
    </w:p>
  </w:footnote>
  <w:footnote w:id="1">
    <w:p w14:paraId="27953FD3" w14:textId="77777777" w:rsidR="009A6282" w:rsidRPr="00DB46F5" w:rsidRDefault="009A6282" w:rsidP="00FE2F1F">
      <w:pPr>
        <w:spacing w:after="0"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C03BFA" w:rsidRPr="00DB46F5">
        <w:rPr>
          <w:rFonts w:ascii="Times New Roman" w:eastAsia="Times New Roman" w:hAnsi="Times New Roman" w:cs="Times New Roman"/>
          <w:sz w:val="20"/>
          <w:szCs w:val="20"/>
          <w:lang w:val="de-AT"/>
        </w:rPr>
        <w:t>Por. M.</w:t>
      </w:r>
      <w:r w:rsidR="004D72FB" w:rsidRPr="00DB46F5">
        <w:rPr>
          <w:rFonts w:ascii="Times New Roman" w:eastAsia="Times New Roman" w:hAnsi="Times New Roman" w:cs="Times New Roman"/>
          <w:sz w:val="20"/>
          <w:szCs w:val="20"/>
          <w:lang w:val="de-AT"/>
        </w:rPr>
        <w:t xml:space="preserve"> Konradt, </w:t>
      </w:r>
      <w:r w:rsidR="004D72FB" w:rsidRPr="00DB46F5">
        <w:rPr>
          <w:rFonts w:ascii="Times New Roman" w:eastAsia="Times New Roman" w:hAnsi="Times New Roman" w:cs="Times New Roman"/>
          <w:i/>
          <w:iCs/>
          <w:sz w:val="20"/>
          <w:szCs w:val="20"/>
          <w:lang w:val="de-AT"/>
        </w:rPr>
        <w:t>Das Evangelium nach Matthäus</w:t>
      </w:r>
      <w:r w:rsidR="004D72FB" w:rsidRPr="00DB46F5">
        <w:rPr>
          <w:rFonts w:ascii="Times New Roman" w:eastAsia="Times New Roman" w:hAnsi="Times New Roman" w:cs="Times New Roman"/>
          <w:sz w:val="20"/>
          <w:szCs w:val="20"/>
          <w:lang w:val="de-AT"/>
        </w:rPr>
        <w:t xml:space="preserve"> (NTD 1), Göttingen 2. wyd. 2023, s. 65–67, </w:t>
      </w:r>
      <w:r w:rsidR="00C03BFA" w:rsidRPr="00DB46F5">
        <w:rPr>
          <w:rFonts w:ascii="Times New Roman" w:eastAsia="Times New Roman" w:hAnsi="Times New Roman" w:cs="Times New Roman"/>
          <w:sz w:val="20"/>
          <w:szCs w:val="20"/>
          <w:lang w:val="de-AT"/>
        </w:rPr>
        <w:t xml:space="preserve">s. </w:t>
      </w:r>
      <w:r w:rsidR="004D72FB" w:rsidRPr="00DB46F5">
        <w:rPr>
          <w:rFonts w:ascii="Times New Roman" w:eastAsia="Times New Roman" w:hAnsi="Times New Roman" w:cs="Times New Roman"/>
          <w:sz w:val="20"/>
          <w:szCs w:val="20"/>
          <w:lang w:val="de-AT"/>
        </w:rPr>
        <w:t>130–131.</w:t>
      </w:r>
    </w:p>
  </w:footnote>
  <w:footnote w:id="2">
    <w:p w14:paraId="23BE4B16" w14:textId="77777777" w:rsidR="008B0BD0" w:rsidRPr="00DB46F5" w:rsidRDefault="008B0BD0" w:rsidP="00C03BFA">
      <w:pPr>
        <w:spacing w:after="0" w:line="240" w:lineRule="auto"/>
        <w:jc w:val="both"/>
        <w:rPr>
          <w:rFonts w:ascii="Times New Roman" w:eastAsia="Times New Roman" w:hAnsi="Times New Roman" w:cs="Times New Roman"/>
          <w:sz w:val="20"/>
          <w:szCs w:val="20"/>
          <w:lang w:val="en-US"/>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en-US"/>
        </w:rPr>
        <w:t xml:space="preserve"> </w:t>
      </w:r>
      <w:r w:rsidR="00C03BFA" w:rsidRPr="00DB46F5">
        <w:rPr>
          <w:rFonts w:ascii="Times New Roman" w:eastAsia="Times New Roman" w:hAnsi="Times New Roman" w:cs="Times New Roman"/>
          <w:sz w:val="20"/>
          <w:szCs w:val="20"/>
          <w:lang w:val="en-US"/>
        </w:rPr>
        <w:t>J.</w:t>
      </w:r>
      <w:r w:rsidR="00FE2F1F" w:rsidRPr="00DB46F5">
        <w:rPr>
          <w:rFonts w:ascii="Times New Roman" w:eastAsia="Times New Roman" w:hAnsi="Times New Roman" w:cs="Times New Roman"/>
          <w:sz w:val="20"/>
          <w:szCs w:val="20"/>
          <w:lang w:val="en-US"/>
        </w:rPr>
        <w:t xml:space="preserve"> Neusner, </w:t>
      </w:r>
      <w:r w:rsidR="00FE2F1F" w:rsidRPr="00DB46F5">
        <w:rPr>
          <w:rFonts w:ascii="Times New Roman" w:eastAsia="Times New Roman" w:hAnsi="Times New Roman" w:cs="Times New Roman"/>
          <w:i/>
          <w:iCs/>
          <w:sz w:val="20"/>
          <w:szCs w:val="20"/>
          <w:lang w:val="en-US"/>
        </w:rPr>
        <w:t>A Rabbi Talks with Jesus. An Intermillenial Interfaith Exchange</w:t>
      </w:r>
      <w:r w:rsidR="00FE2F1F" w:rsidRPr="00DB46F5">
        <w:rPr>
          <w:rFonts w:ascii="Times New Roman" w:eastAsia="Times New Roman" w:hAnsi="Times New Roman" w:cs="Times New Roman"/>
          <w:sz w:val="20"/>
          <w:szCs w:val="20"/>
          <w:lang w:val="en-US"/>
        </w:rPr>
        <w:t>, New York 1993.</w:t>
      </w:r>
      <w:r w:rsidR="00C03BFA" w:rsidRPr="00DB46F5">
        <w:rPr>
          <w:rFonts w:ascii="Times New Roman" w:eastAsia="Times New Roman" w:hAnsi="Times New Roman" w:cs="Times New Roman"/>
          <w:sz w:val="20"/>
          <w:szCs w:val="20"/>
          <w:lang w:val="en-US"/>
        </w:rPr>
        <w:t xml:space="preserve"> </w:t>
      </w:r>
      <w:r w:rsidR="00FE2F1F" w:rsidRPr="00DB46F5">
        <w:rPr>
          <w:rFonts w:ascii="Times New Roman" w:eastAsia="Times New Roman" w:hAnsi="Times New Roman" w:cs="Times New Roman"/>
          <w:sz w:val="20"/>
          <w:szCs w:val="20"/>
          <w:lang w:val="de-AT"/>
        </w:rPr>
        <w:t xml:space="preserve">Wydanie niemieckie: </w:t>
      </w:r>
      <w:r w:rsidR="00FE2F1F" w:rsidRPr="00DB46F5">
        <w:rPr>
          <w:rFonts w:ascii="Times New Roman" w:eastAsia="Times New Roman" w:hAnsi="Times New Roman" w:cs="Times New Roman"/>
          <w:i/>
          <w:iCs/>
          <w:sz w:val="20"/>
          <w:szCs w:val="20"/>
          <w:lang w:val="de-AT"/>
        </w:rPr>
        <w:t>Ein Rabbi spricht mit Jesus. Ein jüdisch-christlicher Dialog</w:t>
      </w:r>
      <w:r w:rsidR="00FE2F1F" w:rsidRPr="00DB46F5">
        <w:rPr>
          <w:rFonts w:ascii="Times New Roman" w:eastAsia="Times New Roman" w:hAnsi="Times New Roman" w:cs="Times New Roman"/>
          <w:sz w:val="20"/>
          <w:szCs w:val="20"/>
          <w:lang w:val="de-AT"/>
        </w:rPr>
        <w:t>, Freiburg im Breisgau 2. wyd. 2008, s. 114.</w:t>
      </w:r>
    </w:p>
  </w:footnote>
  <w:footnote w:id="3">
    <w:p w14:paraId="56533EC4" w14:textId="77777777" w:rsidR="0045019E" w:rsidRPr="00DB46F5" w:rsidRDefault="0045019E" w:rsidP="00FE2F1F">
      <w:pPr>
        <w:pStyle w:val="FootnoteText"/>
        <w:jc w:val="both"/>
        <w:rPr>
          <w:rFonts w:ascii="Times New Roman" w:hAnsi="Times New Roman" w:cs="Times New Roman"/>
          <w:lang w:val="de-AT"/>
        </w:rPr>
      </w:pPr>
      <w:r w:rsidRPr="00DB46F5">
        <w:rPr>
          <w:rStyle w:val="FootnoteReference"/>
          <w:rFonts w:ascii="Times New Roman" w:hAnsi="Times New Roman" w:cs="Times New Roman"/>
        </w:rPr>
        <w:footnoteRef/>
      </w:r>
      <w:r w:rsidRPr="00DB46F5">
        <w:rPr>
          <w:rFonts w:ascii="Times New Roman" w:hAnsi="Times New Roman" w:cs="Times New Roman"/>
          <w:lang w:val="de-AT"/>
        </w:rPr>
        <w:t xml:space="preserve"> </w:t>
      </w:r>
      <w:r w:rsidR="00FE2F1F" w:rsidRPr="00DB46F5">
        <w:rPr>
          <w:rFonts w:ascii="Times New Roman" w:eastAsia="Times New Roman" w:hAnsi="Times New Roman" w:cs="Times New Roman"/>
          <w:lang w:val="de-AT"/>
        </w:rPr>
        <w:t xml:space="preserve">Joseph Ratzinger / Benedykt XVI., </w:t>
      </w:r>
      <w:r w:rsidR="00FE2F1F" w:rsidRPr="00DB46F5">
        <w:rPr>
          <w:rFonts w:ascii="Times New Roman" w:hAnsi="Times New Roman" w:cs="Times New Roman"/>
          <w:i/>
          <w:lang w:val="de-AT"/>
        </w:rPr>
        <w:t>Jesus von Nazareth</w:t>
      </w:r>
      <w:r w:rsidR="00FE2F1F" w:rsidRPr="00DB46F5">
        <w:rPr>
          <w:rFonts w:ascii="Times New Roman" w:eastAsia="Times New Roman" w:hAnsi="Times New Roman" w:cs="Times New Roman"/>
          <w:lang w:val="de-AT"/>
        </w:rPr>
        <w:t xml:space="preserve">, t. 1: </w:t>
      </w:r>
      <w:r w:rsidR="00FE2F1F" w:rsidRPr="00DB46F5">
        <w:rPr>
          <w:rFonts w:ascii="Times New Roman" w:hAnsi="Times New Roman" w:cs="Times New Roman"/>
          <w:i/>
          <w:lang w:val="de-AT"/>
        </w:rPr>
        <w:t>Von der Taufe im Jordan bis zur Verklärung</w:t>
      </w:r>
      <w:r w:rsidR="00FE2F1F" w:rsidRPr="00DB46F5">
        <w:rPr>
          <w:rFonts w:ascii="Times New Roman" w:eastAsia="Times New Roman" w:hAnsi="Times New Roman" w:cs="Times New Roman"/>
          <w:lang w:val="de-AT"/>
        </w:rPr>
        <w:t>, Freiburg im Breisgau 2007, s. 134–137</w:t>
      </w:r>
      <w:r w:rsidR="00DB46F5">
        <w:rPr>
          <w:rFonts w:ascii="Times New Roman" w:eastAsia="Times New Roman" w:hAnsi="Times New Roman" w:cs="Times New Roman"/>
          <w:lang w:val="de-AT"/>
        </w:rPr>
        <w:t>.</w:t>
      </w:r>
    </w:p>
  </w:footnote>
  <w:footnote w:id="4">
    <w:p w14:paraId="529BD2BF" w14:textId="77777777" w:rsidR="006A2F0F" w:rsidRPr="00DB46F5" w:rsidRDefault="006A2F0F" w:rsidP="00C03BFA">
      <w:pPr>
        <w:spacing w:after="0"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C03BFA" w:rsidRPr="00DB46F5">
        <w:rPr>
          <w:rFonts w:ascii="Times New Roman" w:eastAsia="Times New Roman" w:hAnsi="Times New Roman" w:cs="Times New Roman"/>
          <w:sz w:val="20"/>
          <w:szCs w:val="20"/>
          <w:lang w:val="de-AT"/>
        </w:rPr>
        <w:t>Fundamentalne opracowanie: K.</w:t>
      </w:r>
      <w:r w:rsidR="00FE2F1F" w:rsidRPr="00DB46F5">
        <w:rPr>
          <w:rFonts w:ascii="Times New Roman" w:eastAsia="Times New Roman" w:hAnsi="Times New Roman" w:cs="Times New Roman"/>
          <w:sz w:val="20"/>
          <w:szCs w:val="20"/>
          <w:lang w:val="de-AT"/>
        </w:rPr>
        <w:t xml:space="preserve"> Scholtissek, </w:t>
      </w:r>
      <w:r w:rsidR="00FE2F1F" w:rsidRPr="00DB46F5">
        <w:rPr>
          <w:rFonts w:ascii="Times New Roman" w:eastAsia="Times New Roman" w:hAnsi="Times New Roman" w:cs="Times New Roman"/>
          <w:i/>
          <w:iCs/>
          <w:sz w:val="20"/>
          <w:szCs w:val="20"/>
          <w:lang w:val="de-AT"/>
        </w:rPr>
        <w:t>Die Vollmacht Jesu. Traditions- und redaktionsgeschichtliche Analysen zu einem Leitmotiv markinischer Christologie</w:t>
      </w:r>
      <w:r w:rsidR="00FE2F1F" w:rsidRPr="00DB46F5">
        <w:rPr>
          <w:rFonts w:ascii="Times New Roman" w:eastAsia="Times New Roman" w:hAnsi="Times New Roman" w:cs="Times New Roman"/>
          <w:sz w:val="20"/>
          <w:szCs w:val="20"/>
          <w:lang w:val="de-AT"/>
        </w:rPr>
        <w:t xml:space="preserve"> (NTA 25), Münster 1992.</w:t>
      </w:r>
    </w:p>
  </w:footnote>
  <w:footnote w:id="5">
    <w:p w14:paraId="3EF0D8A8" w14:textId="77777777" w:rsidR="006A2F0F" w:rsidRPr="00DB46F5" w:rsidRDefault="006A2F0F" w:rsidP="006F42D1">
      <w:pPr>
        <w:pStyle w:val="FootnoteText"/>
        <w:jc w:val="both"/>
        <w:rPr>
          <w:rFonts w:ascii="Times New Roman" w:hAnsi="Times New Roman" w:cs="Times New Roman"/>
          <w:lang w:val="de-AT"/>
        </w:rPr>
      </w:pPr>
      <w:r w:rsidRPr="00DB46F5">
        <w:rPr>
          <w:rStyle w:val="FootnoteReference"/>
          <w:rFonts w:ascii="Times New Roman" w:hAnsi="Times New Roman" w:cs="Times New Roman"/>
        </w:rPr>
        <w:footnoteRef/>
      </w:r>
      <w:r w:rsidRPr="00DB46F5">
        <w:rPr>
          <w:rFonts w:ascii="Times New Roman" w:hAnsi="Times New Roman" w:cs="Times New Roman"/>
          <w:lang w:val="en-US"/>
        </w:rPr>
        <w:t xml:space="preserve"> </w:t>
      </w:r>
      <w:r w:rsidR="00C03BFA" w:rsidRPr="00DB46F5">
        <w:rPr>
          <w:rFonts w:ascii="Times New Roman" w:eastAsia="Times New Roman" w:hAnsi="Times New Roman" w:cs="Times New Roman"/>
          <w:lang w:val="en-US"/>
        </w:rPr>
        <w:t>Por. A.</w:t>
      </w:r>
      <w:r w:rsidR="006F42D1" w:rsidRPr="00DB46F5">
        <w:rPr>
          <w:rFonts w:ascii="Times New Roman" w:eastAsia="Times New Roman" w:hAnsi="Times New Roman" w:cs="Times New Roman"/>
          <w:lang w:val="en-US"/>
        </w:rPr>
        <w:t xml:space="preserve"> Brand, </w:t>
      </w:r>
      <w:r w:rsidR="006F42D1" w:rsidRPr="00DB46F5">
        <w:rPr>
          <w:rFonts w:ascii="Times New Roman" w:eastAsia="Times New Roman" w:hAnsi="Times New Roman" w:cs="Times New Roman"/>
          <w:i/>
          <w:iCs/>
          <w:lang w:val="en-US"/>
        </w:rPr>
        <w:t xml:space="preserve">Bottom-Up und Top-Down. </w:t>
      </w:r>
      <w:r w:rsidR="006F42D1" w:rsidRPr="00DB46F5">
        <w:rPr>
          <w:rFonts w:ascii="Times New Roman" w:eastAsia="Times New Roman" w:hAnsi="Times New Roman" w:cs="Times New Roman"/>
          <w:i/>
          <w:iCs/>
          <w:lang w:val="de-AT"/>
        </w:rPr>
        <w:t>Begründungsstrukturen von Macht und Autorität in den synoptischen Evangelien</w:t>
      </w:r>
      <w:r w:rsidR="00C03BFA" w:rsidRPr="00DB46F5">
        <w:rPr>
          <w:rFonts w:ascii="Times New Roman" w:eastAsia="Times New Roman" w:hAnsi="Times New Roman" w:cs="Times New Roman"/>
          <w:lang w:val="de-AT"/>
        </w:rPr>
        <w:t>, w: B. Jürgens, M.</w:t>
      </w:r>
      <w:r w:rsidR="006F42D1" w:rsidRPr="00DB46F5">
        <w:rPr>
          <w:rFonts w:ascii="Times New Roman" w:eastAsia="Times New Roman" w:hAnsi="Times New Roman" w:cs="Times New Roman"/>
          <w:lang w:val="de-AT"/>
        </w:rPr>
        <w:t xml:space="preserve"> Sellmann (red.), </w:t>
      </w:r>
      <w:r w:rsidR="006F42D1" w:rsidRPr="00DB46F5">
        <w:rPr>
          <w:rFonts w:ascii="Times New Roman" w:eastAsia="Times New Roman" w:hAnsi="Times New Roman" w:cs="Times New Roman"/>
          <w:i/>
          <w:iCs/>
          <w:lang w:val="de-AT"/>
        </w:rPr>
        <w:t>Wer entscheidet, wer was entscheidet? Zum Reformbedarf kirchlicher Führungspraxis</w:t>
      </w:r>
      <w:r w:rsidR="006F42D1" w:rsidRPr="00DB46F5">
        <w:rPr>
          <w:rFonts w:ascii="Times New Roman" w:eastAsia="Times New Roman" w:hAnsi="Times New Roman" w:cs="Times New Roman"/>
          <w:lang w:val="de-AT"/>
        </w:rPr>
        <w:t xml:space="preserve"> (QD 312), Freiburg im Breisgau 2020, s. 91–105.</w:t>
      </w:r>
    </w:p>
  </w:footnote>
  <w:footnote w:id="6">
    <w:p w14:paraId="38B474C1" w14:textId="77777777" w:rsidR="000C6440" w:rsidRPr="00DB46F5" w:rsidRDefault="000C6440" w:rsidP="008A6966">
      <w:pPr>
        <w:spacing w:after="0"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C03BFA" w:rsidRPr="00DB46F5">
        <w:rPr>
          <w:rFonts w:ascii="Times New Roman" w:eastAsia="Times New Roman" w:hAnsi="Times New Roman" w:cs="Times New Roman"/>
          <w:sz w:val="20"/>
          <w:szCs w:val="20"/>
          <w:lang w:val="de-AT"/>
        </w:rPr>
        <w:t>Por. A.</w:t>
      </w:r>
      <w:r w:rsidR="008A6966" w:rsidRPr="00DB46F5">
        <w:rPr>
          <w:rFonts w:ascii="Times New Roman" w:eastAsia="Times New Roman" w:hAnsi="Times New Roman" w:cs="Times New Roman"/>
          <w:sz w:val="20"/>
          <w:szCs w:val="20"/>
          <w:lang w:val="de-AT"/>
        </w:rPr>
        <w:t xml:space="preserve"> Brand, </w:t>
      </w:r>
      <w:r w:rsidR="008A6966" w:rsidRPr="00DB46F5">
        <w:rPr>
          <w:rFonts w:ascii="Times New Roman" w:eastAsia="Times New Roman" w:hAnsi="Times New Roman" w:cs="Times New Roman"/>
          <w:i/>
          <w:iCs/>
          <w:sz w:val="20"/>
          <w:szCs w:val="20"/>
          <w:lang w:val="de-AT"/>
        </w:rPr>
        <w:t>Der Wert des Geldes. Soteriologie und Ethik in den synoptischen Evangelien</w:t>
      </w:r>
      <w:r w:rsidR="00C03BFA" w:rsidRPr="00DB46F5">
        <w:rPr>
          <w:rFonts w:ascii="Times New Roman" w:eastAsia="Times New Roman" w:hAnsi="Times New Roman" w:cs="Times New Roman"/>
          <w:sz w:val="20"/>
          <w:szCs w:val="20"/>
          <w:lang w:val="de-AT"/>
        </w:rPr>
        <w:t xml:space="preserve"> (BZ.S 16), Leiden -</w:t>
      </w:r>
      <w:r w:rsidR="008A6966" w:rsidRPr="00DB46F5">
        <w:rPr>
          <w:rFonts w:ascii="Times New Roman" w:eastAsia="Times New Roman" w:hAnsi="Times New Roman" w:cs="Times New Roman"/>
          <w:sz w:val="20"/>
          <w:szCs w:val="20"/>
          <w:lang w:val="de-AT"/>
        </w:rPr>
        <w:t xml:space="preserve"> Paderborn 2025, s. 236–260.</w:t>
      </w:r>
    </w:p>
  </w:footnote>
  <w:footnote w:id="7">
    <w:p w14:paraId="7DEFF424" w14:textId="77777777" w:rsidR="00922E9F" w:rsidRPr="00DB46F5" w:rsidRDefault="00922E9F" w:rsidP="00C03BFA">
      <w:pPr>
        <w:spacing w:after="0"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C03BFA" w:rsidRPr="00DB46F5">
        <w:rPr>
          <w:rFonts w:ascii="Times New Roman" w:eastAsia="Times New Roman" w:hAnsi="Times New Roman" w:cs="Times New Roman"/>
          <w:sz w:val="20"/>
          <w:szCs w:val="20"/>
          <w:lang w:val="de-AT"/>
        </w:rPr>
        <w:t>Por. J.</w:t>
      </w:r>
      <w:r w:rsidR="008A6966" w:rsidRPr="00DB46F5">
        <w:rPr>
          <w:rFonts w:ascii="Times New Roman" w:eastAsia="Times New Roman" w:hAnsi="Times New Roman" w:cs="Times New Roman"/>
          <w:sz w:val="20"/>
          <w:szCs w:val="20"/>
          <w:lang w:val="de-AT"/>
        </w:rPr>
        <w:t xml:space="preserve"> Zumstein, </w:t>
      </w:r>
      <w:r w:rsidR="008A6966" w:rsidRPr="00DB46F5">
        <w:rPr>
          <w:rFonts w:ascii="Times New Roman" w:eastAsia="Times New Roman" w:hAnsi="Times New Roman" w:cs="Times New Roman"/>
          <w:i/>
          <w:iCs/>
          <w:sz w:val="20"/>
          <w:szCs w:val="20"/>
          <w:lang w:val="de-AT"/>
        </w:rPr>
        <w:t>L’Évangile selon Saint Jean</w:t>
      </w:r>
      <w:r w:rsidR="008A6966" w:rsidRPr="00DB46F5">
        <w:rPr>
          <w:rFonts w:ascii="Times New Roman" w:eastAsia="Times New Roman" w:hAnsi="Times New Roman" w:cs="Times New Roman"/>
          <w:sz w:val="20"/>
          <w:szCs w:val="20"/>
          <w:lang w:val="de-AT"/>
        </w:rPr>
        <w:t xml:space="preserve"> I–II (CNT IV), Genève 2014 (2007), t. I, s. 193–194, 346; t. II, s. 166–167.</w:t>
      </w:r>
    </w:p>
  </w:footnote>
  <w:footnote w:id="8">
    <w:p w14:paraId="7975F5B9" w14:textId="77777777" w:rsidR="00647827" w:rsidRPr="00DB46F5" w:rsidRDefault="00647827" w:rsidP="008A6966">
      <w:pPr>
        <w:spacing w:after="0"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D77F5B">
        <w:rPr>
          <w:rFonts w:ascii="Times New Roman" w:eastAsia="Times New Roman" w:hAnsi="Times New Roman" w:cs="Times New Roman"/>
          <w:sz w:val="20"/>
          <w:szCs w:val="20"/>
          <w:lang w:val="de-AT"/>
        </w:rPr>
        <w:t>Por. T.</w:t>
      </w:r>
      <w:r w:rsidR="008A6966" w:rsidRPr="00DB46F5">
        <w:rPr>
          <w:rFonts w:ascii="Times New Roman" w:eastAsia="Times New Roman" w:hAnsi="Times New Roman" w:cs="Times New Roman"/>
          <w:sz w:val="20"/>
          <w:szCs w:val="20"/>
          <w:lang w:val="de-AT"/>
        </w:rPr>
        <w:t xml:space="preserve"> Söding, </w:t>
      </w:r>
      <w:r w:rsidR="008A6966" w:rsidRPr="00DB46F5">
        <w:rPr>
          <w:rFonts w:ascii="Times New Roman" w:eastAsia="Times New Roman" w:hAnsi="Times New Roman" w:cs="Times New Roman"/>
          <w:i/>
          <w:iCs/>
          <w:sz w:val="20"/>
          <w:szCs w:val="20"/>
          <w:lang w:val="de-AT"/>
        </w:rPr>
        <w:t>Gottesreich und Menschenmacht. Politische Ethik des Neuen Testaments</w:t>
      </w:r>
      <w:r w:rsidR="008A6966" w:rsidRPr="00DB46F5">
        <w:rPr>
          <w:rFonts w:ascii="Times New Roman" w:eastAsia="Times New Roman" w:hAnsi="Times New Roman" w:cs="Times New Roman"/>
          <w:sz w:val="20"/>
          <w:szCs w:val="20"/>
          <w:lang w:val="de-AT"/>
        </w:rPr>
        <w:t>, Freiburg im Breisgau 2024, s. 230–238.</w:t>
      </w:r>
    </w:p>
  </w:footnote>
  <w:footnote w:id="9">
    <w:p w14:paraId="3D60A2BC" w14:textId="77777777" w:rsidR="00604BE7" w:rsidRPr="00DB46F5" w:rsidRDefault="00604BE7" w:rsidP="00004A7E">
      <w:pPr>
        <w:spacing w:after="0" w:line="240" w:lineRule="auto"/>
        <w:jc w:val="both"/>
        <w:rPr>
          <w:rFonts w:ascii="Times New Roman" w:eastAsia="Times New Roman" w:hAnsi="Times New Roman" w:cs="Times New Roman"/>
          <w:sz w:val="20"/>
          <w:szCs w:val="20"/>
          <w:lang w:val="en-US"/>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en-US"/>
        </w:rPr>
        <w:t xml:space="preserve"> </w:t>
      </w:r>
      <w:r w:rsidR="00D77F5B">
        <w:rPr>
          <w:rFonts w:ascii="Times New Roman" w:eastAsia="Times New Roman" w:hAnsi="Times New Roman" w:cs="Times New Roman"/>
          <w:sz w:val="20"/>
          <w:szCs w:val="20"/>
          <w:lang w:val="en-US"/>
        </w:rPr>
        <w:t>Por. M.</w:t>
      </w:r>
      <w:r w:rsidR="008A6966" w:rsidRPr="00DB46F5">
        <w:rPr>
          <w:rFonts w:ascii="Times New Roman" w:eastAsia="Times New Roman" w:hAnsi="Times New Roman" w:cs="Times New Roman"/>
          <w:sz w:val="20"/>
          <w:szCs w:val="20"/>
          <w:lang w:val="en-US"/>
        </w:rPr>
        <w:t xml:space="preserve"> Goodman, </w:t>
      </w:r>
      <w:r w:rsidR="008A6966" w:rsidRPr="00DB46F5">
        <w:rPr>
          <w:rFonts w:ascii="Times New Roman" w:eastAsia="Times New Roman" w:hAnsi="Times New Roman" w:cs="Times New Roman"/>
          <w:i/>
          <w:iCs/>
          <w:sz w:val="20"/>
          <w:szCs w:val="20"/>
          <w:lang w:val="en-US"/>
        </w:rPr>
        <w:t>The Place of the Sadducees in First-Century Judaism</w:t>
      </w:r>
      <w:r w:rsidR="00D77F5B">
        <w:rPr>
          <w:rFonts w:ascii="Times New Roman" w:eastAsia="Times New Roman" w:hAnsi="Times New Roman" w:cs="Times New Roman"/>
          <w:sz w:val="20"/>
          <w:szCs w:val="20"/>
          <w:lang w:val="en-US"/>
        </w:rPr>
        <w:t>, w: F.E. Udoh, S. Heschel, M.A. Chancey, G.</w:t>
      </w:r>
      <w:r w:rsidR="008A6966" w:rsidRPr="00DB46F5">
        <w:rPr>
          <w:rFonts w:ascii="Times New Roman" w:eastAsia="Times New Roman" w:hAnsi="Times New Roman" w:cs="Times New Roman"/>
          <w:sz w:val="20"/>
          <w:szCs w:val="20"/>
          <w:lang w:val="en-US"/>
        </w:rPr>
        <w:t xml:space="preserve"> Tatum (red.), </w:t>
      </w:r>
      <w:r w:rsidR="008A6966" w:rsidRPr="00DB46F5">
        <w:rPr>
          <w:rFonts w:ascii="Times New Roman" w:eastAsia="Times New Roman" w:hAnsi="Times New Roman" w:cs="Times New Roman"/>
          <w:i/>
          <w:iCs/>
          <w:sz w:val="20"/>
          <w:szCs w:val="20"/>
          <w:lang w:val="en-US"/>
        </w:rPr>
        <w:t>Redefining First-Century Jewish and Christian Identities. Essays in Honor of Ed Parish Sanders</w:t>
      </w:r>
      <w:r w:rsidR="008A6966" w:rsidRPr="00DB46F5">
        <w:rPr>
          <w:rFonts w:ascii="Times New Roman" w:eastAsia="Times New Roman" w:hAnsi="Times New Roman" w:cs="Times New Roman"/>
          <w:sz w:val="20"/>
          <w:szCs w:val="20"/>
          <w:lang w:val="en-US"/>
        </w:rPr>
        <w:t>, Notre Dame 2008, s. 139–152.</w:t>
      </w:r>
    </w:p>
  </w:footnote>
  <w:footnote w:id="10">
    <w:p w14:paraId="3F4FC8C2" w14:textId="77777777" w:rsidR="00604BE7" w:rsidRPr="00DB46F5" w:rsidRDefault="00604BE7" w:rsidP="00DB46F5">
      <w:pPr>
        <w:spacing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D77F5B">
        <w:rPr>
          <w:rFonts w:ascii="Times New Roman" w:eastAsia="Times New Roman" w:hAnsi="Times New Roman" w:cs="Times New Roman"/>
          <w:sz w:val="20"/>
          <w:szCs w:val="20"/>
          <w:lang w:val="de-AT"/>
        </w:rPr>
        <w:t>Por. J. Sievers, A.J. Levine, J.</w:t>
      </w:r>
      <w:r w:rsidR="008A6966" w:rsidRPr="00DB46F5">
        <w:rPr>
          <w:rFonts w:ascii="Times New Roman" w:eastAsia="Times New Roman" w:hAnsi="Times New Roman" w:cs="Times New Roman"/>
          <w:sz w:val="20"/>
          <w:szCs w:val="20"/>
          <w:lang w:val="de-AT"/>
        </w:rPr>
        <w:t xml:space="preserve"> Schröter (red.), </w:t>
      </w:r>
      <w:r w:rsidR="008A6966" w:rsidRPr="00DB46F5">
        <w:rPr>
          <w:rFonts w:ascii="Times New Roman" w:eastAsia="Times New Roman" w:hAnsi="Times New Roman" w:cs="Times New Roman"/>
          <w:i/>
          <w:iCs/>
          <w:sz w:val="20"/>
          <w:szCs w:val="20"/>
          <w:lang w:val="de-AT"/>
        </w:rPr>
        <w:t>Die Pharisäer – Geschichte und Deutung</w:t>
      </w:r>
      <w:r w:rsidR="008A6966" w:rsidRPr="00DB46F5">
        <w:rPr>
          <w:rFonts w:ascii="Times New Roman" w:eastAsia="Times New Roman" w:hAnsi="Times New Roman" w:cs="Times New Roman"/>
          <w:sz w:val="20"/>
          <w:szCs w:val="20"/>
          <w:lang w:val="de-AT"/>
        </w:rPr>
        <w:t>, Freiburg im Breisgau 2024.</w:t>
      </w:r>
    </w:p>
  </w:footnote>
  <w:footnote w:id="11">
    <w:p w14:paraId="72D598BC" w14:textId="77777777" w:rsidR="002206CA" w:rsidRPr="00DB46F5" w:rsidRDefault="002206CA" w:rsidP="00DB46F5">
      <w:pPr>
        <w:spacing w:after="0"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rPr>
        <w:t xml:space="preserve"> </w:t>
      </w:r>
      <w:r w:rsidR="00004A7E" w:rsidRPr="00DB46F5">
        <w:rPr>
          <w:rFonts w:ascii="Times New Roman" w:eastAsia="Times New Roman" w:hAnsi="Times New Roman" w:cs="Times New Roman"/>
          <w:sz w:val="20"/>
          <w:szCs w:val="20"/>
        </w:rPr>
        <w:t>Dialogiczny rys janowej teol</w:t>
      </w:r>
      <w:r w:rsidR="00C03BFA" w:rsidRPr="00DB46F5">
        <w:rPr>
          <w:rFonts w:ascii="Times New Roman" w:eastAsia="Times New Roman" w:hAnsi="Times New Roman" w:cs="Times New Roman"/>
          <w:sz w:val="20"/>
          <w:szCs w:val="20"/>
        </w:rPr>
        <w:t>ogii objawienia ukazał: P. v</w:t>
      </w:r>
      <w:r w:rsidR="00004A7E" w:rsidRPr="00DB46F5">
        <w:rPr>
          <w:rFonts w:ascii="Times New Roman" w:eastAsia="Times New Roman" w:hAnsi="Times New Roman" w:cs="Times New Roman"/>
          <w:sz w:val="20"/>
          <w:szCs w:val="20"/>
        </w:rPr>
        <w:t xml:space="preserve">an den Heede, </w:t>
      </w:r>
      <w:r w:rsidR="00004A7E" w:rsidRPr="00DB46F5">
        <w:rPr>
          <w:rFonts w:ascii="Times New Roman" w:eastAsia="Times New Roman" w:hAnsi="Times New Roman" w:cs="Times New Roman"/>
          <w:i/>
          <w:iCs/>
          <w:sz w:val="20"/>
          <w:szCs w:val="20"/>
        </w:rPr>
        <w:t xml:space="preserve">Der Exeget Gottes. </w:t>
      </w:r>
      <w:r w:rsidR="00004A7E" w:rsidRPr="00DB46F5">
        <w:rPr>
          <w:rFonts w:ascii="Times New Roman" w:eastAsia="Times New Roman" w:hAnsi="Times New Roman" w:cs="Times New Roman"/>
          <w:i/>
          <w:iCs/>
          <w:sz w:val="20"/>
          <w:szCs w:val="20"/>
          <w:lang w:val="de-AT"/>
        </w:rPr>
        <w:t>Studien zur johanneischen Offenbarungstheologie</w:t>
      </w:r>
      <w:r w:rsidR="00004A7E" w:rsidRPr="00DB46F5">
        <w:rPr>
          <w:rFonts w:ascii="Times New Roman" w:eastAsia="Times New Roman" w:hAnsi="Times New Roman" w:cs="Times New Roman"/>
          <w:sz w:val="20"/>
          <w:szCs w:val="20"/>
          <w:lang w:val="de-AT"/>
        </w:rPr>
        <w:t xml:space="preserve"> (HBS 86), Freiburg im Breisgau 2017.</w:t>
      </w:r>
    </w:p>
  </w:footnote>
  <w:footnote w:id="12">
    <w:p w14:paraId="07515179" w14:textId="77777777" w:rsidR="00C954EE" w:rsidRPr="00DB46F5" w:rsidRDefault="00C954EE" w:rsidP="00DB46F5">
      <w:pPr>
        <w:spacing w:after="100" w:afterAutospacing="1"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C03BFA" w:rsidRPr="00DB46F5">
        <w:rPr>
          <w:rFonts w:ascii="Times New Roman" w:eastAsia="Times New Roman" w:hAnsi="Times New Roman" w:cs="Times New Roman"/>
          <w:sz w:val="20"/>
          <w:szCs w:val="20"/>
          <w:lang w:val="de-AT"/>
        </w:rPr>
        <w:t>Por. T.</w:t>
      </w:r>
      <w:r w:rsidR="00004A7E" w:rsidRPr="00DB46F5">
        <w:rPr>
          <w:rFonts w:ascii="Times New Roman" w:eastAsia="Times New Roman" w:hAnsi="Times New Roman" w:cs="Times New Roman"/>
          <w:sz w:val="20"/>
          <w:szCs w:val="20"/>
          <w:lang w:val="de-AT"/>
        </w:rPr>
        <w:t xml:space="preserve"> Söding, </w:t>
      </w:r>
      <w:r w:rsidR="00004A7E" w:rsidRPr="00DB46F5">
        <w:rPr>
          <w:rFonts w:ascii="Times New Roman" w:eastAsia="Times New Roman" w:hAnsi="Times New Roman" w:cs="Times New Roman"/>
          <w:i/>
          <w:iCs/>
          <w:sz w:val="20"/>
          <w:szCs w:val="20"/>
          <w:lang w:val="de-AT"/>
        </w:rPr>
        <w:t>Gemeinsam unterwegs. Synodalität in der katholischen Kirche</w:t>
      </w:r>
      <w:r w:rsidR="00004A7E" w:rsidRPr="00DB46F5">
        <w:rPr>
          <w:rFonts w:ascii="Times New Roman" w:eastAsia="Times New Roman" w:hAnsi="Times New Roman" w:cs="Times New Roman"/>
          <w:sz w:val="20"/>
          <w:szCs w:val="20"/>
          <w:lang w:val="de-AT"/>
        </w:rPr>
        <w:t>, Ostfildern 2022, s. 248–256.</w:t>
      </w:r>
    </w:p>
  </w:footnote>
  <w:footnote w:id="13">
    <w:p w14:paraId="55AF3518" w14:textId="77777777" w:rsidR="00EE3BD6" w:rsidRPr="00DB46F5" w:rsidRDefault="00EE3BD6" w:rsidP="00DB46F5">
      <w:pPr>
        <w:spacing w:after="100" w:afterAutospacing="1" w:line="240" w:lineRule="auto"/>
        <w:jc w:val="both"/>
        <w:rPr>
          <w:rFonts w:ascii="Times New Roman" w:eastAsia="Times New Roman" w:hAnsi="Times New Roman" w:cs="Times New Roman"/>
          <w:sz w:val="20"/>
          <w:szCs w:val="20"/>
          <w:lang w:val="de-AT"/>
        </w:rPr>
      </w:pPr>
      <w:r w:rsidRPr="00DB46F5">
        <w:rPr>
          <w:rStyle w:val="FootnoteReference"/>
          <w:rFonts w:ascii="Times New Roman" w:hAnsi="Times New Roman" w:cs="Times New Roman"/>
          <w:sz w:val="20"/>
          <w:szCs w:val="20"/>
        </w:rPr>
        <w:footnoteRef/>
      </w:r>
      <w:r w:rsidRPr="00DB46F5">
        <w:rPr>
          <w:rFonts w:ascii="Times New Roman" w:hAnsi="Times New Roman" w:cs="Times New Roman"/>
          <w:sz w:val="20"/>
          <w:szCs w:val="20"/>
          <w:lang w:val="de-AT"/>
        </w:rPr>
        <w:t xml:space="preserve"> </w:t>
      </w:r>
      <w:r w:rsidR="00C03BFA" w:rsidRPr="00DB46F5">
        <w:rPr>
          <w:rFonts w:ascii="Times New Roman" w:eastAsia="Times New Roman" w:hAnsi="Times New Roman" w:cs="Times New Roman"/>
          <w:sz w:val="20"/>
          <w:szCs w:val="20"/>
          <w:lang w:val="de-AT"/>
        </w:rPr>
        <w:t>Por. R.</w:t>
      </w:r>
      <w:r w:rsidR="00004A7E" w:rsidRPr="00DB46F5">
        <w:rPr>
          <w:rFonts w:ascii="Times New Roman" w:eastAsia="Times New Roman" w:hAnsi="Times New Roman" w:cs="Times New Roman"/>
          <w:sz w:val="20"/>
          <w:szCs w:val="20"/>
          <w:lang w:val="de-AT"/>
        </w:rPr>
        <w:t xml:space="preserve"> Vorholt, </w:t>
      </w:r>
      <w:r w:rsidR="00004A7E" w:rsidRPr="00DB46F5">
        <w:rPr>
          <w:rFonts w:ascii="Times New Roman" w:eastAsia="Times New Roman" w:hAnsi="Times New Roman" w:cs="Times New Roman"/>
          <w:i/>
          <w:iCs/>
          <w:sz w:val="20"/>
          <w:szCs w:val="20"/>
          <w:lang w:val="de-AT"/>
        </w:rPr>
        <w:t>Das Osterevangelium. Erinnerung und Erzählung</w:t>
      </w:r>
      <w:r w:rsidR="00004A7E" w:rsidRPr="00DB46F5">
        <w:rPr>
          <w:rFonts w:ascii="Times New Roman" w:eastAsia="Times New Roman" w:hAnsi="Times New Roman" w:cs="Times New Roman"/>
          <w:sz w:val="20"/>
          <w:szCs w:val="20"/>
          <w:lang w:val="de-AT"/>
        </w:rPr>
        <w:t xml:space="preserve"> (HBS 73), Freiburg im Breisgau 2013, s. 289–290.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6540D"/>
    <w:multiLevelType w:val="hybridMultilevel"/>
    <w:tmpl w:val="3E964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462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31C"/>
    <w:rsid w:val="00004A7E"/>
    <w:rsid w:val="000073A0"/>
    <w:rsid w:val="00044A55"/>
    <w:rsid w:val="000A186B"/>
    <w:rsid w:val="000A7DE8"/>
    <w:rsid w:val="000B408D"/>
    <w:rsid w:val="000C4A90"/>
    <w:rsid w:val="000C6440"/>
    <w:rsid w:val="001A4B4C"/>
    <w:rsid w:val="001A6D1E"/>
    <w:rsid w:val="001B25BF"/>
    <w:rsid w:val="001E4D90"/>
    <w:rsid w:val="002102D4"/>
    <w:rsid w:val="002206CA"/>
    <w:rsid w:val="00230798"/>
    <w:rsid w:val="002347DA"/>
    <w:rsid w:val="00243119"/>
    <w:rsid w:val="00292AF0"/>
    <w:rsid w:val="002C5096"/>
    <w:rsid w:val="002C5691"/>
    <w:rsid w:val="00317E0F"/>
    <w:rsid w:val="0038156F"/>
    <w:rsid w:val="003A6D19"/>
    <w:rsid w:val="003B0D35"/>
    <w:rsid w:val="003D16CA"/>
    <w:rsid w:val="0040615C"/>
    <w:rsid w:val="0041782F"/>
    <w:rsid w:val="0045019E"/>
    <w:rsid w:val="00486355"/>
    <w:rsid w:val="004A4E67"/>
    <w:rsid w:val="004D4144"/>
    <w:rsid w:val="004D72FB"/>
    <w:rsid w:val="005043E9"/>
    <w:rsid w:val="00505919"/>
    <w:rsid w:val="005104DC"/>
    <w:rsid w:val="00550E1A"/>
    <w:rsid w:val="00556291"/>
    <w:rsid w:val="00604BE7"/>
    <w:rsid w:val="0064219B"/>
    <w:rsid w:val="00647827"/>
    <w:rsid w:val="006A2F0F"/>
    <w:rsid w:val="006C38AD"/>
    <w:rsid w:val="006C6AF9"/>
    <w:rsid w:val="006D733F"/>
    <w:rsid w:val="006F42D1"/>
    <w:rsid w:val="00720BCA"/>
    <w:rsid w:val="00753755"/>
    <w:rsid w:val="00765673"/>
    <w:rsid w:val="00795F44"/>
    <w:rsid w:val="007E5115"/>
    <w:rsid w:val="007E6B60"/>
    <w:rsid w:val="00817D48"/>
    <w:rsid w:val="00873650"/>
    <w:rsid w:val="008A6966"/>
    <w:rsid w:val="008B0BD0"/>
    <w:rsid w:val="008B3D32"/>
    <w:rsid w:val="008C35D6"/>
    <w:rsid w:val="008D0E79"/>
    <w:rsid w:val="008D225D"/>
    <w:rsid w:val="00922E9F"/>
    <w:rsid w:val="00996436"/>
    <w:rsid w:val="009A6282"/>
    <w:rsid w:val="009E7760"/>
    <w:rsid w:val="00A5357C"/>
    <w:rsid w:val="00A81F75"/>
    <w:rsid w:val="00AB1730"/>
    <w:rsid w:val="00AE5BC8"/>
    <w:rsid w:val="00AF5B6B"/>
    <w:rsid w:val="00B53049"/>
    <w:rsid w:val="00B976EF"/>
    <w:rsid w:val="00C03B1D"/>
    <w:rsid w:val="00C03BFA"/>
    <w:rsid w:val="00C26844"/>
    <w:rsid w:val="00C7031C"/>
    <w:rsid w:val="00C954EE"/>
    <w:rsid w:val="00CF35C4"/>
    <w:rsid w:val="00CF5842"/>
    <w:rsid w:val="00D10410"/>
    <w:rsid w:val="00D10DA3"/>
    <w:rsid w:val="00D15A09"/>
    <w:rsid w:val="00D71AEA"/>
    <w:rsid w:val="00D77F5B"/>
    <w:rsid w:val="00DA0BC3"/>
    <w:rsid w:val="00DB46F5"/>
    <w:rsid w:val="00DB798F"/>
    <w:rsid w:val="00DF38D8"/>
    <w:rsid w:val="00E054FF"/>
    <w:rsid w:val="00E05928"/>
    <w:rsid w:val="00E423B8"/>
    <w:rsid w:val="00E64169"/>
    <w:rsid w:val="00E864B5"/>
    <w:rsid w:val="00EC5CA6"/>
    <w:rsid w:val="00EE3BD6"/>
    <w:rsid w:val="00F24EF4"/>
    <w:rsid w:val="00F82283"/>
    <w:rsid w:val="00FD31D5"/>
    <w:rsid w:val="00FE2F1F"/>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7BAE"/>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76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6EF"/>
    <w:rPr>
      <w:b/>
      <w:bCs/>
    </w:rPr>
  </w:style>
  <w:style w:type="paragraph" w:styleId="FootnoteText">
    <w:name w:val="footnote text"/>
    <w:basedOn w:val="Normal"/>
    <w:link w:val="FootnoteTextChar"/>
    <w:uiPriority w:val="99"/>
    <w:semiHidden/>
    <w:unhideWhenUsed/>
    <w:rsid w:val="009A62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282"/>
    <w:rPr>
      <w:sz w:val="20"/>
      <w:szCs w:val="20"/>
    </w:rPr>
  </w:style>
  <w:style w:type="character" w:styleId="FootnoteReference">
    <w:name w:val="footnote reference"/>
    <w:basedOn w:val="DefaultParagraphFont"/>
    <w:uiPriority w:val="99"/>
    <w:semiHidden/>
    <w:unhideWhenUsed/>
    <w:rsid w:val="009A6282"/>
    <w:rPr>
      <w:vertAlign w:val="superscript"/>
    </w:rPr>
  </w:style>
  <w:style w:type="paragraph" w:styleId="ListParagraph">
    <w:name w:val="List Paragraph"/>
    <w:basedOn w:val="Normal"/>
    <w:uiPriority w:val="34"/>
    <w:qFormat/>
    <w:rsid w:val="00DA0BC3"/>
    <w:pPr>
      <w:ind w:left="720"/>
      <w:contextualSpacing/>
    </w:pPr>
  </w:style>
  <w:style w:type="character" w:styleId="Emphasis">
    <w:name w:val="Emphasis"/>
    <w:basedOn w:val="DefaultParagraphFont"/>
    <w:uiPriority w:val="20"/>
    <w:qFormat/>
    <w:rsid w:val="00922E9F"/>
    <w:rPr>
      <w:i/>
      <w:iCs/>
    </w:rPr>
  </w:style>
  <w:style w:type="paragraph" w:styleId="NoSpacing">
    <w:name w:val="No Spacing"/>
    <w:uiPriority w:val="1"/>
    <w:qFormat/>
    <w:rsid w:val="0041782F"/>
    <w:pPr>
      <w:spacing w:after="0" w:line="240" w:lineRule="auto"/>
    </w:pPr>
  </w:style>
  <w:style w:type="character" w:styleId="Hyperlink">
    <w:name w:val="Hyperlink"/>
    <w:basedOn w:val="DefaultParagraphFont"/>
    <w:uiPriority w:val="99"/>
    <w:unhideWhenUsed/>
    <w:rsid w:val="00753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476">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16073929">
      <w:bodyDiv w:val="1"/>
      <w:marLeft w:val="0"/>
      <w:marRight w:val="0"/>
      <w:marTop w:val="0"/>
      <w:marBottom w:val="0"/>
      <w:divBdr>
        <w:top w:val="none" w:sz="0" w:space="0" w:color="auto"/>
        <w:left w:val="none" w:sz="0" w:space="0" w:color="auto"/>
        <w:bottom w:val="none" w:sz="0" w:space="0" w:color="auto"/>
        <w:right w:val="none" w:sz="0" w:space="0" w:color="auto"/>
      </w:divBdr>
    </w:div>
    <w:div w:id="116143316">
      <w:bodyDiv w:val="1"/>
      <w:marLeft w:val="0"/>
      <w:marRight w:val="0"/>
      <w:marTop w:val="0"/>
      <w:marBottom w:val="0"/>
      <w:divBdr>
        <w:top w:val="none" w:sz="0" w:space="0" w:color="auto"/>
        <w:left w:val="none" w:sz="0" w:space="0" w:color="auto"/>
        <w:bottom w:val="none" w:sz="0" w:space="0" w:color="auto"/>
        <w:right w:val="none" w:sz="0" w:space="0" w:color="auto"/>
      </w:divBdr>
      <w:divsChild>
        <w:div w:id="1632632847">
          <w:marLeft w:val="0"/>
          <w:marRight w:val="0"/>
          <w:marTop w:val="0"/>
          <w:marBottom w:val="0"/>
          <w:divBdr>
            <w:top w:val="none" w:sz="0" w:space="0" w:color="auto"/>
            <w:left w:val="none" w:sz="0" w:space="0" w:color="auto"/>
            <w:bottom w:val="none" w:sz="0" w:space="0" w:color="auto"/>
            <w:right w:val="none" w:sz="0" w:space="0" w:color="auto"/>
          </w:divBdr>
        </w:div>
        <w:div w:id="929855747">
          <w:marLeft w:val="0"/>
          <w:marRight w:val="0"/>
          <w:marTop w:val="0"/>
          <w:marBottom w:val="0"/>
          <w:divBdr>
            <w:top w:val="none" w:sz="0" w:space="0" w:color="auto"/>
            <w:left w:val="none" w:sz="0" w:space="0" w:color="auto"/>
            <w:bottom w:val="none" w:sz="0" w:space="0" w:color="auto"/>
            <w:right w:val="none" w:sz="0" w:space="0" w:color="auto"/>
          </w:divBdr>
        </w:div>
      </w:divsChild>
    </w:div>
    <w:div w:id="233127500">
      <w:bodyDiv w:val="1"/>
      <w:marLeft w:val="0"/>
      <w:marRight w:val="0"/>
      <w:marTop w:val="0"/>
      <w:marBottom w:val="0"/>
      <w:divBdr>
        <w:top w:val="none" w:sz="0" w:space="0" w:color="auto"/>
        <w:left w:val="none" w:sz="0" w:space="0" w:color="auto"/>
        <w:bottom w:val="none" w:sz="0" w:space="0" w:color="auto"/>
        <w:right w:val="none" w:sz="0" w:space="0" w:color="auto"/>
      </w:divBdr>
    </w:div>
    <w:div w:id="257105610">
      <w:bodyDiv w:val="1"/>
      <w:marLeft w:val="0"/>
      <w:marRight w:val="0"/>
      <w:marTop w:val="0"/>
      <w:marBottom w:val="0"/>
      <w:divBdr>
        <w:top w:val="none" w:sz="0" w:space="0" w:color="auto"/>
        <w:left w:val="none" w:sz="0" w:space="0" w:color="auto"/>
        <w:bottom w:val="none" w:sz="0" w:space="0" w:color="auto"/>
        <w:right w:val="none" w:sz="0" w:space="0" w:color="auto"/>
      </w:divBdr>
      <w:divsChild>
        <w:div w:id="964894593">
          <w:marLeft w:val="0"/>
          <w:marRight w:val="0"/>
          <w:marTop w:val="0"/>
          <w:marBottom w:val="0"/>
          <w:divBdr>
            <w:top w:val="none" w:sz="0" w:space="0" w:color="auto"/>
            <w:left w:val="none" w:sz="0" w:space="0" w:color="auto"/>
            <w:bottom w:val="none" w:sz="0" w:space="0" w:color="auto"/>
            <w:right w:val="none" w:sz="0" w:space="0" w:color="auto"/>
          </w:divBdr>
        </w:div>
        <w:div w:id="749617551">
          <w:marLeft w:val="0"/>
          <w:marRight w:val="0"/>
          <w:marTop w:val="0"/>
          <w:marBottom w:val="0"/>
          <w:divBdr>
            <w:top w:val="none" w:sz="0" w:space="0" w:color="auto"/>
            <w:left w:val="none" w:sz="0" w:space="0" w:color="auto"/>
            <w:bottom w:val="none" w:sz="0" w:space="0" w:color="auto"/>
            <w:right w:val="none" w:sz="0" w:space="0" w:color="auto"/>
          </w:divBdr>
        </w:div>
        <w:div w:id="639580745">
          <w:marLeft w:val="0"/>
          <w:marRight w:val="0"/>
          <w:marTop w:val="0"/>
          <w:marBottom w:val="0"/>
          <w:divBdr>
            <w:top w:val="none" w:sz="0" w:space="0" w:color="auto"/>
            <w:left w:val="none" w:sz="0" w:space="0" w:color="auto"/>
            <w:bottom w:val="none" w:sz="0" w:space="0" w:color="auto"/>
            <w:right w:val="none" w:sz="0" w:space="0" w:color="auto"/>
          </w:divBdr>
        </w:div>
      </w:divsChild>
    </w:div>
    <w:div w:id="297077615">
      <w:bodyDiv w:val="1"/>
      <w:marLeft w:val="0"/>
      <w:marRight w:val="0"/>
      <w:marTop w:val="0"/>
      <w:marBottom w:val="0"/>
      <w:divBdr>
        <w:top w:val="none" w:sz="0" w:space="0" w:color="auto"/>
        <w:left w:val="none" w:sz="0" w:space="0" w:color="auto"/>
        <w:bottom w:val="none" w:sz="0" w:space="0" w:color="auto"/>
        <w:right w:val="none" w:sz="0" w:space="0" w:color="auto"/>
      </w:divBdr>
      <w:divsChild>
        <w:div w:id="234436359">
          <w:marLeft w:val="0"/>
          <w:marRight w:val="0"/>
          <w:marTop w:val="0"/>
          <w:marBottom w:val="0"/>
          <w:divBdr>
            <w:top w:val="none" w:sz="0" w:space="0" w:color="auto"/>
            <w:left w:val="none" w:sz="0" w:space="0" w:color="auto"/>
            <w:bottom w:val="none" w:sz="0" w:space="0" w:color="auto"/>
            <w:right w:val="none" w:sz="0" w:space="0" w:color="auto"/>
          </w:divBdr>
        </w:div>
      </w:divsChild>
    </w:div>
    <w:div w:id="319768734">
      <w:bodyDiv w:val="1"/>
      <w:marLeft w:val="0"/>
      <w:marRight w:val="0"/>
      <w:marTop w:val="0"/>
      <w:marBottom w:val="0"/>
      <w:divBdr>
        <w:top w:val="none" w:sz="0" w:space="0" w:color="auto"/>
        <w:left w:val="none" w:sz="0" w:space="0" w:color="auto"/>
        <w:bottom w:val="none" w:sz="0" w:space="0" w:color="auto"/>
        <w:right w:val="none" w:sz="0" w:space="0" w:color="auto"/>
      </w:divBdr>
    </w:div>
    <w:div w:id="342632885">
      <w:bodyDiv w:val="1"/>
      <w:marLeft w:val="0"/>
      <w:marRight w:val="0"/>
      <w:marTop w:val="0"/>
      <w:marBottom w:val="0"/>
      <w:divBdr>
        <w:top w:val="none" w:sz="0" w:space="0" w:color="auto"/>
        <w:left w:val="none" w:sz="0" w:space="0" w:color="auto"/>
        <w:bottom w:val="none" w:sz="0" w:space="0" w:color="auto"/>
        <w:right w:val="none" w:sz="0" w:space="0" w:color="auto"/>
      </w:divBdr>
    </w:div>
    <w:div w:id="438111240">
      <w:bodyDiv w:val="1"/>
      <w:marLeft w:val="0"/>
      <w:marRight w:val="0"/>
      <w:marTop w:val="0"/>
      <w:marBottom w:val="0"/>
      <w:divBdr>
        <w:top w:val="none" w:sz="0" w:space="0" w:color="auto"/>
        <w:left w:val="none" w:sz="0" w:space="0" w:color="auto"/>
        <w:bottom w:val="none" w:sz="0" w:space="0" w:color="auto"/>
        <w:right w:val="none" w:sz="0" w:space="0" w:color="auto"/>
      </w:divBdr>
    </w:div>
    <w:div w:id="493688659">
      <w:bodyDiv w:val="1"/>
      <w:marLeft w:val="0"/>
      <w:marRight w:val="0"/>
      <w:marTop w:val="0"/>
      <w:marBottom w:val="0"/>
      <w:divBdr>
        <w:top w:val="none" w:sz="0" w:space="0" w:color="auto"/>
        <w:left w:val="none" w:sz="0" w:space="0" w:color="auto"/>
        <w:bottom w:val="none" w:sz="0" w:space="0" w:color="auto"/>
        <w:right w:val="none" w:sz="0" w:space="0" w:color="auto"/>
      </w:divBdr>
    </w:div>
    <w:div w:id="542210766">
      <w:bodyDiv w:val="1"/>
      <w:marLeft w:val="0"/>
      <w:marRight w:val="0"/>
      <w:marTop w:val="0"/>
      <w:marBottom w:val="0"/>
      <w:divBdr>
        <w:top w:val="none" w:sz="0" w:space="0" w:color="auto"/>
        <w:left w:val="none" w:sz="0" w:space="0" w:color="auto"/>
        <w:bottom w:val="none" w:sz="0" w:space="0" w:color="auto"/>
        <w:right w:val="none" w:sz="0" w:space="0" w:color="auto"/>
      </w:divBdr>
    </w:div>
    <w:div w:id="595872329">
      <w:bodyDiv w:val="1"/>
      <w:marLeft w:val="0"/>
      <w:marRight w:val="0"/>
      <w:marTop w:val="0"/>
      <w:marBottom w:val="0"/>
      <w:divBdr>
        <w:top w:val="none" w:sz="0" w:space="0" w:color="auto"/>
        <w:left w:val="none" w:sz="0" w:space="0" w:color="auto"/>
        <w:bottom w:val="none" w:sz="0" w:space="0" w:color="auto"/>
        <w:right w:val="none" w:sz="0" w:space="0" w:color="auto"/>
      </w:divBdr>
      <w:divsChild>
        <w:div w:id="1835486418">
          <w:marLeft w:val="0"/>
          <w:marRight w:val="0"/>
          <w:marTop w:val="0"/>
          <w:marBottom w:val="0"/>
          <w:divBdr>
            <w:top w:val="none" w:sz="0" w:space="0" w:color="auto"/>
            <w:left w:val="none" w:sz="0" w:space="0" w:color="auto"/>
            <w:bottom w:val="none" w:sz="0" w:space="0" w:color="auto"/>
            <w:right w:val="none" w:sz="0" w:space="0" w:color="auto"/>
          </w:divBdr>
          <w:divsChild>
            <w:div w:id="8887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9533">
      <w:bodyDiv w:val="1"/>
      <w:marLeft w:val="0"/>
      <w:marRight w:val="0"/>
      <w:marTop w:val="0"/>
      <w:marBottom w:val="0"/>
      <w:divBdr>
        <w:top w:val="none" w:sz="0" w:space="0" w:color="auto"/>
        <w:left w:val="none" w:sz="0" w:space="0" w:color="auto"/>
        <w:bottom w:val="none" w:sz="0" w:space="0" w:color="auto"/>
        <w:right w:val="none" w:sz="0" w:space="0" w:color="auto"/>
      </w:divBdr>
    </w:div>
    <w:div w:id="699161317">
      <w:bodyDiv w:val="1"/>
      <w:marLeft w:val="0"/>
      <w:marRight w:val="0"/>
      <w:marTop w:val="0"/>
      <w:marBottom w:val="0"/>
      <w:divBdr>
        <w:top w:val="none" w:sz="0" w:space="0" w:color="auto"/>
        <w:left w:val="none" w:sz="0" w:space="0" w:color="auto"/>
        <w:bottom w:val="none" w:sz="0" w:space="0" w:color="auto"/>
        <w:right w:val="none" w:sz="0" w:space="0" w:color="auto"/>
      </w:divBdr>
    </w:div>
    <w:div w:id="753405633">
      <w:bodyDiv w:val="1"/>
      <w:marLeft w:val="0"/>
      <w:marRight w:val="0"/>
      <w:marTop w:val="0"/>
      <w:marBottom w:val="0"/>
      <w:divBdr>
        <w:top w:val="none" w:sz="0" w:space="0" w:color="auto"/>
        <w:left w:val="none" w:sz="0" w:space="0" w:color="auto"/>
        <w:bottom w:val="none" w:sz="0" w:space="0" w:color="auto"/>
        <w:right w:val="none" w:sz="0" w:space="0" w:color="auto"/>
      </w:divBdr>
    </w:div>
    <w:div w:id="887490700">
      <w:bodyDiv w:val="1"/>
      <w:marLeft w:val="0"/>
      <w:marRight w:val="0"/>
      <w:marTop w:val="0"/>
      <w:marBottom w:val="0"/>
      <w:divBdr>
        <w:top w:val="none" w:sz="0" w:space="0" w:color="auto"/>
        <w:left w:val="none" w:sz="0" w:space="0" w:color="auto"/>
        <w:bottom w:val="none" w:sz="0" w:space="0" w:color="auto"/>
        <w:right w:val="none" w:sz="0" w:space="0" w:color="auto"/>
      </w:divBdr>
    </w:div>
    <w:div w:id="958993120">
      <w:bodyDiv w:val="1"/>
      <w:marLeft w:val="0"/>
      <w:marRight w:val="0"/>
      <w:marTop w:val="0"/>
      <w:marBottom w:val="0"/>
      <w:divBdr>
        <w:top w:val="none" w:sz="0" w:space="0" w:color="auto"/>
        <w:left w:val="none" w:sz="0" w:space="0" w:color="auto"/>
        <w:bottom w:val="none" w:sz="0" w:space="0" w:color="auto"/>
        <w:right w:val="none" w:sz="0" w:space="0" w:color="auto"/>
      </w:divBdr>
    </w:div>
    <w:div w:id="998382749">
      <w:bodyDiv w:val="1"/>
      <w:marLeft w:val="0"/>
      <w:marRight w:val="0"/>
      <w:marTop w:val="0"/>
      <w:marBottom w:val="0"/>
      <w:divBdr>
        <w:top w:val="none" w:sz="0" w:space="0" w:color="auto"/>
        <w:left w:val="none" w:sz="0" w:space="0" w:color="auto"/>
        <w:bottom w:val="none" w:sz="0" w:space="0" w:color="auto"/>
        <w:right w:val="none" w:sz="0" w:space="0" w:color="auto"/>
      </w:divBdr>
    </w:div>
    <w:div w:id="1064567650">
      <w:bodyDiv w:val="1"/>
      <w:marLeft w:val="0"/>
      <w:marRight w:val="0"/>
      <w:marTop w:val="0"/>
      <w:marBottom w:val="0"/>
      <w:divBdr>
        <w:top w:val="none" w:sz="0" w:space="0" w:color="auto"/>
        <w:left w:val="none" w:sz="0" w:space="0" w:color="auto"/>
        <w:bottom w:val="none" w:sz="0" w:space="0" w:color="auto"/>
        <w:right w:val="none" w:sz="0" w:space="0" w:color="auto"/>
      </w:divBdr>
    </w:div>
    <w:div w:id="1083723189">
      <w:bodyDiv w:val="1"/>
      <w:marLeft w:val="0"/>
      <w:marRight w:val="0"/>
      <w:marTop w:val="0"/>
      <w:marBottom w:val="0"/>
      <w:divBdr>
        <w:top w:val="none" w:sz="0" w:space="0" w:color="auto"/>
        <w:left w:val="none" w:sz="0" w:space="0" w:color="auto"/>
        <w:bottom w:val="none" w:sz="0" w:space="0" w:color="auto"/>
        <w:right w:val="none" w:sz="0" w:space="0" w:color="auto"/>
      </w:divBdr>
      <w:divsChild>
        <w:div w:id="778454850">
          <w:marLeft w:val="0"/>
          <w:marRight w:val="0"/>
          <w:marTop w:val="0"/>
          <w:marBottom w:val="0"/>
          <w:divBdr>
            <w:top w:val="none" w:sz="0" w:space="0" w:color="auto"/>
            <w:left w:val="none" w:sz="0" w:space="0" w:color="auto"/>
            <w:bottom w:val="none" w:sz="0" w:space="0" w:color="auto"/>
            <w:right w:val="none" w:sz="0" w:space="0" w:color="auto"/>
          </w:divBdr>
          <w:divsChild>
            <w:div w:id="38944283">
              <w:marLeft w:val="0"/>
              <w:marRight w:val="0"/>
              <w:marTop w:val="0"/>
              <w:marBottom w:val="0"/>
              <w:divBdr>
                <w:top w:val="none" w:sz="0" w:space="0" w:color="auto"/>
                <w:left w:val="none" w:sz="0" w:space="0" w:color="auto"/>
                <w:bottom w:val="none" w:sz="0" w:space="0" w:color="auto"/>
                <w:right w:val="none" w:sz="0" w:space="0" w:color="auto"/>
              </w:divBdr>
              <w:divsChild>
                <w:div w:id="1396127291">
                  <w:marLeft w:val="0"/>
                  <w:marRight w:val="0"/>
                  <w:marTop w:val="0"/>
                  <w:marBottom w:val="0"/>
                  <w:divBdr>
                    <w:top w:val="none" w:sz="0" w:space="0" w:color="auto"/>
                    <w:left w:val="none" w:sz="0" w:space="0" w:color="auto"/>
                    <w:bottom w:val="none" w:sz="0" w:space="0" w:color="auto"/>
                    <w:right w:val="none" w:sz="0" w:space="0" w:color="auto"/>
                  </w:divBdr>
                  <w:divsChild>
                    <w:div w:id="249243292">
                      <w:marLeft w:val="0"/>
                      <w:marRight w:val="0"/>
                      <w:marTop w:val="0"/>
                      <w:marBottom w:val="0"/>
                      <w:divBdr>
                        <w:top w:val="none" w:sz="0" w:space="0" w:color="auto"/>
                        <w:left w:val="none" w:sz="0" w:space="0" w:color="auto"/>
                        <w:bottom w:val="none" w:sz="0" w:space="0" w:color="auto"/>
                        <w:right w:val="none" w:sz="0" w:space="0" w:color="auto"/>
                      </w:divBdr>
                      <w:divsChild>
                        <w:div w:id="84423691">
                          <w:marLeft w:val="0"/>
                          <w:marRight w:val="0"/>
                          <w:marTop w:val="0"/>
                          <w:marBottom w:val="0"/>
                          <w:divBdr>
                            <w:top w:val="none" w:sz="0" w:space="0" w:color="auto"/>
                            <w:left w:val="none" w:sz="0" w:space="0" w:color="auto"/>
                            <w:bottom w:val="none" w:sz="0" w:space="0" w:color="auto"/>
                            <w:right w:val="none" w:sz="0" w:space="0" w:color="auto"/>
                          </w:divBdr>
                          <w:divsChild>
                            <w:div w:id="1040396869">
                              <w:marLeft w:val="0"/>
                              <w:marRight w:val="0"/>
                              <w:marTop w:val="0"/>
                              <w:marBottom w:val="0"/>
                              <w:divBdr>
                                <w:top w:val="none" w:sz="0" w:space="0" w:color="auto"/>
                                <w:left w:val="none" w:sz="0" w:space="0" w:color="auto"/>
                                <w:bottom w:val="none" w:sz="0" w:space="0" w:color="auto"/>
                                <w:right w:val="none" w:sz="0" w:space="0" w:color="auto"/>
                              </w:divBdr>
                              <w:divsChild>
                                <w:div w:id="10541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725200">
      <w:bodyDiv w:val="1"/>
      <w:marLeft w:val="0"/>
      <w:marRight w:val="0"/>
      <w:marTop w:val="0"/>
      <w:marBottom w:val="0"/>
      <w:divBdr>
        <w:top w:val="none" w:sz="0" w:space="0" w:color="auto"/>
        <w:left w:val="none" w:sz="0" w:space="0" w:color="auto"/>
        <w:bottom w:val="none" w:sz="0" w:space="0" w:color="auto"/>
        <w:right w:val="none" w:sz="0" w:space="0" w:color="auto"/>
      </w:divBdr>
    </w:div>
    <w:div w:id="1273130970">
      <w:bodyDiv w:val="1"/>
      <w:marLeft w:val="0"/>
      <w:marRight w:val="0"/>
      <w:marTop w:val="0"/>
      <w:marBottom w:val="0"/>
      <w:divBdr>
        <w:top w:val="none" w:sz="0" w:space="0" w:color="auto"/>
        <w:left w:val="none" w:sz="0" w:space="0" w:color="auto"/>
        <w:bottom w:val="none" w:sz="0" w:space="0" w:color="auto"/>
        <w:right w:val="none" w:sz="0" w:space="0" w:color="auto"/>
      </w:divBdr>
    </w:div>
    <w:div w:id="1280838298">
      <w:bodyDiv w:val="1"/>
      <w:marLeft w:val="0"/>
      <w:marRight w:val="0"/>
      <w:marTop w:val="0"/>
      <w:marBottom w:val="0"/>
      <w:divBdr>
        <w:top w:val="none" w:sz="0" w:space="0" w:color="auto"/>
        <w:left w:val="none" w:sz="0" w:space="0" w:color="auto"/>
        <w:bottom w:val="none" w:sz="0" w:space="0" w:color="auto"/>
        <w:right w:val="none" w:sz="0" w:space="0" w:color="auto"/>
      </w:divBdr>
      <w:divsChild>
        <w:div w:id="416639132">
          <w:marLeft w:val="0"/>
          <w:marRight w:val="0"/>
          <w:marTop w:val="0"/>
          <w:marBottom w:val="0"/>
          <w:divBdr>
            <w:top w:val="none" w:sz="0" w:space="0" w:color="auto"/>
            <w:left w:val="none" w:sz="0" w:space="0" w:color="auto"/>
            <w:bottom w:val="none" w:sz="0" w:space="0" w:color="auto"/>
            <w:right w:val="none" w:sz="0" w:space="0" w:color="auto"/>
          </w:divBdr>
          <w:divsChild>
            <w:div w:id="17398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6918">
      <w:bodyDiv w:val="1"/>
      <w:marLeft w:val="0"/>
      <w:marRight w:val="0"/>
      <w:marTop w:val="0"/>
      <w:marBottom w:val="0"/>
      <w:divBdr>
        <w:top w:val="none" w:sz="0" w:space="0" w:color="auto"/>
        <w:left w:val="none" w:sz="0" w:space="0" w:color="auto"/>
        <w:bottom w:val="none" w:sz="0" w:space="0" w:color="auto"/>
        <w:right w:val="none" w:sz="0" w:space="0" w:color="auto"/>
      </w:divBdr>
    </w:div>
    <w:div w:id="1595939130">
      <w:bodyDiv w:val="1"/>
      <w:marLeft w:val="0"/>
      <w:marRight w:val="0"/>
      <w:marTop w:val="0"/>
      <w:marBottom w:val="0"/>
      <w:divBdr>
        <w:top w:val="none" w:sz="0" w:space="0" w:color="auto"/>
        <w:left w:val="none" w:sz="0" w:space="0" w:color="auto"/>
        <w:bottom w:val="none" w:sz="0" w:space="0" w:color="auto"/>
        <w:right w:val="none" w:sz="0" w:space="0" w:color="auto"/>
      </w:divBdr>
      <w:divsChild>
        <w:div w:id="1931084833">
          <w:marLeft w:val="0"/>
          <w:marRight w:val="0"/>
          <w:marTop w:val="0"/>
          <w:marBottom w:val="0"/>
          <w:divBdr>
            <w:top w:val="none" w:sz="0" w:space="0" w:color="auto"/>
            <w:left w:val="none" w:sz="0" w:space="0" w:color="auto"/>
            <w:bottom w:val="none" w:sz="0" w:space="0" w:color="auto"/>
            <w:right w:val="none" w:sz="0" w:space="0" w:color="auto"/>
          </w:divBdr>
        </w:div>
      </w:divsChild>
    </w:div>
    <w:div w:id="1693603944">
      <w:bodyDiv w:val="1"/>
      <w:marLeft w:val="0"/>
      <w:marRight w:val="0"/>
      <w:marTop w:val="0"/>
      <w:marBottom w:val="0"/>
      <w:divBdr>
        <w:top w:val="none" w:sz="0" w:space="0" w:color="auto"/>
        <w:left w:val="none" w:sz="0" w:space="0" w:color="auto"/>
        <w:bottom w:val="none" w:sz="0" w:space="0" w:color="auto"/>
        <w:right w:val="none" w:sz="0" w:space="0" w:color="auto"/>
      </w:divBdr>
    </w:div>
    <w:div w:id="1700467496">
      <w:bodyDiv w:val="1"/>
      <w:marLeft w:val="0"/>
      <w:marRight w:val="0"/>
      <w:marTop w:val="0"/>
      <w:marBottom w:val="0"/>
      <w:divBdr>
        <w:top w:val="none" w:sz="0" w:space="0" w:color="auto"/>
        <w:left w:val="none" w:sz="0" w:space="0" w:color="auto"/>
        <w:bottom w:val="none" w:sz="0" w:space="0" w:color="auto"/>
        <w:right w:val="none" w:sz="0" w:space="0" w:color="auto"/>
      </w:divBdr>
    </w:div>
    <w:div w:id="1811366729">
      <w:bodyDiv w:val="1"/>
      <w:marLeft w:val="0"/>
      <w:marRight w:val="0"/>
      <w:marTop w:val="0"/>
      <w:marBottom w:val="0"/>
      <w:divBdr>
        <w:top w:val="none" w:sz="0" w:space="0" w:color="auto"/>
        <w:left w:val="none" w:sz="0" w:space="0" w:color="auto"/>
        <w:bottom w:val="none" w:sz="0" w:space="0" w:color="auto"/>
        <w:right w:val="none" w:sz="0" w:space="0" w:color="auto"/>
      </w:divBdr>
    </w:div>
    <w:div w:id="1816139283">
      <w:bodyDiv w:val="1"/>
      <w:marLeft w:val="0"/>
      <w:marRight w:val="0"/>
      <w:marTop w:val="0"/>
      <w:marBottom w:val="0"/>
      <w:divBdr>
        <w:top w:val="none" w:sz="0" w:space="0" w:color="auto"/>
        <w:left w:val="none" w:sz="0" w:space="0" w:color="auto"/>
        <w:bottom w:val="none" w:sz="0" w:space="0" w:color="auto"/>
        <w:right w:val="none" w:sz="0" w:space="0" w:color="auto"/>
      </w:divBdr>
      <w:divsChild>
        <w:div w:id="62223334">
          <w:marLeft w:val="0"/>
          <w:marRight w:val="0"/>
          <w:marTop w:val="0"/>
          <w:marBottom w:val="0"/>
          <w:divBdr>
            <w:top w:val="none" w:sz="0" w:space="0" w:color="auto"/>
            <w:left w:val="none" w:sz="0" w:space="0" w:color="auto"/>
            <w:bottom w:val="none" w:sz="0" w:space="0" w:color="auto"/>
            <w:right w:val="none" w:sz="0" w:space="0" w:color="auto"/>
          </w:divBdr>
        </w:div>
      </w:divsChild>
    </w:div>
    <w:div w:id="1821117389">
      <w:bodyDiv w:val="1"/>
      <w:marLeft w:val="0"/>
      <w:marRight w:val="0"/>
      <w:marTop w:val="0"/>
      <w:marBottom w:val="0"/>
      <w:divBdr>
        <w:top w:val="none" w:sz="0" w:space="0" w:color="auto"/>
        <w:left w:val="none" w:sz="0" w:space="0" w:color="auto"/>
        <w:bottom w:val="none" w:sz="0" w:space="0" w:color="auto"/>
        <w:right w:val="none" w:sz="0" w:space="0" w:color="auto"/>
      </w:divBdr>
    </w:div>
    <w:div w:id="1825972572">
      <w:bodyDiv w:val="1"/>
      <w:marLeft w:val="0"/>
      <w:marRight w:val="0"/>
      <w:marTop w:val="0"/>
      <w:marBottom w:val="0"/>
      <w:divBdr>
        <w:top w:val="none" w:sz="0" w:space="0" w:color="auto"/>
        <w:left w:val="none" w:sz="0" w:space="0" w:color="auto"/>
        <w:bottom w:val="none" w:sz="0" w:space="0" w:color="auto"/>
        <w:right w:val="none" w:sz="0" w:space="0" w:color="auto"/>
      </w:divBdr>
      <w:divsChild>
        <w:div w:id="2061710626">
          <w:marLeft w:val="0"/>
          <w:marRight w:val="0"/>
          <w:marTop w:val="0"/>
          <w:marBottom w:val="0"/>
          <w:divBdr>
            <w:top w:val="none" w:sz="0" w:space="0" w:color="auto"/>
            <w:left w:val="none" w:sz="0" w:space="0" w:color="auto"/>
            <w:bottom w:val="none" w:sz="0" w:space="0" w:color="auto"/>
            <w:right w:val="none" w:sz="0" w:space="0" w:color="auto"/>
          </w:divBdr>
          <w:divsChild>
            <w:div w:id="3390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4810">
      <w:bodyDiv w:val="1"/>
      <w:marLeft w:val="0"/>
      <w:marRight w:val="0"/>
      <w:marTop w:val="0"/>
      <w:marBottom w:val="0"/>
      <w:divBdr>
        <w:top w:val="none" w:sz="0" w:space="0" w:color="auto"/>
        <w:left w:val="none" w:sz="0" w:space="0" w:color="auto"/>
        <w:bottom w:val="none" w:sz="0" w:space="0" w:color="auto"/>
        <w:right w:val="none" w:sz="0" w:space="0" w:color="auto"/>
      </w:divBdr>
    </w:div>
    <w:div w:id="1972511688">
      <w:bodyDiv w:val="1"/>
      <w:marLeft w:val="0"/>
      <w:marRight w:val="0"/>
      <w:marTop w:val="0"/>
      <w:marBottom w:val="0"/>
      <w:divBdr>
        <w:top w:val="none" w:sz="0" w:space="0" w:color="auto"/>
        <w:left w:val="none" w:sz="0" w:space="0" w:color="auto"/>
        <w:bottom w:val="none" w:sz="0" w:space="0" w:color="auto"/>
        <w:right w:val="none" w:sz="0" w:space="0" w:color="auto"/>
      </w:divBdr>
    </w:div>
    <w:div w:id="1973054720">
      <w:bodyDiv w:val="1"/>
      <w:marLeft w:val="0"/>
      <w:marRight w:val="0"/>
      <w:marTop w:val="0"/>
      <w:marBottom w:val="0"/>
      <w:divBdr>
        <w:top w:val="none" w:sz="0" w:space="0" w:color="auto"/>
        <w:left w:val="none" w:sz="0" w:space="0" w:color="auto"/>
        <w:bottom w:val="none" w:sz="0" w:space="0" w:color="auto"/>
        <w:right w:val="none" w:sz="0" w:space="0" w:color="auto"/>
      </w:divBdr>
    </w:div>
    <w:div w:id="2047555517">
      <w:bodyDiv w:val="1"/>
      <w:marLeft w:val="0"/>
      <w:marRight w:val="0"/>
      <w:marTop w:val="0"/>
      <w:marBottom w:val="0"/>
      <w:divBdr>
        <w:top w:val="none" w:sz="0" w:space="0" w:color="auto"/>
        <w:left w:val="none" w:sz="0" w:space="0" w:color="auto"/>
        <w:bottom w:val="none" w:sz="0" w:space="0" w:color="auto"/>
        <w:right w:val="none" w:sz="0" w:space="0" w:color="auto"/>
      </w:divBdr>
    </w:div>
    <w:div w:id="2075469960">
      <w:bodyDiv w:val="1"/>
      <w:marLeft w:val="0"/>
      <w:marRight w:val="0"/>
      <w:marTop w:val="0"/>
      <w:marBottom w:val="0"/>
      <w:divBdr>
        <w:top w:val="none" w:sz="0" w:space="0" w:color="auto"/>
        <w:left w:val="none" w:sz="0" w:space="0" w:color="auto"/>
        <w:bottom w:val="none" w:sz="0" w:space="0" w:color="auto"/>
        <w:right w:val="none" w:sz="0" w:space="0" w:color="auto"/>
      </w:divBdr>
    </w:div>
    <w:div w:id="2138527697">
      <w:bodyDiv w:val="1"/>
      <w:marLeft w:val="0"/>
      <w:marRight w:val="0"/>
      <w:marTop w:val="0"/>
      <w:marBottom w:val="0"/>
      <w:divBdr>
        <w:top w:val="none" w:sz="0" w:space="0" w:color="auto"/>
        <w:left w:val="none" w:sz="0" w:space="0" w:color="auto"/>
        <w:bottom w:val="none" w:sz="0" w:space="0" w:color="auto"/>
        <w:right w:val="none" w:sz="0" w:space="0" w:color="auto"/>
      </w:divBdr>
    </w:div>
    <w:div w:id="213879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soeding@rub.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1-6189-246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4EAE-60EB-4F07-9145-93F0B220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4871</Words>
  <Characters>27765</Characters>
  <Application>Microsoft Office Word</Application>
  <DocSecurity>0</DocSecurity>
  <Lines>231</Lines>
  <Paragraphs>65</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Rysiek jach</dc:creator>
  <cp:lastModifiedBy>Bożena Futoma-Kołoch</cp:lastModifiedBy>
  <cp:revision>11</cp:revision>
  <dcterms:created xsi:type="dcterms:W3CDTF">2026-03-13T10:07:00Z</dcterms:created>
  <dcterms:modified xsi:type="dcterms:W3CDTF">2026-07-07T10:13:00Z</dcterms:modified>
</cp:coreProperties>
</file>