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80AA" w14:textId="4350AA38" w:rsidR="00A03254" w:rsidRDefault="00791DFB" w:rsidP="00A03254">
      <w:pPr>
        <w:spacing w:line="240" w:lineRule="auto"/>
        <w:rPr>
          <w:rFonts w:ascii="Times New Roman" w:hAnsi="Times New Roman" w:cs="Times New Roman"/>
          <w:sz w:val="24"/>
          <w:szCs w:val="24"/>
          <w:lang w:val="en-US"/>
        </w:rPr>
      </w:pPr>
      <w:r w:rsidRPr="00791DFB">
        <w:rPr>
          <w:rFonts w:ascii="Times New Roman" w:hAnsi="Times New Roman" w:cs="Times New Roman"/>
          <w:sz w:val="24"/>
          <w:szCs w:val="24"/>
          <w:u w:val="single"/>
          <w:lang w:val="en-US"/>
        </w:rPr>
        <w:t>THOMAS PRÜGL</w:t>
      </w:r>
      <w:r w:rsidRPr="00791DFB">
        <w:rPr>
          <w:rFonts w:ascii="Times New Roman" w:hAnsi="Times New Roman" w:cs="Times New Roman"/>
          <w:sz w:val="24"/>
          <w:szCs w:val="24"/>
          <w:u w:val="single"/>
          <w:lang w:val="en-US"/>
        </w:rPr>
        <w:br/>
      </w:r>
      <w:r w:rsidR="00A03254" w:rsidRPr="00A03254">
        <w:rPr>
          <w:rFonts w:ascii="Times New Roman" w:hAnsi="Times New Roman" w:cs="Times New Roman"/>
          <w:sz w:val="24"/>
          <w:szCs w:val="24"/>
          <w:lang w:val="en-US"/>
        </w:rPr>
        <w:t>University of Vienna, Austria</w:t>
      </w:r>
      <w:r w:rsidR="006D4C6D">
        <w:rPr>
          <w:rFonts w:ascii="Times New Roman" w:hAnsi="Times New Roman" w:cs="Times New Roman"/>
          <w:sz w:val="24"/>
          <w:szCs w:val="24"/>
          <w:lang w:val="en-US"/>
        </w:rPr>
        <w:br/>
        <w:t xml:space="preserve">e-mail: </w:t>
      </w:r>
      <w:hyperlink r:id="rId7" w:history="1">
        <w:r w:rsidR="006D4C6D" w:rsidRPr="006D4C6D">
          <w:rPr>
            <w:rStyle w:val="Hyperlink"/>
            <w:rFonts w:ascii="Times New Roman" w:hAnsi="Times New Roman" w:cs="Times New Roman"/>
            <w:color w:val="auto"/>
            <w:sz w:val="23"/>
            <w:szCs w:val="23"/>
            <w:u w:val="none"/>
            <w:shd w:val="clear" w:color="auto" w:fill="FFFFFF"/>
            <w:lang w:val="en-US"/>
          </w:rPr>
          <w:t>thomas.pruegl@univie.ac.at</w:t>
        </w:r>
      </w:hyperlink>
      <w:r w:rsidR="006D4C6D">
        <w:rPr>
          <w:rFonts w:ascii="Times New Roman" w:hAnsi="Times New Roman" w:cs="Times New Roman"/>
          <w:sz w:val="24"/>
          <w:szCs w:val="24"/>
          <w:lang w:val="en-US"/>
        </w:rPr>
        <w:br/>
      </w:r>
      <w:r w:rsidR="006D4C6D" w:rsidRPr="0009485E">
        <w:rPr>
          <w:rFonts w:ascii="Times New Roman" w:hAnsi="Times New Roman" w:cs="Times New Roman"/>
          <w:sz w:val="24"/>
          <w:szCs w:val="24"/>
          <w:lang w:val="en-US"/>
        </w:rPr>
        <w:t xml:space="preserve">ORCID: </w:t>
      </w:r>
      <w:hyperlink r:id="rId8" w:history="1">
        <w:r w:rsidR="006D4C6D" w:rsidRPr="0009485E">
          <w:rPr>
            <w:rStyle w:val="Hyperlink"/>
            <w:rFonts w:ascii="Times New Roman" w:hAnsi="Times New Roman" w:cs="Times New Roman"/>
            <w:color w:val="auto"/>
            <w:sz w:val="24"/>
            <w:szCs w:val="24"/>
            <w:u w:val="none"/>
            <w:lang w:val="en-US"/>
          </w:rPr>
          <w:t>0000-0003-2551-8212</w:t>
        </w:r>
      </w:hyperlink>
      <w:r w:rsidR="00460615">
        <w:rPr>
          <w:rStyle w:val="Hyperlink"/>
          <w:rFonts w:ascii="Times New Roman" w:hAnsi="Times New Roman" w:cs="Times New Roman"/>
          <w:color w:val="auto"/>
          <w:sz w:val="27"/>
          <w:szCs w:val="27"/>
          <w:u w:val="none"/>
          <w:lang w:val="en-US"/>
        </w:rPr>
        <w:br/>
      </w:r>
      <w:r w:rsidR="00460615" w:rsidRPr="0009485E">
        <w:rPr>
          <w:rStyle w:val="Hyperlink"/>
          <w:rFonts w:ascii="Times New Roman" w:hAnsi="Times New Roman" w:cs="Times New Roman"/>
          <w:color w:val="auto"/>
          <w:sz w:val="24"/>
          <w:szCs w:val="24"/>
          <w:u w:val="none"/>
          <w:lang w:val="en-US"/>
        </w:rPr>
        <w:t>DOI:</w:t>
      </w:r>
      <w:r w:rsidR="00F70DC1" w:rsidRPr="0009485E">
        <w:rPr>
          <w:rStyle w:val="Hyperlink"/>
          <w:rFonts w:ascii="Times New Roman" w:hAnsi="Times New Roman" w:cs="Times New Roman"/>
          <w:color w:val="auto"/>
          <w:sz w:val="24"/>
          <w:szCs w:val="24"/>
          <w:u w:val="none"/>
          <w:lang w:val="en-US"/>
        </w:rPr>
        <w:t xml:space="preserve"> 10.48224/COM-231-2025-46</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A03254" w:rsidRPr="00FA77B5" w14:paraId="38C50CFF" w14:textId="77777777" w:rsidTr="00843A09">
        <w:trPr>
          <w:trHeight w:val="724"/>
          <w:jc w:val="right"/>
        </w:trPr>
        <w:tc>
          <w:tcPr>
            <w:tcW w:w="3685" w:type="dxa"/>
            <w:hideMark/>
          </w:tcPr>
          <w:p w14:paraId="2453AA9D" w14:textId="77777777" w:rsidR="00A03254" w:rsidRPr="00FA77B5" w:rsidRDefault="00A03254" w:rsidP="00843A09">
            <w:pPr>
              <w:jc w:val="center"/>
              <w:rPr>
                <w:rFonts w:ascii="Times New Roman" w:hAnsi="Times New Roman" w:cs="Times New Roman"/>
                <w:sz w:val="20"/>
                <w:szCs w:val="20"/>
              </w:rPr>
            </w:pPr>
            <w:r w:rsidRPr="00FA77B5">
              <w:rPr>
                <w:rFonts w:ascii="Times New Roman" w:hAnsi="Times New Roman" w:cs="Times New Roman"/>
                <w:sz w:val="20"/>
                <w:szCs w:val="20"/>
                <w:lang w:val="en-US"/>
              </w:rPr>
              <w:br/>
            </w:r>
            <w:r w:rsidRPr="00FA77B5">
              <w:rPr>
                <w:rFonts w:ascii="Times New Roman" w:hAnsi="Times New Roman" w:cs="Times New Roman"/>
                <w:sz w:val="20"/>
                <w:szCs w:val="20"/>
              </w:rPr>
              <w:t xml:space="preserve">Communio </w:t>
            </w:r>
            <w:r w:rsidR="00540C21">
              <w:rPr>
                <w:rFonts w:ascii="Times New Roman" w:hAnsi="Times New Roman" w:cs="Times New Roman"/>
                <w:sz w:val="20"/>
                <w:szCs w:val="20"/>
              </w:rPr>
              <w:t>45(2025)3</w:t>
            </w:r>
            <w:r w:rsidRPr="00FA77B5">
              <w:rPr>
                <w:rFonts w:ascii="Times New Roman" w:hAnsi="Times New Roman" w:cs="Times New Roman"/>
                <w:sz w:val="20"/>
                <w:szCs w:val="20"/>
              </w:rPr>
              <w:t>, s. 2-2</w:t>
            </w:r>
          </w:p>
        </w:tc>
      </w:tr>
    </w:tbl>
    <w:p w14:paraId="7A9062CF" w14:textId="77777777" w:rsidR="00A03254" w:rsidRPr="00FA77B5" w:rsidRDefault="00A03254" w:rsidP="00A03254">
      <w:pPr>
        <w:jc w:val="center"/>
        <w:rPr>
          <w:rFonts w:ascii="Times New Roman" w:hAnsi="Times New Roman" w:cs="Times New Roman"/>
          <w:b/>
        </w:rPr>
      </w:pPr>
    </w:p>
    <w:p w14:paraId="102B86AE" w14:textId="77777777" w:rsidR="00A03254" w:rsidRPr="00A03254" w:rsidRDefault="00D608DA" w:rsidP="00A03254">
      <w:pPr>
        <w:pStyle w:val="NormalWeb"/>
        <w:jc w:val="center"/>
        <w:rPr>
          <w:b/>
          <w:bCs/>
          <w:sz w:val="28"/>
          <w:szCs w:val="28"/>
          <w:lang w:val="en-US"/>
        </w:rPr>
      </w:pPr>
      <w:r w:rsidRPr="00A03254">
        <w:rPr>
          <w:b/>
          <w:bCs/>
          <w:sz w:val="28"/>
          <w:szCs w:val="28"/>
          <w:lang w:val="en-US"/>
        </w:rPr>
        <w:t>Tomasz jako interpretator Pisma Świętego</w:t>
      </w:r>
      <w:r w:rsidR="00A03254" w:rsidRPr="00A03254">
        <w:rPr>
          <w:b/>
          <w:bCs/>
          <w:sz w:val="28"/>
          <w:szCs w:val="28"/>
          <w:lang w:val="en-US"/>
        </w:rPr>
        <w:t xml:space="preserve"> </w:t>
      </w:r>
    </w:p>
    <w:p w14:paraId="70DA6ED7" w14:textId="77777777" w:rsidR="00D608DA" w:rsidRPr="00A03254" w:rsidRDefault="00A03254" w:rsidP="00A03254">
      <w:pPr>
        <w:pStyle w:val="NormalWeb"/>
        <w:jc w:val="center"/>
        <w:rPr>
          <w:b/>
          <w:bCs/>
          <w:sz w:val="28"/>
          <w:szCs w:val="28"/>
          <w:lang w:val="en-US"/>
        </w:rPr>
      </w:pPr>
      <w:r w:rsidRPr="00A03254">
        <w:rPr>
          <w:b/>
          <w:bCs/>
          <w:sz w:val="28"/>
          <w:szCs w:val="28"/>
          <w:lang w:val="en-US"/>
        </w:rPr>
        <w:t>Thomas as an Interpreter of the Holy Scripture</w:t>
      </w:r>
    </w:p>
    <w:p w14:paraId="06DB1FB3" w14:textId="77777777" w:rsidR="00A03254" w:rsidRPr="00540C21" w:rsidRDefault="00A03254" w:rsidP="00A03254">
      <w:pPr>
        <w:pStyle w:val="NoSpacing"/>
        <w:jc w:val="center"/>
        <w:rPr>
          <w:rStyle w:val="Strong"/>
          <w:rFonts w:ascii="Times New Roman" w:hAnsi="Times New Roman" w:cs="Times New Roman"/>
          <w:sz w:val="20"/>
          <w:szCs w:val="20"/>
          <w:lang w:val="en-US"/>
        </w:rPr>
      </w:pPr>
      <w:r w:rsidRPr="00540C21">
        <w:rPr>
          <w:rStyle w:val="Strong"/>
          <w:rFonts w:ascii="Times New Roman" w:hAnsi="Times New Roman" w:cs="Times New Roman"/>
          <w:sz w:val="20"/>
          <w:szCs w:val="20"/>
          <w:lang w:val="en-US"/>
        </w:rPr>
        <w:t>Abstrakt</w:t>
      </w:r>
    </w:p>
    <w:p w14:paraId="1F5BD798" w14:textId="77777777" w:rsidR="00A03254" w:rsidRPr="00A03254" w:rsidRDefault="00A03254" w:rsidP="00A03254">
      <w:pPr>
        <w:pStyle w:val="NoSpacing"/>
        <w:jc w:val="both"/>
        <w:rPr>
          <w:rFonts w:ascii="Times New Roman" w:hAnsi="Times New Roman" w:cs="Times New Roman"/>
          <w:sz w:val="20"/>
          <w:szCs w:val="20"/>
          <w:lang w:val="en-US"/>
        </w:rPr>
      </w:pPr>
      <w:r w:rsidRPr="00A03254">
        <w:rPr>
          <w:rFonts w:ascii="Times New Roman" w:hAnsi="Times New Roman" w:cs="Times New Roman"/>
          <w:sz w:val="20"/>
          <w:szCs w:val="20"/>
          <w:lang w:val="en-US"/>
        </w:rPr>
        <w:t xml:space="preserve">Scriptural exegesis by Thomas Aquinas can be explained as an application of his understanding of theology. Theologians seeking the wisdom of God and an insight into revelation, participate in a process of mediation which extends from the teaching of Christ through the apostles and church fathers to the instruction of professors, exegetes and preachers (sacra doctrina). Exegetes/theologians unfold God’s plan and his wisdom in the many literary forms and images in sacred Scripture, thus manifesting the coherency of revelation within the biblical texts. Nevertheless, Thomas takes the form and properties of each biblical books seriously. In his scriptural commentaries he is eager to highlight the central theological themes of the respective biblical book and to make them fruitful for his own theological vision. </w:t>
      </w:r>
    </w:p>
    <w:p w14:paraId="216A9339" w14:textId="77777777" w:rsidR="00A03254" w:rsidRPr="00A03254" w:rsidRDefault="00A03254" w:rsidP="00A03254">
      <w:pPr>
        <w:pStyle w:val="NoSpacing"/>
        <w:jc w:val="both"/>
        <w:rPr>
          <w:rFonts w:ascii="Times New Roman" w:hAnsi="Times New Roman" w:cs="Times New Roman"/>
          <w:sz w:val="20"/>
          <w:szCs w:val="20"/>
          <w:lang w:val="en-US"/>
        </w:rPr>
      </w:pPr>
    </w:p>
    <w:p w14:paraId="109EC39B" w14:textId="77777777" w:rsidR="00A03254" w:rsidRPr="00A03254" w:rsidRDefault="00A03254" w:rsidP="00A03254">
      <w:pPr>
        <w:pStyle w:val="NoSpacing"/>
        <w:jc w:val="both"/>
        <w:rPr>
          <w:rStyle w:val="Strong"/>
          <w:rFonts w:ascii="Times New Roman" w:hAnsi="Times New Roman" w:cs="Times New Roman"/>
          <w:sz w:val="20"/>
          <w:szCs w:val="20"/>
          <w:lang w:val="en-US"/>
        </w:rPr>
      </w:pPr>
      <w:r w:rsidRPr="00A03254">
        <w:rPr>
          <w:rFonts w:ascii="Times New Roman" w:hAnsi="Times New Roman" w:cs="Times New Roman"/>
          <w:b/>
          <w:bCs/>
          <w:sz w:val="20"/>
          <w:szCs w:val="20"/>
          <w:lang w:val="en-US"/>
        </w:rPr>
        <w:t xml:space="preserve">Keywors: </w:t>
      </w:r>
      <w:r w:rsidRPr="00A03254">
        <w:rPr>
          <w:rFonts w:ascii="Times New Roman" w:hAnsi="Times New Roman" w:cs="Times New Roman"/>
          <w:sz w:val="20"/>
          <w:szCs w:val="20"/>
          <w:lang w:val="en-US"/>
        </w:rPr>
        <w:t>Thomas Aquinas – Thomistic Exegesis – Biblical Hermeneutics – Holy Scripture</w:t>
      </w:r>
    </w:p>
    <w:p w14:paraId="35C2D93E" w14:textId="77777777" w:rsidR="00A03254" w:rsidRPr="00A03254" w:rsidRDefault="00A03254" w:rsidP="00A03254">
      <w:pPr>
        <w:pStyle w:val="NoSpacing"/>
        <w:jc w:val="both"/>
        <w:rPr>
          <w:rStyle w:val="Strong"/>
          <w:rFonts w:ascii="Times New Roman" w:hAnsi="Times New Roman" w:cs="Times New Roman"/>
          <w:sz w:val="20"/>
          <w:szCs w:val="20"/>
          <w:lang w:val="en-US"/>
        </w:rPr>
      </w:pPr>
    </w:p>
    <w:p w14:paraId="0F14E164" w14:textId="77777777" w:rsidR="00A03254" w:rsidRPr="00A03254" w:rsidRDefault="00A03254" w:rsidP="00A03254">
      <w:pPr>
        <w:pStyle w:val="NoSpacing"/>
        <w:jc w:val="both"/>
        <w:rPr>
          <w:rStyle w:val="Strong"/>
          <w:rFonts w:ascii="Times New Roman" w:hAnsi="Times New Roman" w:cs="Times New Roman"/>
          <w:sz w:val="20"/>
          <w:szCs w:val="20"/>
          <w:lang w:val="en-US"/>
        </w:rPr>
      </w:pPr>
    </w:p>
    <w:p w14:paraId="2F175FD8" w14:textId="77777777" w:rsidR="00A03254" w:rsidRPr="00A03254" w:rsidRDefault="00A03254" w:rsidP="00A03254">
      <w:pPr>
        <w:pStyle w:val="NoSpacing"/>
        <w:jc w:val="center"/>
        <w:rPr>
          <w:rFonts w:ascii="Times New Roman" w:hAnsi="Times New Roman" w:cs="Times New Roman"/>
          <w:sz w:val="20"/>
          <w:szCs w:val="20"/>
        </w:rPr>
      </w:pPr>
      <w:r w:rsidRPr="00A03254">
        <w:rPr>
          <w:rStyle w:val="Strong"/>
          <w:rFonts w:ascii="Times New Roman" w:hAnsi="Times New Roman" w:cs="Times New Roman"/>
          <w:sz w:val="20"/>
          <w:szCs w:val="20"/>
        </w:rPr>
        <w:t>Streszczenie</w:t>
      </w:r>
    </w:p>
    <w:p w14:paraId="2EC4A2E2" w14:textId="77777777" w:rsidR="00A03254" w:rsidRPr="00A03254" w:rsidRDefault="00A03254" w:rsidP="00A03254">
      <w:pPr>
        <w:pStyle w:val="NoSpacing"/>
        <w:jc w:val="both"/>
        <w:rPr>
          <w:rFonts w:ascii="Times New Roman" w:hAnsi="Times New Roman" w:cs="Times New Roman"/>
          <w:sz w:val="20"/>
          <w:szCs w:val="20"/>
        </w:rPr>
      </w:pPr>
      <w:r w:rsidRPr="00A03254">
        <w:rPr>
          <w:rFonts w:ascii="Times New Roman" w:hAnsi="Times New Roman" w:cs="Times New Roman"/>
          <w:sz w:val="20"/>
          <w:szCs w:val="20"/>
        </w:rPr>
        <w:t>Tomasz jako interpretator Pisma Świętego. Egzegezę biblijną Tomasza z Akwinu można wyjaśnić jako zastosowanie jego rozumienia teologii. Teologowie poszukujący mądrości Bożej i wglądu w objawienie uczestniczą w procesie przekazu, który rozciąga się od nauczania</w:t>
      </w:r>
      <w:r w:rsidR="0028587B">
        <w:rPr>
          <w:rFonts w:ascii="Times New Roman" w:hAnsi="Times New Roman" w:cs="Times New Roman"/>
          <w:sz w:val="20"/>
          <w:szCs w:val="20"/>
        </w:rPr>
        <w:t xml:space="preserve"> Chrystusa poprzez apostołów i O</w:t>
      </w:r>
      <w:r w:rsidRPr="00A03254">
        <w:rPr>
          <w:rFonts w:ascii="Times New Roman" w:hAnsi="Times New Roman" w:cs="Times New Roman"/>
          <w:sz w:val="20"/>
          <w:szCs w:val="20"/>
        </w:rPr>
        <w:t>jców Kościoła aż po nauczanie profesorów, egzegetów i kaznodziejów (</w:t>
      </w:r>
      <w:r w:rsidRPr="00A03254">
        <w:rPr>
          <w:rStyle w:val="Emphasis"/>
          <w:rFonts w:ascii="Times New Roman" w:hAnsi="Times New Roman" w:cs="Times New Roman"/>
          <w:sz w:val="20"/>
          <w:szCs w:val="20"/>
        </w:rPr>
        <w:t>sacra doctrina</w:t>
      </w:r>
      <w:r w:rsidRPr="00A03254">
        <w:rPr>
          <w:rFonts w:ascii="Times New Roman" w:hAnsi="Times New Roman" w:cs="Times New Roman"/>
          <w:sz w:val="20"/>
          <w:szCs w:val="20"/>
        </w:rPr>
        <w:t>). Egzegeci/teologowie rozwijają Boży plan i Jego mądrość zawarte w licznych formach literackich i obrazach w Piśmie Świętym, ukazując w ten sposób spójność objawienia w obrębie tekstów biblijnych. Tomasz traktuje jednak powagę formy i właściwości poszczególnych ksiąg biblijnych z pełną powagą. W swoich komentarzach biblijnych stara się uwypuklić centralne tematy teologiczne danej księgi i uczynić je owocnymi dla własnej wizji teologicznej.</w:t>
      </w:r>
    </w:p>
    <w:p w14:paraId="48A98188" w14:textId="77777777" w:rsidR="00A03254" w:rsidRDefault="00A03254" w:rsidP="00A03254">
      <w:pPr>
        <w:pStyle w:val="NoSpacing"/>
        <w:jc w:val="both"/>
        <w:rPr>
          <w:rStyle w:val="Strong"/>
          <w:rFonts w:ascii="Times New Roman" w:hAnsi="Times New Roman" w:cs="Times New Roman"/>
          <w:sz w:val="20"/>
          <w:szCs w:val="20"/>
        </w:rPr>
      </w:pPr>
    </w:p>
    <w:p w14:paraId="29DB188C" w14:textId="77777777" w:rsidR="00A03254" w:rsidRPr="00A03254" w:rsidRDefault="00A03254" w:rsidP="00A03254">
      <w:pPr>
        <w:pStyle w:val="NoSpacing"/>
        <w:jc w:val="both"/>
        <w:rPr>
          <w:rFonts w:ascii="Times New Roman" w:hAnsi="Times New Roman" w:cs="Times New Roman"/>
          <w:sz w:val="20"/>
          <w:szCs w:val="20"/>
        </w:rPr>
      </w:pPr>
      <w:r w:rsidRPr="00A03254">
        <w:rPr>
          <w:rStyle w:val="Strong"/>
          <w:rFonts w:ascii="Times New Roman" w:hAnsi="Times New Roman" w:cs="Times New Roman"/>
          <w:sz w:val="20"/>
          <w:szCs w:val="20"/>
        </w:rPr>
        <w:t>Słowa kluczowe:</w:t>
      </w:r>
      <w:r w:rsidRPr="00A03254">
        <w:rPr>
          <w:rFonts w:ascii="Times New Roman" w:hAnsi="Times New Roman" w:cs="Times New Roman"/>
          <w:sz w:val="20"/>
          <w:szCs w:val="20"/>
        </w:rPr>
        <w:t xml:space="preserve"> Tomasz z Akwinu – egzegeza tomistyczna – hermeneutyka biblijna – Pismo Święte</w:t>
      </w:r>
    </w:p>
    <w:p w14:paraId="55497A0A" w14:textId="77777777" w:rsidR="00A03254" w:rsidRDefault="00A03254" w:rsidP="00A03254">
      <w:pPr>
        <w:pStyle w:val="NormalWeb"/>
        <w:jc w:val="both"/>
        <w:rPr>
          <w:sz w:val="28"/>
          <w:szCs w:val="28"/>
        </w:rPr>
      </w:pPr>
    </w:p>
    <w:p w14:paraId="7EDBC0E6" w14:textId="77777777" w:rsidR="006B25B4" w:rsidRDefault="00D608DA" w:rsidP="00A03254">
      <w:pPr>
        <w:pStyle w:val="NormalWeb"/>
        <w:spacing w:before="0" w:beforeAutospacing="0" w:after="0" w:afterAutospacing="0"/>
        <w:ind w:firstLine="708"/>
        <w:jc w:val="both"/>
      </w:pPr>
      <w:r>
        <w:t xml:space="preserve">W przedmowie do swojej </w:t>
      </w:r>
      <w:r w:rsidR="00A03254">
        <w:rPr>
          <w:rStyle w:val="Emphasis"/>
        </w:rPr>
        <w:t>Sumy teologicznej</w:t>
      </w:r>
      <w:r>
        <w:t xml:space="preserve"> Tomasz z Akwinu ubolewał nad słabościami ówczesnego nauczania teologii: studenci cierpieli, po pierwsze, z powodu mnogości bezużytecznych pytań i argumentacji, a po drugie — z powodu braku porządku studiów. Profesorowie bowiem nie nauczali zagadnień teologicznych według systematyki tej dyscypliny (</w:t>
      </w:r>
      <w:r>
        <w:rPr>
          <w:rStyle w:val="Emphasis"/>
        </w:rPr>
        <w:t>ordo disciplinae</w:t>
      </w:r>
      <w:r>
        <w:t xml:space="preserve">), lecz przypadkowo — tak, jak dyktowała to akurat interpretacja (biblijnych) ksiąg albo ćwiczenia w prowadzeniu dysput. Tomasz chciał zaradzić temu brakowi systematycznemu i dydaktycznemu, tworząc </w:t>
      </w:r>
      <w:r w:rsidR="0028587B">
        <w:rPr>
          <w:rStyle w:val="Emphasis"/>
        </w:rPr>
        <w:t>Su</w:t>
      </w:r>
      <w:r>
        <w:rPr>
          <w:rStyle w:val="Emphasis"/>
        </w:rPr>
        <w:t>mę teologiczną</w:t>
      </w:r>
      <w:r>
        <w:t xml:space="preserve"> jako podręcznik dla początkujących (</w:t>
      </w:r>
      <w:r>
        <w:rPr>
          <w:rStyle w:val="Emphasis"/>
        </w:rPr>
        <w:t>incipientes</w:t>
      </w:r>
      <w:r>
        <w:t>)</w:t>
      </w:r>
      <w:r w:rsidR="006456CF">
        <w:rPr>
          <w:rStyle w:val="FootnoteReference"/>
        </w:rPr>
        <w:footnoteReference w:id="1"/>
      </w:r>
      <w:r>
        <w:t>.</w:t>
      </w:r>
      <w:r w:rsidR="00E474CD">
        <w:t xml:space="preserve"> W rezultacie powstał obszerny podręcznik teologiczny, który </w:t>
      </w:r>
      <w:r w:rsidR="00E474CD">
        <w:lastRenderedPageBreak/>
        <w:t xml:space="preserve">zebrał wiedzę wiary z epoki Ojców Kościoła, uporządkował ją według wspaniałego planu oraz objaśnił zarówno teologicznie, jak i filozoficznie. Genialne dzieło </w:t>
      </w:r>
      <w:r w:rsidR="00A03254">
        <w:rPr>
          <w:rStyle w:val="Emphasis"/>
        </w:rPr>
        <w:t>Sum</w:t>
      </w:r>
      <w:r w:rsidR="00E474CD">
        <w:rPr>
          <w:rStyle w:val="Emphasis"/>
        </w:rPr>
        <w:t>a t</w:t>
      </w:r>
      <w:r w:rsidR="00A03254">
        <w:rPr>
          <w:rStyle w:val="Emphasis"/>
        </w:rPr>
        <w:t>eologiczna</w:t>
      </w:r>
      <w:r w:rsidR="00E474CD">
        <w:t xml:space="preserve"> sprawiło, że prace egzegetyczne Akwinaty zeszły na dalszy plan. Tomasz stał się wzorem dla filozofów, dogmatyków i moralistów, lecz nie dla egzegetów.</w:t>
      </w:r>
    </w:p>
    <w:p w14:paraId="4F842DA4" w14:textId="77777777" w:rsidR="00A22468" w:rsidRDefault="006B25B4" w:rsidP="00A03254">
      <w:pPr>
        <w:pStyle w:val="NormalWeb"/>
        <w:spacing w:before="0" w:beforeAutospacing="0" w:after="0" w:afterAutospacing="0"/>
        <w:ind w:firstLine="708"/>
        <w:jc w:val="both"/>
      </w:pPr>
      <w:r>
        <w:t>Przy tym traktował swoje zadanie egzegety bardzo poważnie. Jego komentarze do Ewangelii Mateusza i Jana, listów Pawła, psalmów, a przede wszystkim do Księgi Hioba, są dziełami mistrzowskimi. Aby zrozumieć rolę Pisma Świętego w myśli i dziele św. Tomasza, nie wystarczy jedynie spojrzeć na jego komentarze – już samo jego pojmowanie teologii przyznaje Pismu Świętemu kluczową rolę. Rozróżnienie na teologię systematyczną i biblijną było dla Tomasza jedynie kwestią metody, a nie treści. Konsekwentnie pojmował teologię od strony Objawienia, traktując wiedzę religijną i wgląd teologiczny jako uczestnictwo w Bożej wiedzy. Objawienie wymaga przekazu i musi być zrozumiałe w zależności od zdolności pojmowania słuchaczy.</w:t>
      </w:r>
      <w:r w:rsidR="00DE44A4">
        <w:t xml:space="preserve"> Preferowaną przez Tomasza nazwą teologii była zatem „święta nauka” (sacra doctrina). Termin </w:t>
      </w:r>
      <w:r w:rsidR="00DE44A4">
        <w:rPr>
          <w:rStyle w:val="Emphasis"/>
        </w:rPr>
        <w:t>doctrina</w:t>
      </w:r>
      <w:r w:rsidR="00DE44A4">
        <w:t xml:space="preserve"> oznacza jednak zarówno treść nauki, jak i proces nauczania. Teologowie i egzegeci mają równy obowiązek wyjaśniać Objawienie zapisane w Piśmie, czynić je zrozumiałym, tak aby w słuchaczach wzbudzało wnikliwość (</w:t>
      </w:r>
      <w:r w:rsidR="00DE44A4">
        <w:rPr>
          <w:rStyle w:val="Emphasis"/>
        </w:rPr>
        <w:t>intellectus</w:t>
      </w:r>
      <w:r w:rsidR="00DE44A4">
        <w:t>) i mogło objawić się jako prawda (</w:t>
      </w:r>
      <w:r w:rsidR="00DE44A4">
        <w:rPr>
          <w:rStyle w:val="Emphasis"/>
        </w:rPr>
        <w:t>manifestatio veritatis</w:t>
      </w:r>
      <w:r w:rsidR="00DE44A4">
        <w:t>)</w:t>
      </w:r>
      <w:r w:rsidR="00DE44A4">
        <w:rPr>
          <w:rStyle w:val="FootnoteReference"/>
        </w:rPr>
        <w:footnoteReference w:id="2"/>
      </w:r>
      <w:r w:rsidR="00DE44A4">
        <w:t>.</w:t>
      </w:r>
    </w:p>
    <w:p w14:paraId="1CD7D09C" w14:textId="77777777" w:rsidR="00A22468" w:rsidRDefault="00A22468" w:rsidP="00A03254">
      <w:pPr>
        <w:pStyle w:val="NormalWeb"/>
        <w:spacing w:before="0" w:beforeAutospacing="0" w:after="0" w:afterAutospacing="0"/>
        <w:ind w:firstLine="708"/>
        <w:jc w:val="both"/>
      </w:pPr>
      <w:r>
        <w:t xml:space="preserve">W swoim inauguracyjnym wykładzie na Uniwersytecie Paryskim w 1256 roku, zatytułowanym </w:t>
      </w:r>
      <w:r>
        <w:rPr>
          <w:rStyle w:val="Emphasis"/>
        </w:rPr>
        <w:t>Principium «Rigans montes»</w:t>
      </w:r>
      <w:r>
        <w:t xml:space="preserve">, Tomasz przedstawił ten model Objawienia oraz rolę teologii w jego ramach. Wybrał do tego werset: „Ty podlewasz góry ze swoich komór” (Ps 104,13). Obraz ten rozwinął poprzez wyobrażenie, że góry podlewane z góry przekazują wodę do niższych regionów. Ta woda symbolizuje komunikującą się mądrość Bożą, która najpierw dociera do Apostołów i autorów biblijnych, następnie przepływa do Ojców Kościoła i teologów, którzy z kolei przekazują ją wiernym. Choć wygląda to jak platonistycznie inspirowany model emanacji, w rzeczywistości ukazuje związek między Objawieniem, interpretacją Pisma, teologią, wglądem w wiarę a jej wzrostem. Mądrość Boża nie objawia się bez udziału teologów i nauczycieli. Muszą oni sprostać temu zadaniu intelektualnie, duchowo i moralnie. W modelu gór, z których spływa mądrość, egzegeci wszystkich czasów są przedstawieni jako działający na rzecz tej samej sprawy. Egzegeci, nauczyciele i kaznodzieje stają się aktywną częścią procesu Objawienia – </w:t>
      </w:r>
      <w:r>
        <w:rPr>
          <w:rStyle w:val="Emphasis"/>
        </w:rPr>
        <w:t>sacra doctrina</w:t>
      </w:r>
      <w:r>
        <w:t>, która obejmuje zarówno treść, jak i przebieg mądrego samoujawniania się Boga</w:t>
      </w:r>
      <w:r>
        <w:rPr>
          <w:rStyle w:val="FootnoteReference"/>
        </w:rPr>
        <w:footnoteReference w:id="3"/>
      </w:r>
      <w:r>
        <w:t>.</w:t>
      </w:r>
    </w:p>
    <w:p w14:paraId="1E6AB6F5" w14:textId="77777777" w:rsidR="00D608DA" w:rsidRDefault="007032FE" w:rsidP="00A03254">
      <w:pPr>
        <w:spacing w:after="0" w:line="240" w:lineRule="auto"/>
        <w:ind w:firstLine="708"/>
        <w:jc w:val="both"/>
        <w:rPr>
          <w:rFonts w:ascii="Times New Roman" w:hAnsi="Times New Roman" w:cs="Times New Roman"/>
          <w:sz w:val="24"/>
          <w:szCs w:val="24"/>
        </w:rPr>
      </w:pPr>
      <w:r w:rsidRPr="007032FE">
        <w:rPr>
          <w:rFonts w:ascii="Times New Roman" w:hAnsi="Times New Roman" w:cs="Times New Roman"/>
          <w:sz w:val="24"/>
          <w:szCs w:val="24"/>
        </w:rPr>
        <w:t xml:space="preserve">Z tego wynika związek między teologią systematyczną a interpretacją Pisma, który Tomasz ukazuje w pierwszej </w:t>
      </w:r>
      <w:r w:rsidRPr="007032FE">
        <w:rPr>
          <w:rStyle w:val="Emphasis"/>
          <w:rFonts w:ascii="Times New Roman" w:hAnsi="Times New Roman" w:cs="Times New Roman"/>
          <w:sz w:val="24"/>
          <w:szCs w:val="24"/>
        </w:rPr>
        <w:t>Quaestio</w:t>
      </w:r>
      <w:r w:rsidRPr="007032FE">
        <w:rPr>
          <w:rFonts w:ascii="Times New Roman" w:hAnsi="Times New Roman" w:cs="Times New Roman"/>
          <w:sz w:val="24"/>
          <w:szCs w:val="24"/>
        </w:rPr>
        <w:t xml:space="preserve"> </w:t>
      </w:r>
      <w:r w:rsidRPr="007032FE">
        <w:rPr>
          <w:rStyle w:val="Emphasis"/>
          <w:rFonts w:ascii="Times New Roman" w:hAnsi="Times New Roman" w:cs="Times New Roman"/>
          <w:sz w:val="24"/>
          <w:szCs w:val="24"/>
        </w:rPr>
        <w:t>Summae Theologiae</w:t>
      </w:r>
      <w:r w:rsidRPr="007032FE">
        <w:rPr>
          <w:rFonts w:ascii="Times New Roman" w:hAnsi="Times New Roman" w:cs="Times New Roman"/>
          <w:sz w:val="24"/>
          <w:szCs w:val="24"/>
        </w:rPr>
        <w:t xml:space="preserve">, gdzie opisuje istotę </w:t>
      </w:r>
      <w:r w:rsidRPr="007032FE">
        <w:rPr>
          <w:rStyle w:val="Emphasis"/>
          <w:rFonts w:ascii="Times New Roman" w:hAnsi="Times New Roman" w:cs="Times New Roman"/>
          <w:sz w:val="24"/>
          <w:szCs w:val="24"/>
        </w:rPr>
        <w:t>sacra doctrina</w:t>
      </w:r>
      <w:r w:rsidRPr="007032FE">
        <w:rPr>
          <w:rFonts w:ascii="Times New Roman" w:hAnsi="Times New Roman" w:cs="Times New Roman"/>
          <w:sz w:val="24"/>
          <w:szCs w:val="24"/>
        </w:rPr>
        <w:t xml:space="preserve">. Po tym, jak teologia została wcześniej zdefiniowana jako mądrość, czyli nauka o Objawieniu, jako uczestnictwo w wiedzy Bożej, </w:t>
      </w:r>
      <w:r w:rsidRPr="007032FE">
        <w:rPr>
          <w:rStyle w:val="Emphasis"/>
          <w:rFonts w:ascii="Times New Roman" w:hAnsi="Times New Roman" w:cs="Times New Roman"/>
          <w:sz w:val="24"/>
          <w:szCs w:val="24"/>
        </w:rPr>
        <w:t>Quaestio</w:t>
      </w:r>
      <w:r w:rsidRPr="007032FE">
        <w:rPr>
          <w:rFonts w:ascii="Times New Roman" w:hAnsi="Times New Roman" w:cs="Times New Roman"/>
          <w:sz w:val="24"/>
          <w:szCs w:val="24"/>
        </w:rPr>
        <w:t xml:space="preserve"> w dwóch ostatnich artykułach zwraca się ku zagadnieniom interpretacji Pisma. Szczególna troska dotyczy przede wszystkim językowej formy Pisma Świętego, która wydaje się wymykać wymogom naukowego języka. W dużej mierze brakuje mu jasności języka logicznego, dominuje natomiast obrazowy, przenośny język narracji, proroctw, hymnów, modlitw i przypowieści. Z metafor i alegorii nie da się jednak wyprowadzić przekonujących argumentów teologicznych.</w:t>
      </w:r>
    </w:p>
    <w:p w14:paraId="7EF99703" w14:textId="77777777" w:rsidR="003142AB" w:rsidRDefault="003142AB" w:rsidP="00A03254">
      <w:pPr>
        <w:spacing w:after="0" w:line="240" w:lineRule="auto"/>
        <w:ind w:firstLine="708"/>
        <w:jc w:val="both"/>
        <w:rPr>
          <w:rFonts w:ascii="Times New Roman" w:hAnsi="Times New Roman" w:cs="Times New Roman"/>
          <w:sz w:val="24"/>
          <w:szCs w:val="24"/>
        </w:rPr>
      </w:pPr>
      <w:r w:rsidRPr="003142AB">
        <w:rPr>
          <w:rFonts w:ascii="Times New Roman" w:hAnsi="Times New Roman" w:cs="Times New Roman"/>
          <w:sz w:val="24"/>
          <w:szCs w:val="24"/>
        </w:rPr>
        <w:t xml:space="preserve">Tutaj zaczyna się zadanie egzegety. Musi on dysponować dużą wrażliwością na język, znać specyfikę tekstów biblijnych, ich repertuar obrazów oraz </w:t>
      </w:r>
      <w:r w:rsidRPr="003142AB">
        <w:rPr>
          <w:rStyle w:val="Emphasis"/>
          <w:rFonts w:ascii="Times New Roman" w:hAnsi="Times New Roman" w:cs="Times New Roman"/>
          <w:sz w:val="24"/>
          <w:szCs w:val="24"/>
        </w:rPr>
        <w:t>modus</w:t>
      </w:r>
      <w:r w:rsidRPr="003142AB">
        <w:rPr>
          <w:rFonts w:ascii="Times New Roman" w:hAnsi="Times New Roman" w:cs="Times New Roman"/>
          <w:sz w:val="24"/>
          <w:szCs w:val="24"/>
        </w:rPr>
        <w:t xml:space="preserve"> wyrazu. Taka otwartość na poziom językowy nie powinna być mylona z zapowiedzią historyczno-krytycznej metody. </w:t>
      </w:r>
      <w:r w:rsidRPr="003142AB">
        <w:rPr>
          <w:rFonts w:ascii="Times New Roman" w:hAnsi="Times New Roman" w:cs="Times New Roman"/>
          <w:sz w:val="24"/>
          <w:szCs w:val="24"/>
        </w:rPr>
        <w:lastRenderedPageBreak/>
        <w:t>Tomasz pozostaje w kwestii swoich wymagań filologicznych dzieckiem swojej epoki. Nie władał językami biblijnymi i nie nalegał na ich studiowanie. Na jego komentarze Tomasz niemal wcale nie odnosił się do wyróżniających się w jego czasach krytycznych prac dominikanów w Paryżu wokół Hugona z Saint-Cher, którzy zespołowo gromadzili rękopisy biblijne i dokumentowali warianty tekstowe. Jego zaplecze historyczno-filologiczne opierało się na wówczas powszechnie znanych obserwacjach św. Hieronima oraz standardowych dziełach egzegetycznych XII wieku.</w:t>
      </w:r>
    </w:p>
    <w:p w14:paraId="48234F44" w14:textId="77777777" w:rsidR="000B5840" w:rsidRDefault="005F2DCC" w:rsidP="00A03254">
      <w:pPr>
        <w:spacing w:after="0" w:line="240" w:lineRule="auto"/>
        <w:ind w:firstLine="708"/>
        <w:jc w:val="both"/>
        <w:rPr>
          <w:rStyle w:val="Strong"/>
          <w:rFonts w:ascii="Times New Roman" w:hAnsi="Times New Roman" w:cs="Times New Roman"/>
          <w:b w:val="0"/>
          <w:sz w:val="24"/>
          <w:szCs w:val="24"/>
        </w:rPr>
      </w:pPr>
      <w:r w:rsidRPr="005F2DCC">
        <w:rPr>
          <w:rFonts w:ascii="Times New Roman" w:hAnsi="Times New Roman" w:cs="Times New Roman"/>
          <w:sz w:val="24"/>
          <w:szCs w:val="24"/>
        </w:rPr>
        <w:t>Natomiast szczególność języka obrazowego i metaforycznego Tomasz poruszał w swoich komentarzach biblijnych wielokrotnie, wyjaśniając także jego funkcję dla teologii w ogóle. Nieokreśloność metafory, która wydaje się być przeszkodą dla jasnej teologii i apologetyki, w kontekście Bożego słowa okazuje się być raczej możliwością i zyskiem. Tomasz, powołując się na Dionizego Areopagitę, przypomina, że to, co widzialne, nadaje się do wskazywania tego, co niewidzialne (</w:t>
      </w:r>
      <w:r w:rsidRPr="005F2DCC">
        <w:rPr>
          <w:rStyle w:val="Emphasis"/>
          <w:rFonts w:ascii="Times New Roman" w:hAnsi="Times New Roman" w:cs="Times New Roman"/>
          <w:sz w:val="24"/>
          <w:szCs w:val="24"/>
        </w:rPr>
        <w:t>visibilia sunt figurae invisibilium</w:t>
      </w:r>
      <w:r w:rsidRPr="005F2DCC">
        <w:rPr>
          <w:rFonts w:ascii="Times New Roman" w:hAnsi="Times New Roman" w:cs="Times New Roman"/>
          <w:sz w:val="24"/>
          <w:szCs w:val="24"/>
        </w:rPr>
        <w:t>). Metafory umożliwiają przejście do rzeczywistości transcendentnej właśnie dlatego, że rezygnują z definicyjnej jasności. Co więcej: im bardziej prostota obrazu oddala się od zamierzonej rzeczywistości, np. od Boga, tym intensywniej i produktywniej skłania umysł do pozostawienia samej treści obrazu i do dostrzeżenia niewidzialnego wymiaru porównania</w:t>
      </w:r>
      <w:r w:rsidR="00B56151">
        <w:rPr>
          <w:rStyle w:val="FootnoteReference"/>
          <w:rFonts w:ascii="Times New Roman" w:hAnsi="Times New Roman" w:cs="Times New Roman"/>
          <w:sz w:val="24"/>
          <w:szCs w:val="24"/>
        </w:rPr>
        <w:footnoteReference w:id="4"/>
      </w:r>
      <w:r>
        <w:t>.</w:t>
      </w:r>
      <w:r w:rsidR="00DD761D">
        <w:t xml:space="preserve"> </w:t>
      </w:r>
      <w:r w:rsidR="00DD761D" w:rsidRPr="00DD761D">
        <w:rPr>
          <w:rStyle w:val="Strong"/>
          <w:rFonts w:ascii="Times New Roman" w:hAnsi="Times New Roman" w:cs="Times New Roman"/>
          <w:b w:val="0"/>
          <w:sz w:val="24"/>
          <w:szCs w:val="24"/>
        </w:rPr>
        <w:t>Obrazy i metafory są więc w Piśmie Świętym zarówno konieczne, jak i pożyteczne.</w:t>
      </w:r>
      <w:r w:rsidR="00DD761D" w:rsidRPr="00DD761D">
        <w:rPr>
          <w:rFonts w:ascii="Times New Roman" w:hAnsi="Times New Roman" w:cs="Times New Roman"/>
          <w:bCs/>
          <w:sz w:val="24"/>
          <w:szCs w:val="24"/>
        </w:rPr>
        <w:br/>
      </w:r>
      <w:r w:rsidR="00DD761D" w:rsidRPr="00DD761D">
        <w:rPr>
          <w:rStyle w:val="Strong"/>
          <w:rFonts w:ascii="Times New Roman" w:hAnsi="Times New Roman" w:cs="Times New Roman"/>
          <w:b w:val="0"/>
          <w:sz w:val="24"/>
          <w:szCs w:val="24"/>
        </w:rPr>
        <w:t>Konieczne — ponieważ ludzkie poznanie zasadniczo potrzebuje obrazów i znaków,</w:t>
      </w:r>
      <w:r w:rsidR="00DD761D" w:rsidRPr="00DD761D">
        <w:rPr>
          <w:rFonts w:ascii="Times New Roman" w:hAnsi="Times New Roman" w:cs="Times New Roman"/>
          <w:bCs/>
          <w:sz w:val="24"/>
          <w:szCs w:val="24"/>
        </w:rPr>
        <w:br/>
      </w:r>
      <w:r w:rsidR="00DD761D" w:rsidRPr="00DD761D">
        <w:rPr>
          <w:rStyle w:val="Strong"/>
          <w:rFonts w:ascii="Times New Roman" w:hAnsi="Times New Roman" w:cs="Times New Roman"/>
          <w:b w:val="0"/>
          <w:sz w:val="24"/>
          <w:szCs w:val="24"/>
        </w:rPr>
        <w:t>a pożyteczne — ponieważ potrafią one uwydatnić aspekty Bożego działania w sposób bardziej treściwy, niż byłaby</w:t>
      </w:r>
      <w:r w:rsidR="00DD761D">
        <w:rPr>
          <w:rStyle w:val="Strong"/>
          <w:rFonts w:ascii="Times New Roman" w:hAnsi="Times New Roman" w:cs="Times New Roman"/>
          <w:b w:val="0"/>
          <w:sz w:val="24"/>
          <w:szCs w:val="24"/>
        </w:rPr>
        <w:t xml:space="preserve"> to</w:t>
      </w:r>
      <w:r w:rsidR="00DD761D" w:rsidRPr="00DD761D">
        <w:rPr>
          <w:rStyle w:val="Strong"/>
          <w:rFonts w:ascii="Times New Roman" w:hAnsi="Times New Roman" w:cs="Times New Roman"/>
          <w:b w:val="0"/>
          <w:sz w:val="24"/>
          <w:szCs w:val="24"/>
        </w:rPr>
        <w:t xml:space="preserve"> w stanie uczynić jakakolwiek pozytywna definicja filozoficzna.</w:t>
      </w:r>
      <w:r w:rsidR="00885E0B">
        <w:rPr>
          <w:rStyle w:val="Strong"/>
          <w:rFonts w:ascii="Times New Roman" w:hAnsi="Times New Roman" w:cs="Times New Roman"/>
          <w:b w:val="0"/>
          <w:sz w:val="24"/>
          <w:szCs w:val="24"/>
        </w:rPr>
        <w:t xml:space="preserve"> </w:t>
      </w:r>
      <w:r w:rsidR="00885E0B" w:rsidRPr="00885E0B">
        <w:rPr>
          <w:rStyle w:val="Strong"/>
          <w:rFonts w:ascii="Times New Roman" w:hAnsi="Times New Roman" w:cs="Times New Roman"/>
          <w:b w:val="0"/>
          <w:sz w:val="24"/>
          <w:szCs w:val="24"/>
        </w:rPr>
        <w:t>Metafora jest jedynie przykładem języka nie w pełni dosłownego, który wydaje się stać w sprzeczności z teologiczną nauką. Kolejną trudnością jest wielorakie znaczenie Pisma, o którym Tomasz wiedział za pośrednictwem Ojców Kościoła i średniowiecznych egzegetów. Szczyt osiągnęła alegoryczna interpretacja Pisma, często utożsamiana z egzegezą średniowieczną jako taką, w XII wieku. Teologowie tacy jak Bernard z Clairvaux, Rupert z Deutz, Hildegarda z Bingen i wielu innych pojmowali Pismo Święte jako tajemniczy, wzajemnie ze sobą spleciony system znaków i znaczeń, ponieważ Nowe Przymierze było już w Starym Przymierzu zapowiedziane w sposób symboliczny. Symboliczne podobieństwa, intertekstualne odniesienia i pokrewne pola semantyczne zachęcały do odkrywania wzajemnych powiązań znaczeniowych w Biblii bądź do ich tworzenia za pomocą interpretacji alegorycznej. Ojcowie rozwijali w egzegezie to, co zostało ugruntowane w tekstach Starego Testamentu, a także u Apostoła Pawła w kategoriach obietnicy i wypełnienia</w:t>
      </w:r>
      <w:r w:rsidR="00885E0B">
        <w:rPr>
          <w:rStyle w:val="FootnoteReference"/>
          <w:rFonts w:ascii="Times New Roman" w:hAnsi="Times New Roman" w:cs="Times New Roman"/>
          <w:bCs/>
          <w:sz w:val="24"/>
          <w:szCs w:val="24"/>
        </w:rPr>
        <w:footnoteReference w:id="5"/>
      </w:r>
      <w:r w:rsidR="00885E0B" w:rsidRPr="00885E0B">
        <w:rPr>
          <w:rStyle w:val="Strong"/>
          <w:rFonts w:ascii="Times New Roman" w:hAnsi="Times New Roman" w:cs="Times New Roman"/>
          <w:b w:val="0"/>
          <w:sz w:val="24"/>
          <w:szCs w:val="24"/>
        </w:rPr>
        <w:t>.</w:t>
      </w:r>
      <w:r w:rsidR="005651F6">
        <w:rPr>
          <w:rStyle w:val="Strong"/>
          <w:rFonts w:ascii="Times New Roman" w:hAnsi="Times New Roman" w:cs="Times New Roman"/>
          <w:b w:val="0"/>
          <w:sz w:val="24"/>
          <w:szCs w:val="24"/>
        </w:rPr>
        <w:t xml:space="preserve"> </w:t>
      </w:r>
      <w:r w:rsidR="005651F6" w:rsidRPr="005651F6">
        <w:rPr>
          <w:rStyle w:val="Strong"/>
          <w:rFonts w:ascii="Times New Roman" w:hAnsi="Times New Roman" w:cs="Times New Roman"/>
          <w:b w:val="0"/>
          <w:sz w:val="24"/>
          <w:szCs w:val="24"/>
        </w:rPr>
        <w:t>Od tej egzegezy opartej na historii zbawienia zaczęto się od końca XII wieku stopniowo dystansować. Zamiast niej coraz bardziej wysuwano na pierwszy plan sens dosłowny, czyli historyczny (</w:t>
      </w:r>
      <w:r w:rsidR="005651F6" w:rsidRPr="005651F6">
        <w:rPr>
          <w:rStyle w:val="Emphasis"/>
          <w:rFonts w:ascii="Times New Roman" w:hAnsi="Times New Roman" w:cs="Times New Roman"/>
          <w:bCs/>
          <w:sz w:val="24"/>
          <w:szCs w:val="24"/>
        </w:rPr>
        <w:t>sensus litteralis</w:t>
      </w:r>
      <w:r w:rsidR="005651F6" w:rsidRPr="005651F6">
        <w:rPr>
          <w:rStyle w:val="Strong"/>
          <w:rFonts w:ascii="Times New Roman" w:hAnsi="Times New Roman" w:cs="Times New Roman"/>
          <w:b w:val="0"/>
          <w:sz w:val="24"/>
          <w:szCs w:val="24"/>
        </w:rPr>
        <w:t>), który lepiej odpowiadał pastoralnej działalności o charakterze etycznym niż pierwotnie kontemplacyjny kontekst teologii monastycznej. Tomasz z Akwinu zastał już tę nową egzegezę szkół paryskich, podjętą przez młode zakony żebracze. Jego preferencję dla sensu dosłownego często interpretowano jako krytykę duchowej interpretacji Pisma, jednak niesłusznie</w:t>
      </w:r>
      <w:r w:rsidR="005651F6">
        <w:rPr>
          <w:rStyle w:val="FootnoteReference"/>
          <w:rFonts w:ascii="Times New Roman" w:hAnsi="Times New Roman" w:cs="Times New Roman"/>
          <w:bCs/>
          <w:sz w:val="24"/>
          <w:szCs w:val="24"/>
        </w:rPr>
        <w:footnoteReference w:id="6"/>
      </w:r>
      <w:r w:rsidR="005651F6" w:rsidRPr="005651F6">
        <w:rPr>
          <w:rStyle w:val="Strong"/>
          <w:rFonts w:ascii="Times New Roman" w:hAnsi="Times New Roman" w:cs="Times New Roman"/>
          <w:b w:val="0"/>
          <w:sz w:val="24"/>
          <w:szCs w:val="24"/>
        </w:rPr>
        <w:t>.</w:t>
      </w:r>
      <w:r w:rsidR="001A536B">
        <w:rPr>
          <w:rStyle w:val="Strong"/>
          <w:rFonts w:ascii="Times New Roman" w:hAnsi="Times New Roman" w:cs="Times New Roman"/>
          <w:b w:val="0"/>
          <w:sz w:val="24"/>
          <w:szCs w:val="24"/>
        </w:rPr>
        <w:t xml:space="preserve"> </w:t>
      </w:r>
      <w:r w:rsidR="001A536B" w:rsidRPr="001A536B">
        <w:rPr>
          <w:rStyle w:val="Strong"/>
          <w:rFonts w:ascii="Times New Roman" w:hAnsi="Times New Roman" w:cs="Times New Roman"/>
          <w:b w:val="0"/>
          <w:sz w:val="24"/>
          <w:szCs w:val="24"/>
        </w:rPr>
        <w:t xml:space="preserve">Tomasz nigdzie nie wypowiadał się lekceważąco o duchowych </w:t>
      </w:r>
      <w:r w:rsidR="001A536B" w:rsidRPr="001A536B">
        <w:rPr>
          <w:rStyle w:val="Strong"/>
          <w:rFonts w:ascii="Times New Roman" w:hAnsi="Times New Roman" w:cs="Times New Roman"/>
          <w:b w:val="0"/>
          <w:sz w:val="24"/>
          <w:szCs w:val="24"/>
        </w:rPr>
        <w:lastRenderedPageBreak/>
        <w:t xml:space="preserve">sensach Pisma. Akceptował ten sposób interpretacji jako uprawnione podejście, ponieważ — jako dziedzictwo teologii patrystycznej — miał on charakter fundamentalny. W ostatnim artykule pierwszej kwestii </w:t>
      </w:r>
      <w:r w:rsidR="00A03254" w:rsidRPr="00A03254">
        <w:rPr>
          <w:rStyle w:val="Emphasis"/>
          <w:rFonts w:ascii="Times New Roman" w:hAnsi="Times New Roman" w:cs="Times New Roman"/>
          <w:sz w:val="24"/>
          <w:szCs w:val="24"/>
        </w:rPr>
        <w:t>Sumy teologicznej</w:t>
      </w:r>
      <w:r w:rsidR="001A536B" w:rsidRPr="00A03254">
        <w:rPr>
          <w:rStyle w:val="Strong"/>
          <w:rFonts w:ascii="Times New Roman" w:hAnsi="Times New Roman" w:cs="Times New Roman"/>
          <w:b w:val="0"/>
          <w:sz w:val="24"/>
          <w:szCs w:val="24"/>
        </w:rPr>
        <w:t>,</w:t>
      </w:r>
      <w:r w:rsidR="001A536B" w:rsidRPr="001A536B">
        <w:rPr>
          <w:rStyle w:val="Strong"/>
          <w:rFonts w:ascii="Times New Roman" w:hAnsi="Times New Roman" w:cs="Times New Roman"/>
          <w:b w:val="0"/>
          <w:sz w:val="24"/>
          <w:szCs w:val="24"/>
        </w:rPr>
        <w:t xml:space="preserve"> a więc na końcu wykładu o nauce teologicznej, usprawiedliwił duchowy sens Pisma krótkim wyjaśnieniem. Podkreślił jednak, że nie wolno go stosować w teologii dyskursywnej ani apologetycznej</w:t>
      </w:r>
      <w:r w:rsidR="001A536B">
        <w:rPr>
          <w:rStyle w:val="FootnoteReference"/>
          <w:rFonts w:ascii="Times New Roman" w:hAnsi="Times New Roman" w:cs="Times New Roman"/>
          <w:bCs/>
          <w:sz w:val="24"/>
          <w:szCs w:val="24"/>
        </w:rPr>
        <w:footnoteReference w:id="7"/>
      </w:r>
      <w:r w:rsidR="001A536B" w:rsidRPr="001A536B">
        <w:rPr>
          <w:rStyle w:val="Strong"/>
          <w:rFonts w:ascii="Times New Roman" w:hAnsi="Times New Roman" w:cs="Times New Roman"/>
          <w:b w:val="0"/>
          <w:sz w:val="24"/>
          <w:szCs w:val="24"/>
        </w:rPr>
        <w:t>.</w:t>
      </w:r>
    </w:p>
    <w:p w14:paraId="0DA4C33D" w14:textId="77777777" w:rsidR="00727989" w:rsidRDefault="000B5840" w:rsidP="00A03254">
      <w:pPr>
        <w:spacing w:after="0" w:line="240" w:lineRule="auto"/>
        <w:ind w:firstLine="708"/>
        <w:jc w:val="both"/>
      </w:pPr>
      <w:r w:rsidRPr="000B5840">
        <w:rPr>
          <w:rFonts w:ascii="Times New Roman" w:hAnsi="Times New Roman" w:cs="Times New Roman"/>
          <w:sz w:val="24"/>
          <w:szCs w:val="24"/>
        </w:rPr>
        <w:t xml:space="preserve">Bardziej szczegółowe omówienie duchowych sensów Pisma znajduje się jednak nie w </w:t>
      </w:r>
      <w:r w:rsidR="00A03254">
        <w:rPr>
          <w:rStyle w:val="Emphasis"/>
          <w:rFonts w:ascii="Times New Roman" w:hAnsi="Times New Roman" w:cs="Times New Roman"/>
          <w:sz w:val="24"/>
          <w:szCs w:val="24"/>
        </w:rPr>
        <w:t>Sumie teologicznej</w:t>
      </w:r>
      <w:r w:rsidRPr="000B5840">
        <w:rPr>
          <w:rFonts w:ascii="Times New Roman" w:hAnsi="Times New Roman" w:cs="Times New Roman"/>
          <w:sz w:val="24"/>
          <w:szCs w:val="24"/>
        </w:rPr>
        <w:t xml:space="preserve">, lecz w jednym z </w:t>
      </w:r>
      <w:r w:rsidRPr="000B5840">
        <w:rPr>
          <w:rStyle w:val="Emphasis"/>
          <w:rFonts w:ascii="Times New Roman" w:hAnsi="Times New Roman" w:cs="Times New Roman"/>
          <w:sz w:val="24"/>
          <w:szCs w:val="24"/>
        </w:rPr>
        <w:t>Quodlibetów</w:t>
      </w:r>
      <w:r w:rsidRPr="000B5840">
        <w:rPr>
          <w:rFonts w:ascii="Times New Roman" w:hAnsi="Times New Roman" w:cs="Times New Roman"/>
          <w:sz w:val="24"/>
          <w:szCs w:val="24"/>
        </w:rPr>
        <w:t xml:space="preserve">, który stanowi podstawę zwięźlejszego ujęcia w </w:t>
      </w:r>
      <w:r w:rsidR="00A03254" w:rsidRPr="00A03254">
        <w:rPr>
          <w:rFonts w:ascii="Times New Roman" w:hAnsi="Times New Roman" w:cs="Times New Roman"/>
          <w:i/>
          <w:iCs/>
          <w:sz w:val="24"/>
          <w:szCs w:val="24"/>
        </w:rPr>
        <w:t>Sumie teologicznej</w:t>
      </w:r>
      <w:r w:rsidR="001B1CF7" w:rsidRPr="00A03254">
        <w:rPr>
          <w:rStyle w:val="FootnoteReference"/>
          <w:rFonts w:ascii="Times New Roman" w:hAnsi="Times New Roman" w:cs="Times New Roman"/>
          <w:sz w:val="24"/>
          <w:szCs w:val="24"/>
        </w:rPr>
        <w:footnoteReference w:id="8"/>
      </w:r>
      <w:r w:rsidRPr="00A03254">
        <w:rPr>
          <w:rFonts w:ascii="Times New Roman" w:hAnsi="Times New Roman" w:cs="Times New Roman"/>
          <w:sz w:val="24"/>
          <w:szCs w:val="24"/>
        </w:rPr>
        <w:t>.</w:t>
      </w:r>
      <w:r>
        <w:rPr>
          <w:rFonts w:ascii="Times New Roman" w:hAnsi="Times New Roman" w:cs="Times New Roman"/>
          <w:sz w:val="24"/>
          <w:szCs w:val="24"/>
        </w:rPr>
        <w:t xml:space="preserve"> Tomasz poświęcił </w:t>
      </w:r>
      <w:r w:rsidRPr="000B5840">
        <w:rPr>
          <w:rFonts w:ascii="Times New Roman" w:hAnsi="Times New Roman" w:cs="Times New Roman"/>
          <w:sz w:val="24"/>
          <w:szCs w:val="24"/>
        </w:rPr>
        <w:t xml:space="preserve">temu tematowi aż trzy artykuły. Najpierw omawia istnienie duchowych sensów Pisma i ich liczbę, następnie pyta, czy takie alternatywne sensy można znaleźć również w innych pismach poza Biblią. W centrum </w:t>
      </w:r>
      <w:r w:rsidRPr="000B5840">
        <w:rPr>
          <w:rStyle w:val="Emphasis"/>
          <w:rFonts w:ascii="Times New Roman" w:hAnsi="Times New Roman" w:cs="Times New Roman"/>
          <w:sz w:val="24"/>
          <w:szCs w:val="24"/>
        </w:rPr>
        <w:t>Quodlibetum</w:t>
      </w:r>
      <w:r w:rsidRPr="000B5840">
        <w:rPr>
          <w:rFonts w:ascii="Times New Roman" w:hAnsi="Times New Roman" w:cs="Times New Roman"/>
          <w:sz w:val="24"/>
          <w:szCs w:val="24"/>
        </w:rPr>
        <w:t xml:space="preserve"> stoi rozróżnie</w:t>
      </w:r>
      <w:r>
        <w:rPr>
          <w:rFonts w:ascii="Times New Roman" w:hAnsi="Times New Roman" w:cs="Times New Roman"/>
          <w:sz w:val="24"/>
          <w:szCs w:val="24"/>
        </w:rPr>
        <w:t>nie trzech duchowych sensów (al</w:t>
      </w:r>
      <w:r w:rsidRPr="000B5840">
        <w:rPr>
          <w:rFonts w:ascii="Times New Roman" w:hAnsi="Times New Roman" w:cs="Times New Roman"/>
          <w:sz w:val="24"/>
          <w:szCs w:val="24"/>
        </w:rPr>
        <w:t>egorycznego, moralnego i anagogicznego) oraz ich właściwych zakresów. Zwięzła definicja, którą odróżnia sens dosłowny od duchowego, wskazuje na medium poznania, czyli jego «język». W sensie dosłownym medium ujawniającym prawdę tekstu jest słowo lub słowa. W sensie duchowym natomiast medium poznania stanowi «figura». Figury (które wcześniej same zostały opisane słowami jako konkretne rzeczywistości) mogą stać się znakiem dla innych rzeczywistości. Rozróżnienia tego nie wolno zatem rozumieć w taki sposób, że każdy dowolny symbol w Piśmie Świętym można uznać za element sensu duchowego. Jeśli w Starym Testamencie istnieją jednoznaczne symbole odnoszące się do Chrystusa — jak kamień w Księdze Daniela, który stacza się z góry i kruszy wszystkie królestwa — to symbol ten, jako część wypowiedzi prorockiej, należy do obszaru sensu dosłownego. Kamień staczający się z góry może literacko rzecz biorąc być alegorią, lecz w perspektywie historii zbawienia czy hermeneutyki biblijnej pozostaje on w obszarze sensu dosłownego, ponieważ ludzki autor tekstu, Daniel, świadomie odnosił ten obraz do Mesjasza</w:t>
      </w:r>
      <w:r>
        <w:t>.</w:t>
      </w:r>
    </w:p>
    <w:p w14:paraId="04E2C558" w14:textId="77777777" w:rsidR="001C284F" w:rsidRDefault="00727989" w:rsidP="00A03254">
      <w:pPr>
        <w:spacing w:after="0" w:line="240" w:lineRule="auto"/>
        <w:ind w:firstLine="708"/>
        <w:jc w:val="both"/>
        <w:rPr>
          <w:rStyle w:val="Strong"/>
        </w:rPr>
      </w:pPr>
      <w:r w:rsidRPr="00727989">
        <w:rPr>
          <w:rStyle w:val="Strong"/>
          <w:rFonts w:ascii="Times New Roman" w:hAnsi="Times New Roman" w:cs="Times New Roman"/>
          <w:b w:val="0"/>
          <w:sz w:val="24"/>
          <w:szCs w:val="24"/>
        </w:rPr>
        <w:t>Tomasz uznaje więc, że teksty biblijne posługują się bogatym językiem obrazowym. Ten język obrazów (</w:t>
      </w:r>
      <w:r w:rsidRPr="00BC71C0">
        <w:rPr>
          <w:rStyle w:val="Emphasis"/>
          <w:rFonts w:ascii="Times New Roman" w:hAnsi="Times New Roman" w:cs="Times New Roman"/>
          <w:bCs/>
          <w:sz w:val="24"/>
          <w:szCs w:val="24"/>
        </w:rPr>
        <w:t>imaginariae similitudines</w:t>
      </w:r>
      <w:r w:rsidRPr="00BC71C0">
        <w:rPr>
          <w:rStyle w:val="Strong"/>
          <w:rFonts w:ascii="Times New Roman" w:hAnsi="Times New Roman" w:cs="Times New Roman"/>
          <w:b w:val="0"/>
          <w:sz w:val="24"/>
          <w:szCs w:val="24"/>
        </w:rPr>
        <w:t>)</w:t>
      </w:r>
      <w:r w:rsidRPr="00727989">
        <w:rPr>
          <w:rStyle w:val="Strong"/>
          <w:rFonts w:ascii="Times New Roman" w:hAnsi="Times New Roman" w:cs="Times New Roman"/>
          <w:b w:val="0"/>
          <w:sz w:val="24"/>
          <w:szCs w:val="24"/>
        </w:rPr>
        <w:t xml:space="preserve"> jest jednak środkiem stylistycznym i jako taki zawsze należy do sensu dosłownego. Duchowe sensy Pisma wchodzą w grę dopiero wtedy, gdy symbole nie są zamierzone przez ludzkiego autora, lecz gdy są typologicznymi figurami </w:t>
      </w:r>
      <w:r w:rsidRPr="00BC71C0">
        <w:rPr>
          <w:rStyle w:val="Strong"/>
          <w:rFonts w:ascii="Times New Roman" w:hAnsi="Times New Roman" w:cs="Times New Roman"/>
          <w:b w:val="0"/>
          <w:sz w:val="24"/>
          <w:szCs w:val="24"/>
        </w:rPr>
        <w:t>(</w:t>
      </w:r>
      <w:r w:rsidRPr="00BC71C0">
        <w:rPr>
          <w:rStyle w:val="Emphasis"/>
          <w:rFonts w:ascii="Times New Roman" w:hAnsi="Times New Roman" w:cs="Times New Roman"/>
          <w:bCs/>
          <w:sz w:val="24"/>
          <w:szCs w:val="24"/>
        </w:rPr>
        <w:t>figurae</w:t>
      </w:r>
      <w:r w:rsidRPr="00BC71C0">
        <w:rPr>
          <w:rStyle w:val="Strong"/>
          <w:rFonts w:ascii="Times New Roman" w:hAnsi="Times New Roman" w:cs="Times New Roman"/>
          <w:b w:val="0"/>
          <w:sz w:val="24"/>
          <w:szCs w:val="24"/>
        </w:rPr>
        <w:t>)</w:t>
      </w:r>
      <w:r w:rsidRPr="00727989">
        <w:rPr>
          <w:rStyle w:val="Strong"/>
          <w:rFonts w:ascii="Times New Roman" w:hAnsi="Times New Roman" w:cs="Times New Roman"/>
          <w:b w:val="0"/>
          <w:sz w:val="24"/>
          <w:szCs w:val="24"/>
        </w:rPr>
        <w:t>, a więc na przykład wydarzeniami historycznymi, które wskazują od obietnicy Starego Testamentu ku wypełnieniu w Nowym Testamencie</w:t>
      </w:r>
      <w:r>
        <w:rPr>
          <w:rStyle w:val="Strong"/>
        </w:rPr>
        <w:t>.</w:t>
      </w:r>
    </w:p>
    <w:p w14:paraId="0AB96DB4" w14:textId="77777777" w:rsidR="00F02BA7" w:rsidRDefault="001C284F" w:rsidP="00A03254">
      <w:pPr>
        <w:spacing w:after="0" w:line="240" w:lineRule="auto"/>
        <w:ind w:firstLine="708"/>
        <w:jc w:val="both"/>
        <w:rPr>
          <w:rFonts w:ascii="Times New Roman" w:hAnsi="Times New Roman" w:cs="Times New Roman"/>
          <w:sz w:val="24"/>
          <w:szCs w:val="24"/>
        </w:rPr>
      </w:pPr>
      <w:r w:rsidRPr="001C284F">
        <w:rPr>
          <w:rFonts w:ascii="Times New Roman" w:hAnsi="Times New Roman" w:cs="Times New Roman"/>
          <w:sz w:val="24"/>
          <w:szCs w:val="24"/>
        </w:rPr>
        <w:t xml:space="preserve">Tomasz uważa ponadto, że zwłaszcza w odniesieniu do sensu moralnego konieczne jest dokładniejsze doprecyzowanie różnicy między sensem dosłownym a duchowym. Cokolwiek w Piśmie Świętym jest powiedziane o właściwym postępowaniu, etycznej postawie czy odpowiedzialnym działaniu, nie może być błędnie uznane za sens moralny. Nakazy, wypowiedzi moralne czy zalecenia należą do sensu dosłownego, a nie duchowego. Dopiero wtedy, gdy wskazania dotyczące ludzkiego działania zostają wyprowadzone z </w:t>
      </w:r>
      <w:r w:rsidRPr="001C284F">
        <w:rPr>
          <w:rStyle w:val="Emphasis"/>
          <w:rFonts w:ascii="Times New Roman" w:hAnsi="Times New Roman" w:cs="Times New Roman"/>
          <w:sz w:val="24"/>
          <w:szCs w:val="24"/>
        </w:rPr>
        <w:t>figurae</w:t>
      </w:r>
      <w:r w:rsidRPr="001C284F">
        <w:rPr>
          <w:rFonts w:ascii="Times New Roman" w:hAnsi="Times New Roman" w:cs="Times New Roman"/>
          <w:sz w:val="24"/>
          <w:szCs w:val="24"/>
        </w:rPr>
        <w:t xml:space="preserve">, a więc z typologicznych figur, interpretator porusza się na poziomie sensu moralnego, będącego przecież odmianą sensu duchowego. Sens moralny — jak mówi Tomasz — nigdy nie może być identyczny z dosłownym, ponieważ sensy Pisma odróżnia się nie ze </w:t>
      </w:r>
      <w:r w:rsidRPr="001C284F">
        <w:rPr>
          <w:rFonts w:ascii="Times New Roman" w:hAnsi="Times New Roman" w:cs="Times New Roman"/>
          <w:sz w:val="24"/>
          <w:szCs w:val="24"/>
        </w:rPr>
        <w:lastRenderedPageBreak/>
        <w:t>względu na treść, lecz ze względu na sposób oznaczania (</w:t>
      </w:r>
      <w:r w:rsidRPr="001C284F">
        <w:rPr>
          <w:rStyle w:val="Emphasis"/>
          <w:rFonts w:ascii="Times New Roman" w:hAnsi="Times New Roman" w:cs="Times New Roman"/>
          <w:sz w:val="24"/>
          <w:szCs w:val="24"/>
        </w:rPr>
        <w:t>significatio</w:t>
      </w:r>
      <w:r w:rsidRPr="001C284F">
        <w:rPr>
          <w:rFonts w:ascii="Times New Roman" w:hAnsi="Times New Roman" w:cs="Times New Roman"/>
          <w:sz w:val="24"/>
          <w:szCs w:val="24"/>
        </w:rPr>
        <w:t>): tu przez słowa, tam przez inne rzeczywistości (</w:t>
      </w:r>
      <w:r w:rsidRPr="001C284F">
        <w:rPr>
          <w:rStyle w:val="Emphasis"/>
          <w:rFonts w:ascii="Times New Roman" w:hAnsi="Times New Roman" w:cs="Times New Roman"/>
          <w:sz w:val="24"/>
          <w:szCs w:val="24"/>
        </w:rPr>
        <w:t>figurae</w:t>
      </w:r>
      <w:r w:rsidRPr="001C284F">
        <w:rPr>
          <w:rFonts w:ascii="Times New Roman" w:hAnsi="Times New Roman" w:cs="Times New Roman"/>
          <w:sz w:val="24"/>
          <w:szCs w:val="24"/>
        </w:rPr>
        <w:t>). Tomasz dodaje także ostatnie ostrzeżenie dotyczące sensu duchowego: nie każdy tekst i nie każda perykopa Pisma Świętego mogą zawsze i wszędzie być interpretowane według czterech różnych sensów. W niektórych miejscach czterokrotna interpretacja może się narzucać, w innych — tylko sens dosłowny, jak na przykład w przypadku przykazań czy rad ewangelicznych. Teksty te nie mogą posiadać przenośnego, duchowego sensu, ponieważ w swej podstawowe</w:t>
      </w:r>
      <w:r>
        <w:rPr>
          <w:rFonts w:ascii="Times New Roman" w:hAnsi="Times New Roman" w:cs="Times New Roman"/>
          <w:sz w:val="24"/>
          <w:szCs w:val="24"/>
        </w:rPr>
        <w:t>j treści już wyrażają prawdę.</w:t>
      </w:r>
    </w:p>
    <w:p w14:paraId="06B256BB" w14:textId="77777777" w:rsidR="002D5FD2" w:rsidRDefault="009014E9" w:rsidP="00A03254">
      <w:pPr>
        <w:pStyle w:val="NormalWeb"/>
        <w:spacing w:before="0" w:beforeAutospacing="0" w:after="0" w:afterAutospacing="0"/>
        <w:jc w:val="both"/>
        <w:rPr>
          <w:rStyle w:val="Strong"/>
          <w:b w:val="0"/>
        </w:rPr>
      </w:pPr>
      <w:r w:rsidRPr="00F02BA7">
        <w:rPr>
          <w:rStyle w:val="Strong"/>
          <w:b w:val="0"/>
        </w:rPr>
        <w:t xml:space="preserve">Widzieliśmy już wyżej, że przedstawienie duchowych sensów Pisma w </w:t>
      </w:r>
      <w:r w:rsidR="00A03254">
        <w:rPr>
          <w:rStyle w:val="Emphasis"/>
          <w:bCs/>
        </w:rPr>
        <w:t>Sumie teologicznej</w:t>
      </w:r>
      <w:r w:rsidRPr="00F02BA7">
        <w:rPr>
          <w:rStyle w:val="Strong"/>
          <w:b w:val="0"/>
        </w:rPr>
        <w:t xml:space="preserve"> ma przede wszystkim na celu uznać je za nieodpowiednie dla teologii dyskursywnej. Tylko sens dosłowny pozwala na formułowanie argumentów. Troska św. Tomasza o „teologię argumentacyjną” zdaje się potwierdzać stereotypowy zarzut pod adresem teologii scholastycznej, że jest ona przede wszystkim teologią konkluzji i apologetyką. Pismo Święte byłoby w niej traktowane jedynie jako kamieniołom dla argumentów teologicznych albo jako zbiór dogmatycznych zdań prawdziwych. Metoda </w:t>
      </w:r>
      <w:r w:rsidR="00A03254">
        <w:rPr>
          <w:rStyle w:val="Emphasis"/>
          <w:bCs/>
        </w:rPr>
        <w:t>Sumy teologicznej</w:t>
      </w:r>
      <w:r w:rsidRPr="00F02BA7">
        <w:rPr>
          <w:rStyle w:val="Strong"/>
          <w:b w:val="0"/>
        </w:rPr>
        <w:t xml:space="preserve"> zdaje się tę opinię potwierdzać, gdy po przedstawieniu zarzutów na początku każdego artykułu właściwa odpowiedź, rozwinięta w </w:t>
      </w:r>
      <w:r w:rsidRPr="00F02BA7">
        <w:rPr>
          <w:rStyle w:val="Emphasis"/>
          <w:bCs/>
        </w:rPr>
        <w:t>corpus articuli</w:t>
      </w:r>
      <w:r w:rsidRPr="00F02BA7">
        <w:rPr>
          <w:rStyle w:val="Strong"/>
          <w:b w:val="0"/>
        </w:rPr>
        <w:t>, wprowadzana jest cytatem z Pisma, który niejako dźwiga ciężar dowodu dla danej nauki. Takie zredukowanie tekstów biblijnych do funkcji argumentów jednak ani nie odpowiada teologicznemu celowi św. Tomasza, ani nie oddaje sprawiedliwości jego elastycznej i wieloaspektowej interpretacji Pisma.</w:t>
      </w:r>
      <w:r w:rsidR="000E481B">
        <w:rPr>
          <w:rStyle w:val="Strong"/>
        </w:rPr>
        <w:t xml:space="preserve"> </w:t>
      </w:r>
      <w:r w:rsidR="000E481B" w:rsidRPr="005147D3">
        <w:rPr>
          <w:rStyle w:val="Strong"/>
          <w:b w:val="0"/>
        </w:rPr>
        <w:t>Tomasz podkreśla wręcz wielokrotnie bogactwo sensu dosłownego. Jest on przecież tym sensem, który zamierzył Autor Pisma Świętego, czyli Bóg</w:t>
      </w:r>
      <w:r w:rsidR="001B1CF7">
        <w:rPr>
          <w:rStyle w:val="FootnoteReference"/>
          <w:bCs/>
        </w:rPr>
        <w:footnoteReference w:id="9"/>
      </w:r>
      <w:r w:rsidR="000E481B" w:rsidRPr="005147D3">
        <w:rPr>
          <w:rStyle w:val="Strong"/>
          <w:b w:val="0"/>
        </w:rPr>
        <w:t>. Aby ukazać ten sens, interpretator dysponuje pewną swobodą w interpretacji. Dopóki zachowuje i traktuje poważnie dosłowne brzmienie tekstu, wszystkie możliwości stoją przed nim otworem, by na nowo i głębiej ukazać słuchaczowi zawarte w nim objawienie — jego znacz</w:t>
      </w:r>
      <w:r w:rsidR="00A03254">
        <w:rPr>
          <w:rStyle w:val="Strong"/>
          <w:b w:val="0"/>
        </w:rPr>
        <w:t>enie, wiarygodność i bogactwo. „</w:t>
      </w:r>
      <w:r w:rsidR="000E481B" w:rsidRPr="005147D3">
        <w:rPr>
          <w:rStyle w:val="Strong"/>
          <w:b w:val="0"/>
        </w:rPr>
        <w:t>Uc</w:t>
      </w:r>
      <w:r w:rsidR="00507F58">
        <w:rPr>
          <w:rStyle w:val="Strong"/>
          <w:b w:val="0"/>
        </w:rPr>
        <w:t>zynienie objawienia zrozumiałym”</w:t>
      </w:r>
      <w:r w:rsidR="000E481B" w:rsidRPr="005147D3">
        <w:rPr>
          <w:rStyle w:val="Strong"/>
          <w:b w:val="0"/>
        </w:rPr>
        <w:t xml:space="preserve"> w tekstach biblijnych i poprzez nie, sprowadzenie tekstów do ich wewnę</w:t>
      </w:r>
      <w:r w:rsidR="00507F58">
        <w:rPr>
          <w:rStyle w:val="Strong"/>
          <w:b w:val="0"/>
        </w:rPr>
        <w:t>trznej spójności, aby uchwycić „sens”</w:t>
      </w:r>
      <w:r w:rsidR="000E481B" w:rsidRPr="005147D3">
        <w:rPr>
          <w:rStyle w:val="Strong"/>
          <w:b w:val="0"/>
        </w:rPr>
        <w:t xml:space="preserve"> słów — oto zadanie interpretatora Pisma</w:t>
      </w:r>
      <w:r w:rsidR="001B1CF7">
        <w:rPr>
          <w:rStyle w:val="FootnoteReference"/>
          <w:bCs/>
        </w:rPr>
        <w:footnoteReference w:id="10"/>
      </w:r>
      <w:r w:rsidR="000E481B" w:rsidRPr="005147D3">
        <w:rPr>
          <w:rStyle w:val="Strong"/>
          <w:b w:val="0"/>
        </w:rPr>
        <w:t>.</w:t>
      </w:r>
    </w:p>
    <w:p w14:paraId="02B5EA3A" w14:textId="77777777" w:rsidR="004B25C1" w:rsidRDefault="0072070E" w:rsidP="00A03254">
      <w:pPr>
        <w:pStyle w:val="NormalWeb"/>
        <w:spacing w:before="0" w:beforeAutospacing="0" w:after="0" w:afterAutospacing="0"/>
        <w:ind w:firstLine="708"/>
        <w:jc w:val="both"/>
        <w:rPr>
          <w:rStyle w:val="Strong"/>
          <w:b w:val="0"/>
        </w:rPr>
      </w:pPr>
      <w:r w:rsidRPr="002D5FD2">
        <w:rPr>
          <w:rStyle w:val="Strong"/>
          <w:b w:val="0"/>
        </w:rPr>
        <w:t>Przeciwko rzekomo jednowymiarowej egzegezie, która służy jedynie dowodzeniu dogmatów, przemawia również fakt, że Tomasz dopuszcza w przypadku wielu tekstów biblijnych kilka interpretacji, nie musząc uciekać się do sensu duchowego; ponieważ wszystko, „co można słusznie przyjąć z</w:t>
      </w:r>
      <w:r w:rsidR="00993576">
        <w:rPr>
          <w:rStyle w:val="Strong"/>
          <w:b w:val="0"/>
        </w:rPr>
        <w:t>e</w:t>
      </w:r>
      <w:r w:rsidRPr="002D5FD2">
        <w:rPr>
          <w:rStyle w:val="Strong"/>
          <w:b w:val="0"/>
        </w:rPr>
        <w:t xml:space="preserve"> znaczenia słów”, należy do jego </w:t>
      </w:r>
      <w:r w:rsidRPr="002D5FD2">
        <w:rPr>
          <w:rStyle w:val="Emphasis"/>
          <w:bCs/>
        </w:rPr>
        <w:t>sensus literalis</w:t>
      </w:r>
      <w:r w:rsidR="002D5FD2">
        <w:rPr>
          <w:rStyle w:val="FootnoteReference"/>
          <w:bCs/>
          <w:i/>
          <w:iCs/>
        </w:rPr>
        <w:footnoteReference w:id="11"/>
      </w:r>
      <w:r w:rsidRPr="002D5FD2">
        <w:rPr>
          <w:rStyle w:val="Strong"/>
          <w:b w:val="0"/>
        </w:rPr>
        <w:t xml:space="preserve">. W komentarzach do Pisma Tomasz łączy takie alternatywy interpretacyjne za pomocą prostego </w:t>
      </w:r>
      <w:r w:rsidRPr="002D5FD2">
        <w:rPr>
          <w:rStyle w:val="Emphasis"/>
          <w:bCs/>
        </w:rPr>
        <w:t>vel</w:t>
      </w:r>
      <w:r w:rsidRPr="002D5FD2">
        <w:rPr>
          <w:rStyle w:val="Strong"/>
          <w:b w:val="0"/>
        </w:rPr>
        <w:t xml:space="preserve"> lub </w:t>
      </w:r>
      <w:r w:rsidRPr="002D5FD2">
        <w:rPr>
          <w:rStyle w:val="Emphasis"/>
          <w:bCs/>
        </w:rPr>
        <w:t>aliter</w:t>
      </w:r>
      <w:r w:rsidRPr="002D5FD2">
        <w:rPr>
          <w:rStyle w:val="Strong"/>
          <w:b w:val="0"/>
        </w:rPr>
        <w:t>. Pomysłowość Tomasza jako interpretatora Pisma dobrze widać w jego komentarzach do ksiąg Starego Testamentu. Hebrajskie paralelizmy, w których obrazy i fakty często różnicowane są jedynie słownie, Tomasz konsekwentnie interpretował tak, że każdemu członowi paralelizmu przypisywał odrębny sens, różniący się od sensu odpowiadającego członu, i dlatego zasługujący na indywidualną interpretację. W tym kontekście Tomasz tworzył niekiedy genialne, a w każdym razie zajmujące wyjaśnienia, które następnie komponował w zaskakujące wnioski.</w:t>
      </w:r>
    </w:p>
    <w:p w14:paraId="17E75F95" w14:textId="77777777" w:rsidR="008536FB" w:rsidRDefault="004B25C1" w:rsidP="00A03254">
      <w:pPr>
        <w:pStyle w:val="NormalWeb"/>
        <w:spacing w:before="0" w:beforeAutospacing="0" w:after="0" w:afterAutospacing="0"/>
        <w:ind w:firstLine="708"/>
        <w:jc w:val="both"/>
        <w:rPr>
          <w:rStyle w:val="Strong"/>
          <w:b w:val="0"/>
        </w:rPr>
      </w:pPr>
      <w:r>
        <w:t xml:space="preserve">Jeśli zatem rzucimy ostatnie spojrzenie na relację między interpretacją Pisma a teologią systematyczną, to w dziele św. Tomasza ukazuje się podwójny ruch: najpierw obfitość tekstów biblijnych oraz ich obrazów musi zostać uporządkowana według zasady kościelnej (tzn. według </w:t>
      </w:r>
      <w:r>
        <w:rPr>
          <w:rStyle w:val="Emphasis"/>
        </w:rPr>
        <w:t>regula fidei</w:t>
      </w:r>
      <w:r>
        <w:t xml:space="preserve"> lub wyznania wiary) oraz według struktury, którą interpretator Pisma za każdym razem na nowo tworzy. W ten sposób z pisemnego objawienia </w:t>
      </w:r>
      <w:r>
        <w:lastRenderedPageBreak/>
        <w:t>powstaje teologia systematyczna. Następnie jednak – i to jest ruch przeciwny – porządek ten wymaga w każdym punkcie ponownego zweryfikowania i upewnienia się poprzez sam tekst Pisma. Pierwszy krok realizuje podręcznik teologii systematycznej, drugi przejmuje komentarz biblijny.</w:t>
      </w:r>
      <w:r>
        <w:rPr>
          <w:bCs/>
        </w:rPr>
        <w:t xml:space="preserve"> </w:t>
      </w:r>
      <w:r>
        <w:t xml:space="preserve">Gdy na przykład w </w:t>
      </w:r>
      <w:r w:rsidR="00A03254">
        <w:rPr>
          <w:rStyle w:val="Emphasis"/>
        </w:rPr>
        <w:t>Sumie teologicznej</w:t>
      </w:r>
      <w:r>
        <w:t xml:space="preserve"> Pismo Święte pojawia się w krótkich, treściwych cytatach, mających umożliwić rekonstrukcję </w:t>
      </w:r>
      <w:r>
        <w:rPr>
          <w:rStyle w:val="Emphasis"/>
        </w:rPr>
        <w:t>sacra doctrina</w:t>
      </w:r>
      <w:r>
        <w:t xml:space="preserve">, to komentarze biblijne Tomasza obierają drogę odwrotną. </w:t>
      </w:r>
      <w:r w:rsidRPr="004B25C1">
        <w:rPr>
          <w:rStyle w:val="Strong"/>
          <w:b w:val="0"/>
        </w:rPr>
        <w:t xml:space="preserve">Tam, gdzie objawienie jest wyjaśniane wzdłuż tekstu biblijnego, wystarcza krótka, okazjonalna wskazówka dotycząca systematyki </w:t>
      </w:r>
      <w:r w:rsidRPr="004B25C1">
        <w:rPr>
          <w:rStyle w:val="Emphasis"/>
          <w:bCs/>
        </w:rPr>
        <w:t>sacra doctrina</w:t>
      </w:r>
      <w:r w:rsidRPr="004B25C1">
        <w:rPr>
          <w:rStyle w:val="Strong"/>
          <w:b w:val="0"/>
        </w:rPr>
        <w:t>, aby treściowo umiejscowić analizowaną perykopę i wyznaczyć ramy twórczej interpretacji, która objaśnia tekst i nadaje znaczenie jego właściwościom. Tekst nie zostaje jednak rozpuszczony w systematyce teologicznej, lecz jego treść oraz forma literacka są traktowane poważnie i czynione przejrzystymi dla rozumienia. Podobnie jak w teologii systematycznej chodzi o wgląd w tekst objawienia, ale w komentarzu biblijnym porządek samego objawienia nie musi być na nowo opracowywany — może zostać przyjęty jako dana podstawa.</w:t>
      </w:r>
      <w:r w:rsidR="00646E86">
        <w:rPr>
          <w:rStyle w:val="Strong"/>
          <w:b w:val="0"/>
        </w:rPr>
        <w:t xml:space="preserve"> </w:t>
      </w:r>
      <w:r w:rsidR="008536FB" w:rsidRPr="00646E86">
        <w:rPr>
          <w:rStyle w:val="Strong"/>
          <w:b w:val="0"/>
        </w:rPr>
        <w:t>Komentarze biblijne św. Tomasza nie zawierają — w porównaniu z jego dziełami systematycznymi — ani uprzywilejowanych, ani też nowych treści doktrynalnych. A jednak, czy wręcz właśnie dlatego, ich sposób przedstawienia tchnie większą żywością, co zawdzięczają także zwięzłości i celowemu doborowi interpretacji. Swój rytm i strukturę zawdzięczają ograniczonemu czasowi wykładu, ale również konieczności objaśnienia całej księgi. Tomasz zrezygnował więc z opracowywania swoich dzieł egzegetycznych jako podręczników o encyklopedycznym rozmachu. Przeciwnie — objaśnienia są zazwyczaj krótkie i treściwe; nierzadko przypominają kazania lub impulsy duchowe. Dzięki temu Pismo Święte staje się widoczne w całym swoim narracyjno-literackim i treściowym bogactwie.</w:t>
      </w:r>
    </w:p>
    <w:p w14:paraId="224A8690" w14:textId="77777777" w:rsidR="00825FC4" w:rsidRDefault="00BF2F0D" w:rsidP="00A03254">
      <w:pPr>
        <w:pStyle w:val="NormalWeb"/>
        <w:spacing w:before="0" w:beforeAutospacing="0" w:after="0" w:afterAutospacing="0"/>
        <w:jc w:val="both"/>
        <w:rPr>
          <w:b/>
        </w:rPr>
      </w:pPr>
      <w:r w:rsidRPr="00BF2F0D">
        <w:rPr>
          <w:rStyle w:val="Strong"/>
          <w:b w:val="0"/>
        </w:rPr>
        <w:t xml:space="preserve">Nie byłby to jednak św. Tomasz, gdyby także w swoich dziełach egzegetycznych nie wydobył struktury i porządku. Pierwszą próbę tego rodzaju podjął w uniwersyteckim wykładzie </w:t>
      </w:r>
      <w:r w:rsidRPr="00BF2F0D">
        <w:rPr>
          <w:rStyle w:val="Emphasis"/>
          <w:bCs/>
        </w:rPr>
        <w:t>Hic est liber mandatorum Dei</w:t>
      </w:r>
      <w:r w:rsidRPr="00BF2F0D">
        <w:rPr>
          <w:rStyle w:val="Strong"/>
          <w:b w:val="0"/>
        </w:rPr>
        <w:t xml:space="preserve">, wygłoszonym również w ramach uroczystości związanych z jego przyjęciem do kolegium profesorskiego w Paryżu w 1256 roku. W tym drugim </w:t>
      </w:r>
      <w:r w:rsidRPr="00BF2F0D">
        <w:rPr>
          <w:rStyle w:val="Emphasis"/>
          <w:bCs/>
        </w:rPr>
        <w:t>Principium</w:t>
      </w:r>
      <w:r w:rsidRPr="00BF2F0D">
        <w:rPr>
          <w:rStyle w:val="Strong"/>
        </w:rPr>
        <w:t xml:space="preserve"> </w:t>
      </w:r>
      <w:r w:rsidRPr="00BF2F0D">
        <w:rPr>
          <w:rStyle w:val="Strong"/>
          <w:b w:val="0"/>
        </w:rPr>
        <w:t xml:space="preserve">oczekiwano od młodego profesora interpretacji struktury kanonu biblijnego. Księgi te nie są jedynie podzielone na Stary i Nowy Testament — każda księga, każda grupa pism zostaje scharakteryzowana poprzez określone teologiczne pojęcia porządkujące. W ten sposób cały kanon sam staje się teologiczną budowlą, w której każdej księdze przypisana jest określona rola w całości </w:t>
      </w:r>
      <w:r w:rsidRPr="00BF2F0D">
        <w:rPr>
          <w:rStyle w:val="Emphasis"/>
          <w:bCs/>
        </w:rPr>
        <w:t>sacra doctrina</w:t>
      </w:r>
      <w:r>
        <w:rPr>
          <w:rStyle w:val="FootnoteReference"/>
          <w:bCs/>
          <w:i/>
          <w:iCs/>
        </w:rPr>
        <w:footnoteReference w:id="12"/>
      </w:r>
      <w:r w:rsidRPr="00BF2F0D">
        <w:rPr>
          <w:rStyle w:val="Strong"/>
          <w:b w:val="0"/>
        </w:rPr>
        <w:t>.</w:t>
      </w:r>
    </w:p>
    <w:p w14:paraId="20190BF8" w14:textId="77777777" w:rsidR="00C35FEC" w:rsidRDefault="00825FC4" w:rsidP="00C35FEC">
      <w:pPr>
        <w:pStyle w:val="NormalWeb"/>
        <w:spacing w:before="0" w:beforeAutospacing="0" w:after="0" w:afterAutospacing="0"/>
        <w:ind w:firstLine="708"/>
        <w:jc w:val="both"/>
        <w:rPr>
          <w:rStyle w:val="Strong"/>
          <w:b w:val="0"/>
        </w:rPr>
      </w:pPr>
      <w:r w:rsidRPr="00825FC4">
        <w:rPr>
          <w:rStyle w:val="Strong"/>
          <w:b w:val="0"/>
        </w:rPr>
        <w:t>W przeciwieństwie do większości średniowiecznych interpretatorów Pisma Tomasz identyfikuje w swoich komentarzach biblijnych dla każdej księgi, którą komentował, określony temat przewodni. I tak listy Apostoła Pawła uważał za zwartą rozprawę o łasce, ujawniającą się w każdym z listów pod innym aspektem. Księgę Hioba opisywał jako mistrzowską rozprawę o Bożej opatrzności. Hiob miał wraz z przyjaciółmi dyskutować różne poglądy na ten nadrzędny temat, zanim Bóg pod koniec księgi rozstrzygnął debatę. W Ewangelii Mateusza Tomasz rozpoznawał jako temat główny człowieczeństwo Chrystusa, podczas gdy Ewangelia Jana traktuje przede wszystkim o Jego Boskości. Dzięki tym tematycznym przyporządkowaniom Tomasz uchwycił wprawdzie zasadnicze treści owych ksiąg biblijnych, lecz przede wszystkim potrafił dzięki nim precyzyjniej formułować własne teologiczne zainteresowania.</w:t>
      </w:r>
      <w:r w:rsidR="006251B1">
        <w:rPr>
          <w:rStyle w:val="Strong"/>
          <w:b w:val="0"/>
        </w:rPr>
        <w:t xml:space="preserve"> </w:t>
      </w:r>
      <w:r w:rsidR="006251B1" w:rsidRPr="006251B1">
        <w:rPr>
          <w:rStyle w:val="Strong"/>
          <w:b w:val="0"/>
        </w:rPr>
        <w:t xml:space="preserve">Temat przewodni nadawał interpretacji pewien kierunek, nie zmuszał jednak do tego, by każde rozdział i każdą perykopę koniecznie do niego dopasowywać. Tomasz raczej gromadził w trakcie komentowania całej księgi liczne obserwacje dotyczące tematu, wydobywał z tekstu pokrewne aspekty oraz wyraźne, centralne twierdzenia odnoszące się do motywu przewodniego. W ten sposób powstawała całkowicie własna forma rozprawy teologicznej: nie systematyczny podręcznik, nie traktat problemowy, </w:t>
      </w:r>
      <w:r w:rsidR="006251B1" w:rsidRPr="006251B1">
        <w:rPr>
          <w:rStyle w:val="Strong"/>
          <w:b w:val="0"/>
        </w:rPr>
        <w:lastRenderedPageBreak/>
        <w:t>lecz towarzysząca lekturze biblijnej wykładnia, która formułowała temat asocjacyjnie i sytuacyjnie, rozszerzała go prospektywnie i retrospektywnie, określała wątki główne i poboczne, i tym samym krok po kroku gromadziła bogactwo wzajemnie dopełniających się nauk, aforyzmów i objaśniających szczegółów, które łączyły komentarz z księgą stanowiącą jego podstawę pod względem tematycznym.</w:t>
      </w:r>
    </w:p>
    <w:p w14:paraId="7BECF1C5" w14:textId="77777777" w:rsidR="0040323F" w:rsidRDefault="006643A3" w:rsidP="00C35FEC">
      <w:pPr>
        <w:pStyle w:val="NormalWeb"/>
        <w:spacing w:before="0" w:beforeAutospacing="0" w:after="0" w:afterAutospacing="0"/>
        <w:ind w:firstLine="708"/>
        <w:jc w:val="both"/>
        <w:rPr>
          <w:rStyle w:val="Strong"/>
          <w:b w:val="0"/>
        </w:rPr>
      </w:pPr>
      <w:r>
        <w:rPr>
          <w:rStyle w:val="Strong"/>
          <w:b w:val="0"/>
        </w:rPr>
        <w:t>Interpretator Biblii</w:t>
      </w:r>
      <w:r w:rsidR="00EB1C7A" w:rsidRPr="00EB1C7A">
        <w:rPr>
          <w:rStyle w:val="Strong"/>
          <w:b w:val="0"/>
        </w:rPr>
        <w:t xml:space="preserve"> Tomasz z Akwinu z pewnością odnajdywał siebie w postaci gospodarza z Mt 13,52, który ze swego bogatego skarbca wydobywa rzeczy stare i nowe. Jego interpretacja tego wersetu w komentarzu do Ewangelii Mateusza rzeczywiście zawiera wszystkie elementy teologicznej egzegezy Akwinaty, które opisaliśmy wyżej. Tomasz rozpoczyna wykład perykopy — jest to zakończenie Mt 13, w którym znajdują się liczne przypowieści o Królestwie Bożym — od wprowadzającego wersetu Mt 13,51: „Zrozumieliście to wszystko? — </w:t>
      </w:r>
      <w:r w:rsidR="00EB1C7A" w:rsidRPr="00EB1C7A">
        <w:rPr>
          <w:rStyle w:val="Emphasis"/>
          <w:bCs/>
        </w:rPr>
        <w:t>Intellexistis haec omnia?</w:t>
      </w:r>
      <w:r w:rsidR="00EB1C7A" w:rsidRPr="00EB1C7A">
        <w:rPr>
          <w:rStyle w:val="Strong"/>
          <w:b w:val="0"/>
        </w:rPr>
        <w:t xml:space="preserve">” Dla uczniów, którzy mieli w przyszłości stać się </w:t>
      </w:r>
      <w:r w:rsidR="00EB1C7A" w:rsidRPr="00EB1C7A">
        <w:rPr>
          <w:rStyle w:val="Emphasis"/>
          <w:bCs/>
        </w:rPr>
        <w:t>magistri</w:t>
      </w:r>
      <w:r w:rsidR="00EB1C7A" w:rsidRPr="00EB1C7A">
        <w:rPr>
          <w:rStyle w:val="Strong"/>
          <w:b w:val="0"/>
        </w:rPr>
        <w:t>, ważne było to, aby te przypowieści pojęli (</w:t>
      </w:r>
      <w:r w:rsidR="00EB1C7A" w:rsidRPr="00EB1C7A">
        <w:rPr>
          <w:rStyle w:val="Emphasis"/>
          <w:bCs/>
        </w:rPr>
        <w:t>intellexissent</w:t>
      </w:r>
      <w:r w:rsidR="00EB1C7A" w:rsidRPr="00EB1C7A">
        <w:rPr>
          <w:rStyle w:val="Strong"/>
          <w:b w:val="0"/>
        </w:rPr>
        <w:t>). Dlatego zwraca się do nich jako do uczonych w Piśmie (</w:t>
      </w:r>
      <w:r w:rsidR="00EB1C7A" w:rsidRPr="00EB1C7A">
        <w:rPr>
          <w:rStyle w:val="Emphasis"/>
          <w:bCs/>
        </w:rPr>
        <w:t>scribae</w:t>
      </w:r>
      <w:r w:rsidR="00EB1C7A" w:rsidRPr="00EB1C7A">
        <w:rPr>
          <w:rStyle w:val="Strong"/>
          <w:b w:val="0"/>
        </w:rPr>
        <w:t>) i stawia im przed oczy dobrego zarządcę, aby rozpoznali swoje przyszłe zadanie (</w:t>
      </w:r>
      <w:r w:rsidR="00EB1C7A" w:rsidRPr="00EB1C7A">
        <w:rPr>
          <w:rStyle w:val="Emphasis"/>
          <w:bCs/>
        </w:rPr>
        <w:t>officium</w:t>
      </w:r>
      <w:r w:rsidR="00EB1C7A" w:rsidRPr="00EB1C7A">
        <w:rPr>
          <w:rStyle w:val="Strong"/>
          <w:b w:val="0"/>
        </w:rPr>
        <w:t>).</w:t>
      </w:r>
      <w:r w:rsidR="00006B8D">
        <w:rPr>
          <w:rStyle w:val="Strong"/>
          <w:b w:val="0"/>
        </w:rPr>
        <w:t xml:space="preserve"> </w:t>
      </w:r>
      <w:r w:rsidR="00006B8D" w:rsidRPr="00006B8D">
        <w:rPr>
          <w:rStyle w:val="Strong"/>
          <w:b w:val="0"/>
        </w:rPr>
        <w:t>Zapas zarządcy (</w:t>
      </w:r>
      <w:r w:rsidR="00006B8D" w:rsidRPr="00006B8D">
        <w:rPr>
          <w:rStyle w:val="Emphasis"/>
          <w:bCs/>
        </w:rPr>
        <w:t>thesaurus</w:t>
      </w:r>
      <w:r w:rsidR="00006B8D" w:rsidRPr="00006B8D">
        <w:rPr>
          <w:rStyle w:val="Strong"/>
          <w:b w:val="0"/>
        </w:rPr>
        <w:t xml:space="preserve">), z którego wydobywa się rzeczy stare i nowe, Tomasz identyfikował z </w:t>
      </w:r>
      <w:r w:rsidR="00006B8D" w:rsidRPr="00006B8D">
        <w:rPr>
          <w:rStyle w:val="Emphasis"/>
          <w:bCs/>
        </w:rPr>
        <w:t>sacra doctrina</w:t>
      </w:r>
      <w:r w:rsidR="00006B8D" w:rsidRPr="00006B8D">
        <w:rPr>
          <w:rStyle w:val="Strong"/>
        </w:rPr>
        <w:t>.</w:t>
      </w:r>
      <w:r w:rsidR="00006B8D" w:rsidRPr="00006B8D">
        <w:rPr>
          <w:rStyle w:val="Strong"/>
          <w:b w:val="0"/>
        </w:rPr>
        <w:t xml:space="preserve"> Uczniowie, jako uczeni w Piśmie (</w:t>
      </w:r>
      <w:r w:rsidR="00006B8D" w:rsidRPr="00006B8D">
        <w:rPr>
          <w:rStyle w:val="Emphasis"/>
          <w:bCs/>
        </w:rPr>
        <w:t>scribae</w:t>
      </w:r>
      <w:r w:rsidR="00006B8D" w:rsidRPr="00006B8D">
        <w:rPr>
          <w:rStyle w:val="Strong"/>
          <w:b w:val="0"/>
        </w:rPr>
        <w:t xml:space="preserve">), powinni być dobrze obeznani z </w:t>
      </w:r>
      <w:r w:rsidR="00006B8D" w:rsidRPr="00006B8D">
        <w:rPr>
          <w:rStyle w:val="Emphasis"/>
          <w:bCs/>
        </w:rPr>
        <w:t>sacra doctrina</w:t>
      </w:r>
      <w:r w:rsidR="00006B8D" w:rsidRPr="00006B8D">
        <w:rPr>
          <w:rStyle w:val="Strong"/>
          <w:b w:val="0"/>
        </w:rPr>
        <w:t xml:space="preserve"> i stać się uczonymi (</w:t>
      </w:r>
      <w:r w:rsidR="00006B8D" w:rsidRPr="00006B8D">
        <w:rPr>
          <w:rStyle w:val="Emphasis"/>
          <w:bCs/>
        </w:rPr>
        <w:t>docti</w:t>
      </w:r>
      <w:r w:rsidR="00006B8D" w:rsidRPr="00006B8D">
        <w:rPr>
          <w:rStyle w:val="Strong"/>
          <w:b w:val="0"/>
        </w:rPr>
        <w:t>). Można by ich także nazwać „notariuszami Chrystusa”, ponieważ zapisują przykazania Chrystusa w sercach wiernych. Zarządcą (</w:t>
      </w:r>
      <w:r w:rsidR="00006B8D" w:rsidRPr="00006B8D">
        <w:rPr>
          <w:rStyle w:val="Emphasis"/>
          <w:bCs/>
        </w:rPr>
        <w:t>paterfamilias</w:t>
      </w:r>
      <w:r w:rsidR="00006B8D" w:rsidRPr="00006B8D">
        <w:rPr>
          <w:rStyle w:val="Strong"/>
          <w:b w:val="0"/>
        </w:rPr>
        <w:t>) w ścisłym znaczeniu jest jednak Chrystus, który z tego skarbca wydobywa zadania nowego prawa (</w:t>
      </w:r>
      <w:r w:rsidR="00006B8D" w:rsidRPr="00006B8D">
        <w:rPr>
          <w:rStyle w:val="Emphasis"/>
          <w:bCs/>
        </w:rPr>
        <w:t>officia novae legis</w:t>
      </w:r>
      <w:r w:rsidR="00006B8D" w:rsidRPr="00006B8D">
        <w:rPr>
          <w:rStyle w:val="Strong"/>
          <w:b w:val="0"/>
        </w:rPr>
        <w:t>). „Nowe Prawo dodaje bowiem staremu Prawu nowe znaczenia (</w:t>
      </w:r>
      <w:r w:rsidR="00006B8D" w:rsidRPr="00006B8D">
        <w:rPr>
          <w:rStyle w:val="Emphasis"/>
          <w:bCs/>
        </w:rPr>
        <w:t>sensus</w:t>
      </w:r>
      <w:r w:rsidR="00006B8D" w:rsidRPr="00006B8D">
        <w:rPr>
          <w:rStyle w:val="Strong"/>
          <w:b w:val="0"/>
        </w:rPr>
        <w:t>), a Chrystus je wyjaśnia.” Tomasz proponuje również alternatywną interpretację perykopy (</w:t>
      </w:r>
      <w:r w:rsidR="00006B8D" w:rsidRPr="00006B8D">
        <w:rPr>
          <w:rStyle w:val="Emphasis"/>
          <w:bCs/>
        </w:rPr>
        <w:t>vel potest dici</w:t>
      </w:r>
      <w:r w:rsidR="00006B8D" w:rsidRPr="00006B8D">
        <w:rPr>
          <w:rStyle w:val="Strong"/>
          <w:b w:val="0"/>
        </w:rPr>
        <w:t xml:space="preserve">), porównując </w:t>
      </w:r>
      <w:r w:rsidR="00006B8D" w:rsidRPr="00006B8D">
        <w:rPr>
          <w:rStyle w:val="Emphasis"/>
          <w:bCs/>
        </w:rPr>
        <w:t>paterfamilias</w:t>
      </w:r>
      <w:r w:rsidR="00006B8D" w:rsidRPr="00006B8D">
        <w:rPr>
          <w:rStyle w:val="Strong"/>
        </w:rPr>
        <w:t xml:space="preserve"> </w:t>
      </w:r>
      <w:r w:rsidR="00006B8D" w:rsidRPr="00006B8D">
        <w:rPr>
          <w:rStyle w:val="Strong"/>
          <w:b w:val="0"/>
        </w:rPr>
        <w:t>do kogoś, kto z otrzymanej od Boga wiedzy (</w:t>
      </w:r>
      <w:r w:rsidR="00006B8D" w:rsidRPr="00006B8D">
        <w:rPr>
          <w:rStyle w:val="Emphasis"/>
          <w:bCs/>
        </w:rPr>
        <w:t>scientia divinitus sibi data</w:t>
      </w:r>
      <w:r w:rsidR="00006B8D" w:rsidRPr="00006B8D">
        <w:rPr>
          <w:rStyle w:val="Strong"/>
          <w:b w:val="0"/>
        </w:rPr>
        <w:t>) wydobywa rzeczy stare i nowe. Na koniec uzupełnia swoją własną interpretację tekstami Augustyna i Grzegorza, którzy objaśniają obraz zarządcy w inny sposób</w:t>
      </w:r>
      <w:r w:rsidR="0040323F">
        <w:rPr>
          <w:rStyle w:val="FootnoteReference"/>
          <w:bCs/>
        </w:rPr>
        <w:footnoteReference w:id="13"/>
      </w:r>
      <w:r w:rsidR="00006B8D" w:rsidRPr="00006B8D">
        <w:rPr>
          <w:rStyle w:val="Strong"/>
          <w:b w:val="0"/>
        </w:rPr>
        <w:t>.</w:t>
      </w:r>
      <w:r w:rsidR="0040323F">
        <w:rPr>
          <w:b/>
          <w:bCs/>
        </w:rPr>
        <w:t xml:space="preserve"> </w:t>
      </w:r>
      <w:r w:rsidR="0040323F" w:rsidRPr="0040323F">
        <w:rPr>
          <w:rStyle w:val="Strong"/>
          <w:b w:val="0"/>
        </w:rPr>
        <w:t>Tutaj mamy jeden z licznych fragmentów w komentarzach Tomasza, w których tworzy kontekst dydaktyczny lub ogłoszeniowy, aby objaśnić ziemską działalność Jezusa. Jednocześnie, niejako przy okazji, przypomina swoje rozumienie teologii, które jest ilustrowane przez tekst Pisma.</w:t>
      </w:r>
    </w:p>
    <w:p w14:paraId="4C041A1C" w14:textId="77777777" w:rsidR="0040323F" w:rsidRPr="00C35FEC" w:rsidRDefault="0040323F" w:rsidP="00C35FEC">
      <w:pPr>
        <w:pStyle w:val="NormalWeb"/>
        <w:spacing w:before="0" w:beforeAutospacing="0" w:after="0" w:afterAutospacing="0"/>
        <w:ind w:firstLine="708"/>
        <w:jc w:val="both"/>
        <w:rPr>
          <w:bCs/>
          <w:iCs/>
        </w:rPr>
      </w:pPr>
      <w:r w:rsidRPr="0040323F">
        <w:rPr>
          <w:rStyle w:val="Strong"/>
          <w:b w:val="0"/>
        </w:rPr>
        <w:t xml:space="preserve">Jeszcze bardziej niż obraz zarządcy przemawiała do Tomasza figura arystotelesowskiego mędrca (sapiens), który posiada między innymi «architektoniczną» wiedzę. Egzegeta powinien bowiem, obok materialnej znajomości teologii, posiadać także wiedzę o porządku doktryny i znać jej wewnętrzne powiązania. Jak architekt zna on plan budowli Pisma Świętego i teologii – zarówno w całości, jak i w szczegółach. Wobec pozornie przypadkowych, ciemnych i obrazowych tekstów Pisma Świętego jego zadaniem jest odsłonić wewnętrzny porządek Objawienia, zgodnie z arystotelesowskim dictum: </w:t>
      </w:r>
      <w:r w:rsidRPr="0040323F">
        <w:rPr>
          <w:rStyle w:val="Strong"/>
          <w:b w:val="0"/>
          <w:i/>
        </w:rPr>
        <w:t>sapientis est ordinare</w:t>
      </w:r>
      <w:r w:rsidRPr="00C35FEC">
        <w:rPr>
          <w:rStyle w:val="FootnoteReference"/>
          <w:bCs/>
          <w:iCs/>
        </w:rPr>
        <w:footnoteReference w:id="14"/>
      </w:r>
      <w:r w:rsidRPr="00C35FEC">
        <w:rPr>
          <w:rStyle w:val="Strong"/>
          <w:b w:val="0"/>
          <w:iCs/>
        </w:rPr>
        <w:t>.</w:t>
      </w:r>
    </w:p>
    <w:p w14:paraId="546A94A3" w14:textId="77777777" w:rsidR="0040323F" w:rsidRPr="0040323F" w:rsidRDefault="0040323F" w:rsidP="00A03254">
      <w:pPr>
        <w:pStyle w:val="NormalWeb"/>
        <w:spacing w:before="0" w:beforeAutospacing="0" w:after="0" w:afterAutospacing="0"/>
        <w:jc w:val="both"/>
        <w:rPr>
          <w:bCs/>
        </w:rPr>
      </w:pPr>
    </w:p>
    <w:p w14:paraId="17D523B5" w14:textId="77777777" w:rsidR="009014E9" w:rsidRPr="00F02BA7" w:rsidRDefault="009014E9" w:rsidP="00A03254">
      <w:pPr>
        <w:spacing w:after="0" w:line="240" w:lineRule="auto"/>
        <w:ind w:firstLine="708"/>
        <w:jc w:val="both"/>
        <w:rPr>
          <w:rFonts w:ascii="Times New Roman" w:hAnsi="Times New Roman" w:cs="Times New Roman"/>
          <w:bCs/>
          <w:sz w:val="24"/>
          <w:szCs w:val="24"/>
        </w:rPr>
      </w:pPr>
    </w:p>
    <w:p w14:paraId="66C79F35" w14:textId="77777777" w:rsidR="006D4C6D" w:rsidRDefault="006D4C6D" w:rsidP="006D4C6D">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Nota o Autorze: </w:t>
      </w:r>
      <w:r w:rsidR="006349A8" w:rsidRPr="004934CE">
        <w:rPr>
          <w:rFonts w:ascii="Times New Roman" w:hAnsi="Times New Roman" w:cs="Times New Roman"/>
          <w:b/>
          <w:sz w:val="24"/>
          <w:szCs w:val="24"/>
        </w:rPr>
        <w:t>Thomas Prügl</w:t>
      </w:r>
      <w:r w:rsidR="006349A8" w:rsidRPr="004934CE">
        <w:rPr>
          <w:rFonts w:ascii="Times New Roman" w:hAnsi="Times New Roman" w:cs="Times New Roman"/>
          <w:sz w:val="24"/>
          <w:szCs w:val="24"/>
        </w:rPr>
        <w:t xml:space="preserve"> </w:t>
      </w:r>
      <w:r>
        <w:rPr>
          <w:rFonts w:ascii="Times New Roman" w:hAnsi="Times New Roman" w:cs="Times New Roman"/>
          <w:sz w:val="24"/>
          <w:szCs w:val="24"/>
        </w:rPr>
        <w:t>– urodzony w</w:t>
      </w:r>
      <w:r w:rsidR="006349A8" w:rsidRPr="004934CE">
        <w:rPr>
          <w:rFonts w:ascii="Times New Roman" w:hAnsi="Times New Roman" w:cs="Times New Roman"/>
          <w:sz w:val="24"/>
          <w:szCs w:val="24"/>
        </w:rPr>
        <w:t xml:space="preserve"> 1963</w:t>
      </w:r>
      <w:r>
        <w:rPr>
          <w:rFonts w:ascii="Times New Roman" w:hAnsi="Times New Roman" w:cs="Times New Roman"/>
          <w:sz w:val="24"/>
          <w:szCs w:val="24"/>
        </w:rPr>
        <w:t xml:space="preserve"> roku. W latach 1982–1989</w:t>
      </w:r>
      <w:r w:rsidRPr="006D4C6D">
        <w:rPr>
          <w:rFonts w:ascii="Times New Roman" w:hAnsi="Times New Roman" w:cs="Times New Roman"/>
          <w:sz w:val="24"/>
          <w:szCs w:val="24"/>
        </w:rPr>
        <w:t xml:space="preserve"> </w:t>
      </w:r>
      <w:r>
        <w:rPr>
          <w:rFonts w:ascii="Times New Roman" w:hAnsi="Times New Roman" w:cs="Times New Roman"/>
          <w:sz w:val="24"/>
          <w:szCs w:val="24"/>
        </w:rPr>
        <w:t>s</w:t>
      </w:r>
      <w:r w:rsidRPr="006D4C6D">
        <w:rPr>
          <w:rFonts w:ascii="Times New Roman" w:hAnsi="Times New Roman" w:cs="Times New Roman"/>
          <w:sz w:val="24"/>
          <w:szCs w:val="24"/>
        </w:rPr>
        <w:t>tudiował teologię katolicką na Uniwersytecie Ludwika Maksymiliana w Monachium gdzie uzyskał licencjat w 1988 oraz w 1994 roku dok</w:t>
      </w:r>
      <w:r>
        <w:rPr>
          <w:rFonts w:ascii="Times New Roman" w:hAnsi="Times New Roman" w:cs="Times New Roman"/>
          <w:sz w:val="24"/>
          <w:szCs w:val="24"/>
        </w:rPr>
        <w:t>torat z teologii. W latach 1984-</w:t>
      </w:r>
      <w:r w:rsidRPr="006D4C6D">
        <w:rPr>
          <w:rFonts w:ascii="Times New Roman" w:hAnsi="Times New Roman" w:cs="Times New Roman"/>
          <w:sz w:val="24"/>
          <w:szCs w:val="24"/>
        </w:rPr>
        <w:t xml:space="preserve">1985 odbył studia na Papieskim Uniwersytecie Gregoriańskim w Rzymie. Od 1991 do 2000 roku był pracownikiem naukowym i asystentem naukowym w Instytucie Grabmanna, zajmującym się badaniem średniowiecznej teologii i filozofii na LMU Monachium. W latach 2001–2004 był </w:t>
      </w:r>
      <w:r w:rsidRPr="006D4C6D">
        <w:rPr>
          <w:rFonts w:ascii="Times New Roman" w:hAnsi="Times New Roman" w:cs="Times New Roman"/>
          <w:sz w:val="24"/>
          <w:szCs w:val="24"/>
        </w:rPr>
        <w:lastRenderedPageBreak/>
        <w:t>asystentem profesora historii teologii na Uniwersytecie Notre Dame, a w latach 2004–2008 na tej samej uczelni pełnił funkcję profesora współpracującego w historii teologii oraz przewodniczącego Tisch Family Coll</w:t>
      </w:r>
      <w:r>
        <w:rPr>
          <w:rFonts w:ascii="Times New Roman" w:hAnsi="Times New Roman" w:cs="Times New Roman"/>
          <w:sz w:val="24"/>
          <w:szCs w:val="24"/>
        </w:rPr>
        <w:t>egiate. Dodatkowo w latach 2005-</w:t>
      </w:r>
      <w:r w:rsidRPr="006D4C6D">
        <w:rPr>
          <w:rFonts w:ascii="Times New Roman" w:hAnsi="Times New Roman" w:cs="Times New Roman"/>
          <w:sz w:val="24"/>
          <w:szCs w:val="24"/>
        </w:rPr>
        <w:t>2006 był tymczasowym dyrektorem Instytutu Średniowiecznego na Uniwersytecie Notre Dame. Od 2008 roku prowadzi badania i wykłady jako profesor uniwersytecki historii Kościoła na Wydziale Teologicznym Uniwersytetu Wiedeńskiego.</w:t>
      </w:r>
      <w:r>
        <w:rPr>
          <w:rFonts w:ascii="Times New Roman" w:hAnsi="Times New Roman" w:cs="Times New Roman"/>
          <w:sz w:val="24"/>
          <w:szCs w:val="24"/>
        </w:rPr>
        <w:t xml:space="preserve"> </w:t>
      </w:r>
      <w:r w:rsidRPr="006D4C6D">
        <w:rPr>
          <w:rFonts w:ascii="Times New Roman" w:hAnsi="Times New Roman" w:cs="Times New Roman"/>
          <w:sz w:val="24"/>
          <w:szCs w:val="24"/>
        </w:rPr>
        <w:t>Jego obszary badań obejmują historię Kościoła i eklezjologię średniowiecza, sobory w Konstancji i Bazylei, historię egzegezy w średniowieczu, historię zakonu dominikanów, jego członków i instytucji, a także historię mediewistyki.</w:t>
      </w:r>
    </w:p>
    <w:p w14:paraId="1333A6E6" w14:textId="77777777" w:rsidR="00C22022" w:rsidRDefault="00C22022" w:rsidP="00C22022">
      <w:pPr>
        <w:spacing w:after="0" w:line="240" w:lineRule="auto"/>
        <w:jc w:val="both"/>
        <w:rPr>
          <w:rFonts w:ascii="Times New Roman" w:hAnsi="Times New Roman" w:cs="Times New Roman"/>
          <w:sz w:val="24"/>
          <w:szCs w:val="24"/>
        </w:rPr>
      </w:pPr>
    </w:p>
    <w:p w14:paraId="3F967596" w14:textId="77777777" w:rsidR="00C22022" w:rsidRPr="00791DFB" w:rsidRDefault="00C22022" w:rsidP="00C22022">
      <w:pPr>
        <w:spacing w:after="0" w:line="240" w:lineRule="auto"/>
        <w:jc w:val="both"/>
        <w:rPr>
          <w:rFonts w:ascii="Times New Roman" w:hAnsi="Times New Roman" w:cs="Times New Roman"/>
          <w:b/>
          <w:bCs/>
          <w:sz w:val="24"/>
          <w:szCs w:val="24"/>
          <w:lang w:val="fr-FR"/>
        </w:rPr>
      </w:pPr>
      <w:r w:rsidRPr="00791DFB">
        <w:rPr>
          <w:rFonts w:ascii="Times New Roman" w:hAnsi="Times New Roman" w:cs="Times New Roman"/>
          <w:b/>
          <w:bCs/>
          <w:sz w:val="24"/>
          <w:szCs w:val="24"/>
          <w:lang w:val="fr-FR"/>
        </w:rPr>
        <w:t>Bibliografia:</w:t>
      </w:r>
    </w:p>
    <w:p w14:paraId="0A29BF88" w14:textId="77777777" w:rsidR="00DD6C7F" w:rsidRPr="00C22022" w:rsidRDefault="00DD6C7F" w:rsidP="00DD6C7F">
      <w:pPr>
        <w:pStyle w:val="NormalWeb"/>
        <w:spacing w:before="0" w:beforeAutospacing="0" w:after="0" w:afterAutospacing="0"/>
        <w:ind w:left="1134" w:hanging="1134"/>
        <w:jc w:val="both"/>
        <w:rPr>
          <w:lang w:val="fr-FR"/>
        </w:rPr>
      </w:pPr>
      <w:r w:rsidRPr="00C22022">
        <w:rPr>
          <w:lang w:val="fr-FR"/>
        </w:rPr>
        <w:t>Aillet</w:t>
      </w:r>
      <w:r>
        <w:rPr>
          <w:lang w:val="fr-FR"/>
        </w:rPr>
        <w:t xml:space="preserve"> </w:t>
      </w:r>
      <w:r w:rsidRPr="00C22022">
        <w:rPr>
          <w:lang w:val="fr-FR"/>
        </w:rPr>
        <w:t xml:space="preserve">M., </w:t>
      </w:r>
      <w:r w:rsidRPr="00C22022">
        <w:rPr>
          <w:i/>
          <w:lang w:val="fr-FR"/>
        </w:rPr>
        <w:t>Lire la Bible avec S. Thomas. Le passage de la ‹littera› à la ‹res› dans la Somme théologique</w:t>
      </w:r>
      <w:r w:rsidRPr="00C22022">
        <w:rPr>
          <w:lang w:val="fr-FR"/>
        </w:rPr>
        <w:t xml:space="preserve">, Fribourg i. Ü 1993. </w:t>
      </w:r>
    </w:p>
    <w:p w14:paraId="7EA5752E" w14:textId="77777777" w:rsidR="00DD6C7F" w:rsidRPr="00DD6C7F" w:rsidRDefault="00DD6C7F" w:rsidP="00DD6C7F">
      <w:pPr>
        <w:pStyle w:val="FootnoteText"/>
        <w:ind w:left="1134" w:hanging="1134"/>
        <w:jc w:val="both"/>
        <w:rPr>
          <w:rFonts w:ascii="Times New Roman" w:hAnsi="Times New Roman" w:cs="Times New Roman"/>
          <w:sz w:val="24"/>
          <w:szCs w:val="24"/>
          <w:lang w:val="fr-FR"/>
        </w:rPr>
      </w:pPr>
      <w:r w:rsidRPr="00DD6C7F">
        <w:rPr>
          <w:rFonts w:ascii="Times New Roman" w:hAnsi="Times New Roman" w:cs="Times New Roman"/>
          <w:sz w:val="24"/>
          <w:szCs w:val="24"/>
          <w:lang w:val="fr-FR"/>
        </w:rPr>
        <w:t>Dahan</w:t>
      </w:r>
      <w:r>
        <w:rPr>
          <w:rFonts w:ascii="Times New Roman" w:hAnsi="Times New Roman" w:cs="Times New Roman"/>
          <w:sz w:val="24"/>
          <w:szCs w:val="24"/>
          <w:lang w:val="fr-FR"/>
        </w:rPr>
        <w:t xml:space="preserve"> </w:t>
      </w:r>
      <w:r w:rsidRPr="00DD6C7F">
        <w:rPr>
          <w:rFonts w:ascii="Times New Roman" w:hAnsi="Times New Roman" w:cs="Times New Roman"/>
          <w:sz w:val="24"/>
          <w:szCs w:val="24"/>
          <w:lang w:val="fr-FR"/>
        </w:rPr>
        <w:t xml:space="preserve">G., </w:t>
      </w:r>
      <w:r w:rsidRPr="00DD6C7F">
        <w:rPr>
          <w:rFonts w:ascii="Times New Roman" w:hAnsi="Times New Roman" w:cs="Times New Roman"/>
          <w:i/>
          <w:sz w:val="24"/>
          <w:szCs w:val="24"/>
          <w:lang w:val="fr-FR"/>
        </w:rPr>
        <w:t>Les Pères dans l’exégèse médiévale de la Bible</w:t>
      </w:r>
      <w:r w:rsidRPr="00DD6C7F">
        <w:rPr>
          <w:rFonts w:ascii="Times New Roman" w:hAnsi="Times New Roman" w:cs="Times New Roman"/>
          <w:sz w:val="24"/>
          <w:szCs w:val="24"/>
          <w:lang w:val="fr-FR"/>
        </w:rPr>
        <w:t xml:space="preserve"> w: </w:t>
      </w:r>
      <w:r w:rsidRPr="00DD6C7F">
        <w:rPr>
          <w:rFonts w:ascii="Times New Roman" w:hAnsi="Times New Roman" w:cs="Times New Roman"/>
          <w:i/>
          <w:sz w:val="24"/>
          <w:szCs w:val="24"/>
          <w:lang w:val="fr-FR"/>
        </w:rPr>
        <w:t>Revue des sciences philosophiques et théologiques</w:t>
      </w:r>
      <w:r>
        <w:rPr>
          <w:rFonts w:ascii="Times New Roman" w:hAnsi="Times New Roman" w:cs="Times New Roman"/>
          <w:sz w:val="24"/>
          <w:szCs w:val="24"/>
          <w:lang w:val="fr-FR"/>
        </w:rPr>
        <w:t xml:space="preserve"> 91</w:t>
      </w:r>
      <w:r w:rsidRPr="00DD6C7F">
        <w:rPr>
          <w:rFonts w:ascii="Times New Roman" w:hAnsi="Times New Roman" w:cs="Times New Roman"/>
          <w:sz w:val="24"/>
          <w:szCs w:val="24"/>
          <w:lang w:val="fr-FR"/>
        </w:rPr>
        <w:t>(2007), s. 109–127.</w:t>
      </w:r>
    </w:p>
    <w:p w14:paraId="2C8D6F6E" w14:textId="77777777" w:rsidR="00DD6C7F" w:rsidRPr="00C22022" w:rsidRDefault="00DD6C7F" w:rsidP="00DD6C7F">
      <w:pPr>
        <w:pStyle w:val="NormalWeb"/>
        <w:spacing w:before="0" w:beforeAutospacing="0" w:after="0" w:afterAutospacing="0"/>
        <w:ind w:left="1134" w:hanging="1134"/>
        <w:jc w:val="both"/>
        <w:rPr>
          <w:lang w:val="de-AT"/>
        </w:rPr>
      </w:pPr>
      <w:r w:rsidRPr="00C22022">
        <w:rPr>
          <w:lang w:val="fr-FR"/>
        </w:rPr>
        <w:t>Estler</w:t>
      </w:r>
      <w:r>
        <w:rPr>
          <w:lang w:val="fr-FR"/>
        </w:rPr>
        <w:t xml:space="preserve"> </w:t>
      </w:r>
      <w:r w:rsidRPr="00C22022">
        <w:rPr>
          <w:lang w:val="fr-FR"/>
        </w:rPr>
        <w:t xml:space="preserve">M., </w:t>
      </w:r>
      <w:r w:rsidRPr="00C22022">
        <w:rPr>
          <w:rStyle w:val="Emphasis"/>
          <w:lang w:val="fr-FR"/>
        </w:rPr>
        <w:t xml:space="preserve">Rigans montes (Ps 104, 13). </w:t>
      </w:r>
      <w:r w:rsidRPr="00C22022">
        <w:rPr>
          <w:rStyle w:val="Emphasis"/>
          <w:lang w:val="de-AT"/>
        </w:rPr>
        <w:t>Die Antrittsvorlesung des Thomas von Aquin in Paris 1256</w:t>
      </w:r>
      <w:r w:rsidRPr="00C22022">
        <w:rPr>
          <w:lang w:val="de-AT"/>
        </w:rPr>
        <w:t>, Stuttgart 2015.</w:t>
      </w:r>
    </w:p>
    <w:p w14:paraId="48F8A368" w14:textId="77777777" w:rsidR="00DD6C7F" w:rsidRPr="00DD6C7F" w:rsidRDefault="00DD6C7F" w:rsidP="00DD6C7F">
      <w:pPr>
        <w:pStyle w:val="FootnoteText"/>
        <w:ind w:left="1134" w:hanging="1134"/>
        <w:jc w:val="both"/>
        <w:rPr>
          <w:rFonts w:ascii="Times New Roman" w:hAnsi="Times New Roman" w:cs="Times New Roman"/>
          <w:sz w:val="24"/>
          <w:szCs w:val="24"/>
          <w:lang w:val="de-AT"/>
        </w:rPr>
      </w:pPr>
      <w:r w:rsidRPr="00DD6C7F">
        <w:rPr>
          <w:rFonts w:ascii="Times New Roman" w:hAnsi="Times New Roman" w:cs="Times New Roman"/>
          <w:sz w:val="24"/>
          <w:szCs w:val="24"/>
          <w:lang w:val="de-AT"/>
        </w:rPr>
        <w:t xml:space="preserve">Kannengieser C., </w:t>
      </w:r>
      <w:r w:rsidRPr="00DD6C7F">
        <w:rPr>
          <w:rFonts w:ascii="Times New Roman" w:hAnsi="Times New Roman" w:cs="Times New Roman"/>
          <w:i/>
          <w:iCs/>
          <w:sz w:val="24"/>
          <w:szCs w:val="24"/>
          <w:lang w:val="de-AT"/>
        </w:rPr>
        <w:t>Handbook of Patristic Exegesis</w:t>
      </w:r>
      <w:r w:rsidRPr="00DD6C7F">
        <w:rPr>
          <w:rFonts w:ascii="Times New Roman" w:hAnsi="Times New Roman" w:cs="Times New Roman"/>
          <w:sz w:val="24"/>
          <w:szCs w:val="24"/>
          <w:lang w:val="de-AT"/>
        </w:rPr>
        <w:t>, t. I-II, Leiden 2004.</w:t>
      </w:r>
    </w:p>
    <w:p w14:paraId="05A19B76" w14:textId="77777777" w:rsidR="00DD6C7F" w:rsidRPr="00DD6C7F" w:rsidRDefault="00DD6C7F" w:rsidP="00DD6C7F">
      <w:pPr>
        <w:pStyle w:val="FootnoteText"/>
        <w:ind w:left="1134" w:hanging="1134"/>
        <w:jc w:val="both"/>
        <w:rPr>
          <w:rFonts w:ascii="Times New Roman" w:hAnsi="Times New Roman" w:cs="Times New Roman"/>
          <w:sz w:val="24"/>
          <w:szCs w:val="24"/>
          <w:lang w:val="de-AT"/>
        </w:rPr>
      </w:pPr>
      <w:r w:rsidRPr="00DD6C7F">
        <w:rPr>
          <w:rFonts w:ascii="Times New Roman" w:hAnsi="Times New Roman" w:cs="Times New Roman"/>
          <w:sz w:val="24"/>
          <w:szCs w:val="24"/>
          <w:lang w:val="de-AT"/>
        </w:rPr>
        <w:t xml:space="preserve">Leppin V. (red.), </w:t>
      </w:r>
      <w:r w:rsidRPr="00DD6C7F">
        <w:rPr>
          <w:rStyle w:val="Emphasis"/>
          <w:rFonts w:ascii="Times New Roman" w:hAnsi="Times New Roman" w:cs="Times New Roman"/>
          <w:sz w:val="24"/>
          <w:szCs w:val="24"/>
          <w:lang w:val="de-AT"/>
        </w:rPr>
        <w:t>Thomas Handbuch</w:t>
      </w:r>
      <w:r w:rsidRPr="00DD6C7F">
        <w:rPr>
          <w:rFonts w:ascii="Times New Roman" w:hAnsi="Times New Roman" w:cs="Times New Roman"/>
          <w:sz w:val="24"/>
          <w:szCs w:val="24"/>
          <w:lang w:val="de-AT"/>
        </w:rPr>
        <w:t>, Tübingen 2016.</w:t>
      </w:r>
    </w:p>
    <w:p w14:paraId="23D5A6B5" w14:textId="77777777" w:rsidR="00DD6C7F" w:rsidRPr="00791DFB" w:rsidRDefault="00DD6C7F" w:rsidP="00DD6C7F">
      <w:pPr>
        <w:pStyle w:val="NormalWeb"/>
        <w:spacing w:before="0" w:beforeAutospacing="0" w:after="0" w:afterAutospacing="0"/>
        <w:ind w:left="1134" w:hanging="1134"/>
        <w:jc w:val="both"/>
        <w:rPr>
          <w:lang w:val="de-AT"/>
        </w:rPr>
      </w:pPr>
      <w:r w:rsidRPr="00DD6C7F">
        <w:rPr>
          <w:lang w:val="de-AT"/>
        </w:rPr>
        <w:t xml:space="preserve">McGinn B., </w:t>
      </w:r>
      <w:r w:rsidRPr="00DD6C7F">
        <w:rPr>
          <w:i/>
          <w:iCs/>
          <w:lang w:val="de-AT"/>
        </w:rPr>
        <w:t xml:space="preserve">Thomas Aquinas’s Summa theologiae. </w:t>
      </w:r>
      <w:r w:rsidRPr="00791DFB">
        <w:rPr>
          <w:i/>
          <w:iCs/>
          <w:lang w:val="de-AT"/>
        </w:rPr>
        <w:t>A Biography</w:t>
      </w:r>
      <w:r w:rsidRPr="00791DFB">
        <w:rPr>
          <w:lang w:val="de-AT"/>
        </w:rPr>
        <w:t>, Princeton – Oxford 2014.</w:t>
      </w:r>
    </w:p>
    <w:p w14:paraId="56692101" w14:textId="77777777" w:rsidR="00DD6C7F" w:rsidRPr="00C22022" w:rsidRDefault="00DD6C7F" w:rsidP="00DD6C7F">
      <w:pPr>
        <w:pStyle w:val="FootnoteText"/>
        <w:ind w:left="1134" w:hanging="1134"/>
        <w:jc w:val="both"/>
        <w:rPr>
          <w:rFonts w:ascii="Times New Roman" w:hAnsi="Times New Roman" w:cs="Times New Roman"/>
          <w:sz w:val="24"/>
          <w:szCs w:val="24"/>
          <w:lang w:val="de-AT"/>
        </w:rPr>
      </w:pPr>
      <w:r w:rsidRPr="00DD6C7F">
        <w:rPr>
          <w:rFonts w:ascii="Times New Roman" w:hAnsi="Times New Roman" w:cs="Times New Roman"/>
          <w:sz w:val="24"/>
          <w:szCs w:val="24"/>
          <w:lang w:val="de-AT"/>
        </w:rPr>
        <w:t>Prügl</w:t>
      </w:r>
      <w:r>
        <w:rPr>
          <w:rFonts w:ascii="Times New Roman" w:hAnsi="Times New Roman" w:cs="Times New Roman"/>
          <w:sz w:val="24"/>
          <w:szCs w:val="24"/>
          <w:lang w:val="de-AT"/>
        </w:rPr>
        <w:t xml:space="preserve"> </w:t>
      </w:r>
      <w:r w:rsidRPr="00DD6C7F">
        <w:rPr>
          <w:rFonts w:ascii="Times New Roman" w:hAnsi="Times New Roman" w:cs="Times New Roman"/>
          <w:sz w:val="24"/>
          <w:szCs w:val="24"/>
          <w:lang w:val="de-AT"/>
        </w:rPr>
        <w:t xml:space="preserve">T., </w:t>
      </w:r>
      <w:r w:rsidRPr="00DD6C7F">
        <w:rPr>
          <w:rFonts w:ascii="Times New Roman" w:hAnsi="Times New Roman" w:cs="Times New Roman"/>
          <w:i/>
          <w:sz w:val="24"/>
          <w:szCs w:val="24"/>
          <w:lang w:val="de-AT"/>
        </w:rPr>
        <w:t xml:space="preserve">Die Bibel als Lehrbuch. </w:t>
      </w:r>
      <w:r w:rsidRPr="00C22022">
        <w:rPr>
          <w:rFonts w:ascii="Times New Roman" w:hAnsi="Times New Roman" w:cs="Times New Roman"/>
          <w:i/>
          <w:sz w:val="24"/>
          <w:szCs w:val="24"/>
          <w:lang w:val="de-AT"/>
        </w:rPr>
        <w:t>Zum «Plan» der Theologie nach mittelalterlichen Kanonauslegungen</w:t>
      </w:r>
      <w:r w:rsidRPr="00C22022">
        <w:rPr>
          <w:rFonts w:ascii="Times New Roman" w:hAnsi="Times New Roman" w:cs="Times New Roman"/>
          <w:sz w:val="24"/>
          <w:szCs w:val="24"/>
          <w:lang w:val="de-AT"/>
        </w:rPr>
        <w:t xml:space="preserve">, w: </w:t>
      </w:r>
      <w:r w:rsidRPr="00C22022">
        <w:rPr>
          <w:rStyle w:val="Emphasis"/>
          <w:rFonts w:ascii="Times New Roman" w:hAnsi="Times New Roman" w:cs="Times New Roman"/>
          <w:sz w:val="24"/>
          <w:szCs w:val="24"/>
          <w:lang w:val="de-AT"/>
        </w:rPr>
        <w:t>Archa Verbi</w:t>
      </w:r>
      <w:r w:rsidRPr="00C22022">
        <w:rPr>
          <w:rFonts w:ascii="Times New Roman" w:hAnsi="Times New Roman" w:cs="Times New Roman"/>
          <w:sz w:val="24"/>
          <w:szCs w:val="24"/>
          <w:lang w:val="de-AT"/>
        </w:rPr>
        <w:t xml:space="preserve"> 1(2004), s. 42–66.</w:t>
      </w:r>
    </w:p>
    <w:p w14:paraId="1A24067F" w14:textId="77777777" w:rsidR="00DD6C7F" w:rsidRPr="00C22022" w:rsidRDefault="00DD6C7F" w:rsidP="00DD6C7F">
      <w:pPr>
        <w:pStyle w:val="FootnoteText"/>
        <w:ind w:left="1134" w:hanging="1134"/>
        <w:jc w:val="both"/>
        <w:rPr>
          <w:rFonts w:ascii="Times New Roman" w:hAnsi="Times New Roman" w:cs="Times New Roman"/>
          <w:sz w:val="24"/>
          <w:szCs w:val="24"/>
          <w:lang w:val="en-US"/>
        </w:rPr>
      </w:pPr>
      <w:r w:rsidRPr="00C22022">
        <w:rPr>
          <w:rFonts w:ascii="Times New Roman" w:hAnsi="Times New Roman" w:cs="Times New Roman"/>
          <w:sz w:val="24"/>
          <w:szCs w:val="24"/>
          <w:lang w:val="en-US"/>
        </w:rPr>
        <w:t>Prügl</w:t>
      </w:r>
      <w:r>
        <w:rPr>
          <w:rFonts w:ascii="Times New Roman" w:hAnsi="Times New Roman" w:cs="Times New Roman"/>
          <w:sz w:val="24"/>
          <w:szCs w:val="24"/>
          <w:lang w:val="en-US"/>
        </w:rPr>
        <w:t xml:space="preserve"> </w:t>
      </w:r>
      <w:r w:rsidRPr="00C22022">
        <w:rPr>
          <w:rFonts w:ascii="Times New Roman" w:hAnsi="Times New Roman" w:cs="Times New Roman"/>
          <w:sz w:val="24"/>
          <w:szCs w:val="24"/>
          <w:lang w:val="en-US"/>
        </w:rPr>
        <w:t xml:space="preserve">T., </w:t>
      </w:r>
      <w:r w:rsidRPr="00C22022">
        <w:rPr>
          <w:rStyle w:val="Emphasis"/>
          <w:rFonts w:ascii="Times New Roman" w:hAnsi="Times New Roman" w:cs="Times New Roman"/>
          <w:sz w:val="24"/>
          <w:szCs w:val="24"/>
          <w:lang w:val="en-US"/>
        </w:rPr>
        <w:t>Thomas Aquinas as a Scriptural Exegete</w:t>
      </w:r>
      <w:r w:rsidRPr="00C22022">
        <w:rPr>
          <w:rFonts w:ascii="Times New Roman" w:hAnsi="Times New Roman" w:cs="Times New Roman"/>
          <w:sz w:val="24"/>
          <w:szCs w:val="24"/>
          <w:lang w:val="en-US"/>
        </w:rPr>
        <w:t xml:space="preserve">, w: R. van Nieuwenhove, J. Wawrykow (red.), </w:t>
      </w:r>
      <w:r w:rsidRPr="00C22022">
        <w:rPr>
          <w:rStyle w:val="Emphasis"/>
          <w:rFonts w:ascii="Times New Roman" w:hAnsi="Times New Roman" w:cs="Times New Roman"/>
          <w:sz w:val="24"/>
          <w:szCs w:val="24"/>
          <w:lang w:val="en-US"/>
        </w:rPr>
        <w:t>The Theology of Thomas Aquinas</w:t>
      </w:r>
      <w:r w:rsidRPr="00C22022">
        <w:rPr>
          <w:rFonts w:ascii="Times New Roman" w:hAnsi="Times New Roman" w:cs="Times New Roman"/>
          <w:sz w:val="24"/>
          <w:szCs w:val="24"/>
          <w:lang w:val="en-US"/>
        </w:rPr>
        <w:t>, Notre Dame 2005, s. 386–415.</w:t>
      </w:r>
    </w:p>
    <w:p w14:paraId="7319F586" w14:textId="77777777" w:rsidR="00DD6C7F" w:rsidRPr="00C22022" w:rsidRDefault="00DD6C7F" w:rsidP="00DD6C7F">
      <w:pPr>
        <w:pStyle w:val="FootnoteText"/>
        <w:ind w:left="1134" w:hanging="1134"/>
        <w:jc w:val="both"/>
        <w:rPr>
          <w:rFonts w:ascii="Times New Roman" w:hAnsi="Times New Roman" w:cs="Times New Roman"/>
          <w:sz w:val="24"/>
          <w:szCs w:val="24"/>
          <w:lang w:val="de-AT"/>
        </w:rPr>
      </w:pPr>
      <w:r w:rsidRPr="00DD6C7F">
        <w:rPr>
          <w:rFonts w:ascii="Times New Roman" w:hAnsi="Times New Roman" w:cs="Times New Roman"/>
          <w:sz w:val="24"/>
          <w:szCs w:val="24"/>
          <w:lang w:val="de-AT"/>
        </w:rPr>
        <w:t xml:space="preserve">Reyero M.A., </w:t>
      </w:r>
      <w:r w:rsidRPr="00DD6C7F">
        <w:rPr>
          <w:rFonts w:ascii="Times New Roman" w:hAnsi="Times New Roman" w:cs="Times New Roman"/>
          <w:i/>
          <w:sz w:val="24"/>
          <w:szCs w:val="24"/>
          <w:lang w:val="de-AT"/>
        </w:rPr>
        <w:t xml:space="preserve">Thomas von Aquin als Exeget. </w:t>
      </w:r>
      <w:r w:rsidRPr="00C22022">
        <w:rPr>
          <w:rFonts w:ascii="Times New Roman" w:hAnsi="Times New Roman" w:cs="Times New Roman"/>
          <w:i/>
          <w:sz w:val="24"/>
          <w:szCs w:val="24"/>
          <w:lang w:val="de-AT"/>
        </w:rPr>
        <w:t>Die Prinzipien seiner Schriftdeutung und seine Lehre von den Schriftsinnen</w:t>
      </w:r>
      <w:r w:rsidRPr="00C22022">
        <w:rPr>
          <w:rFonts w:ascii="Times New Roman" w:hAnsi="Times New Roman" w:cs="Times New Roman"/>
          <w:sz w:val="24"/>
          <w:szCs w:val="24"/>
          <w:lang w:val="de-AT"/>
        </w:rPr>
        <w:t>, Einsiedeln 1971.</w:t>
      </w:r>
    </w:p>
    <w:p w14:paraId="45ED0925" w14:textId="77777777" w:rsidR="00DD6C7F" w:rsidRPr="00791DFB" w:rsidRDefault="00DD6C7F" w:rsidP="00DD6C7F">
      <w:pPr>
        <w:pStyle w:val="FootnoteText"/>
        <w:ind w:left="1134" w:hanging="1134"/>
        <w:jc w:val="both"/>
        <w:rPr>
          <w:rFonts w:ascii="Times New Roman" w:hAnsi="Times New Roman" w:cs="Times New Roman"/>
          <w:sz w:val="24"/>
          <w:szCs w:val="24"/>
          <w:lang w:val="fr-FR"/>
        </w:rPr>
      </w:pPr>
      <w:r w:rsidRPr="00C22022">
        <w:rPr>
          <w:rFonts w:ascii="Times New Roman" w:hAnsi="Times New Roman" w:cs="Times New Roman"/>
          <w:sz w:val="24"/>
          <w:szCs w:val="24"/>
          <w:lang w:val="en-US"/>
        </w:rPr>
        <w:t>Smalley</w:t>
      </w:r>
      <w:r>
        <w:rPr>
          <w:rFonts w:ascii="Times New Roman" w:hAnsi="Times New Roman" w:cs="Times New Roman"/>
          <w:sz w:val="24"/>
          <w:szCs w:val="24"/>
          <w:lang w:val="en-US"/>
        </w:rPr>
        <w:t xml:space="preserve"> B., </w:t>
      </w:r>
      <w:r w:rsidRPr="00C22022">
        <w:rPr>
          <w:rFonts w:ascii="Times New Roman" w:hAnsi="Times New Roman" w:cs="Times New Roman"/>
          <w:i/>
          <w:iCs/>
          <w:sz w:val="24"/>
          <w:szCs w:val="24"/>
          <w:lang w:val="en-US"/>
        </w:rPr>
        <w:t xml:space="preserve">The Study of the Bible in the Middle Ages, </w:t>
      </w:r>
      <w:r w:rsidRPr="00C22022">
        <w:rPr>
          <w:rFonts w:ascii="Times New Roman" w:hAnsi="Times New Roman" w:cs="Times New Roman"/>
          <w:sz w:val="24"/>
          <w:szCs w:val="24"/>
          <w:lang w:val="en-US"/>
        </w:rPr>
        <w:t xml:space="preserve">Oxford 1983; Henri de Lubac, </w:t>
      </w:r>
      <w:r w:rsidRPr="00C22022">
        <w:rPr>
          <w:rFonts w:ascii="Times New Roman" w:hAnsi="Times New Roman" w:cs="Times New Roman"/>
          <w:i/>
          <w:iCs/>
          <w:sz w:val="24"/>
          <w:szCs w:val="24"/>
          <w:lang w:val="en-US"/>
        </w:rPr>
        <w:t xml:space="preserve">Exégèse médiévale. </w:t>
      </w:r>
      <w:r w:rsidRPr="00791DFB">
        <w:rPr>
          <w:rFonts w:ascii="Times New Roman" w:hAnsi="Times New Roman" w:cs="Times New Roman"/>
          <w:i/>
          <w:iCs/>
          <w:sz w:val="24"/>
          <w:szCs w:val="24"/>
          <w:lang w:val="fr-FR"/>
        </w:rPr>
        <w:t>Les quatre sens de l’Écriture</w:t>
      </w:r>
      <w:r w:rsidRPr="00791DFB">
        <w:rPr>
          <w:rFonts w:ascii="Times New Roman" w:hAnsi="Times New Roman" w:cs="Times New Roman"/>
          <w:sz w:val="24"/>
          <w:szCs w:val="24"/>
          <w:lang w:val="fr-FR"/>
        </w:rPr>
        <w:t>, t. I-IV., Paris 1959–1964 (wznowienie: Paris 1993).</w:t>
      </w:r>
    </w:p>
    <w:p w14:paraId="3184A6D6" w14:textId="77777777" w:rsidR="00DD6C7F" w:rsidRDefault="00DD6C7F" w:rsidP="00DD6C7F">
      <w:pPr>
        <w:pStyle w:val="FootnoteText"/>
        <w:ind w:left="1134" w:hanging="1134"/>
        <w:jc w:val="both"/>
        <w:rPr>
          <w:rFonts w:ascii="Times New Roman" w:hAnsi="Times New Roman" w:cs="Times New Roman"/>
          <w:sz w:val="24"/>
          <w:szCs w:val="24"/>
          <w:lang w:val="en-US"/>
        </w:rPr>
      </w:pPr>
      <w:r w:rsidRPr="00C22022">
        <w:rPr>
          <w:rFonts w:ascii="Times New Roman" w:hAnsi="Times New Roman" w:cs="Times New Roman"/>
          <w:sz w:val="24"/>
          <w:szCs w:val="24"/>
          <w:lang w:val="fr-FR"/>
        </w:rPr>
        <w:t xml:space="preserve">Thomas von Aquin, </w:t>
      </w:r>
      <w:r w:rsidRPr="00C22022">
        <w:rPr>
          <w:rStyle w:val="Emphasis"/>
          <w:rFonts w:ascii="Times New Roman" w:hAnsi="Times New Roman" w:cs="Times New Roman"/>
          <w:sz w:val="24"/>
          <w:szCs w:val="24"/>
          <w:lang w:val="fr-FR"/>
        </w:rPr>
        <w:t xml:space="preserve">De commendatione et partitione sacrae scripturae. </w:t>
      </w:r>
      <w:r w:rsidRPr="00DD6C7F">
        <w:rPr>
          <w:rStyle w:val="Emphasis"/>
          <w:rFonts w:ascii="Times New Roman" w:hAnsi="Times New Roman" w:cs="Times New Roman"/>
          <w:sz w:val="24"/>
          <w:szCs w:val="24"/>
          <w:lang w:val="en-US"/>
        </w:rPr>
        <w:t>Principium „Hic est liber mandatorum Dei”</w:t>
      </w:r>
      <w:r w:rsidRPr="00DD6C7F">
        <w:rPr>
          <w:rFonts w:ascii="Times New Roman" w:hAnsi="Times New Roman" w:cs="Times New Roman"/>
          <w:sz w:val="24"/>
          <w:szCs w:val="24"/>
          <w:lang w:val="en-US"/>
        </w:rPr>
        <w:t xml:space="preserve">, w: </w:t>
      </w:r>
      <w:r w:rsidRPr="00DD6C7F">
        <w:rPr>
          <w:rStyle w:val="Emphasis"/>
          <w:rFonts w:ascii="Times New Roman" w:hAnsi="Times New Roman" w:cs="Times New Roman"/>
          <w:sz w:val="24"/>
          <w:szCs w:val="24"/>
          <w:lang w:val="en-US"/>
        </w:rPr>
        <w:t>Opuscula Theologica</w:t>
      </w:r>
      <w:r w:rsidRPr="00DD6C7F">
        <w:rPr>
          <w:rFonts w:ascii="Times New Roman" w:hAnsi="Times New Roman" w:cs="Times New Roman"/>
          <w:sz w:val="24"/>
          <w:szCs w:val="24"/>
          <w:lang w:val="en-US"/>
        </w:rPr>
        <w:t>, I, Turin – Rom (Marietti) 1954, s. 435–439</w:t>
      </w:r>
      <w:r>
        <w:rPr>
          <w:rFonts w:ascii="Times New Roman" w:hAnsi="Times New Roman" w:cs="Times New Roman"/>
          <w:sz w:val="24"/>
          <w:szCs w:val="24"/>
          <w:lang w:val="en-US"/>
        </w:rPr>
        <w:t>.</w:t>
      </w:r>
    </w:p>
    <w:p w14:paraId="490123C7" w14:textId="77777777" w:rsidR="00DD6C7F" w:rsidRPr="00C22022" w:rsidRDefault="00DD6C7F" w:rsidP="00DD6C7F">
      <w:pPr>
        <w:pStyle w:val="NormalWeb"/>
        <w:spacing w:before="0" w:beforeAutospacing="0" w:after="0" w:afterAutospacing="0"/>
        <w:ind w:left="1134" w:hanging="1134"/>
        <w:jc w:val="both"/>
        <w:rPr>
          <w:lang w:val="de-AT"/>
        </w:rPr>
      </w:pPr>
      <w:r w:rsidRPr="00C22022">
        <w:rPr>
          <w:lang w:val="de-AT"/>
        </w:rPr>
        <w:t xml:space="preserve">Thomas von Aquin, </w:t>
      </w:r>
      <w:r w:rsidRPr="00C22022">
        <w:rPr>
          <w:i/>
          <w:iCs/>
          <w:lang w:val="de-AT"/>
        </w:rPr>
        <w:t>Gottes Dasein und Wesen</w:t>
      </w:r>
      <w:r w:rsidRPr="00C22022">
        <w:rPr>
          <w:lang w:val="de-AT"/>
        </w:rPr>
        <w:t>, t. I, Graz – Wien – Köln 1982.</w:t>
      </w:r>
    </w:p>
    <w:p w14:paraId="4BC6606F" w14:textId="77777777" w:rsidR="00DD6C7F" w:rsidRPr="00C22022" w:rsidRDefault="00DD6C7F" w:rsidP="00DD6C7F">
      <w:pPr>
        <w:pStyle w:val="NormalWeb"/>
        <w:spacing w:before="0" w:beforeAutospacing="0" w:after="0" w:afterAutospacing="0"/>
        <w:ind w:left="1134" w:hanging="1134"/>
        <w:jc w:val="both"/>
        <w:rPr>
          <w:lang w:val="de-AT"/>
        </w:rPr>
      </w:pPr>
      <w:r w:rsidRPr="00C22022">
        <w:rPr>
          <w:lang w:val="de-AT"/>
        </w:rPr>
        <w:t>Thomas von Aquin,</w:t>
      </w:r>
      <w:r w:rsidRPr="00C22022">
        <w:rPr>
          <w:bCs/>
          <w:i/>
          <w:iCs/>
          <w:lang w:val="de-AT"/>
        </w:rPr>
        <w:t xml:space="preserve"> Proemium zur Prima pars</w:t>
      </w:r>
      <w:r w:rsidRPr="00C22022">
        <w:rPr>
          <w:bCs/>
          <w:lang w:val="de-AT"/>
        </w:rPr>
        <w:t>.</w:t>
      </w:r>
      <w:r w:rsidRPr="00C22022">
        <w:rPr>
          <w:lang w:val="de-AT"/>
        </w:rPr>
        <w:t xml:space="preserve"> w: </w:t>
      </w:r>
      <w:r w:rsidRPr="00C22022">
        <w:rPr>
          <w:i/>
          <w:iCs/>
          <w:lang w:val="de-AT"/>
        </w:rPr>
        <w:t>Gottes Dasein und Wesen</w:t>
      </w:r>
      <w:r w:rsidRPr="00C22022">
        <w:rPr>
          <w:lang w:val="de-AT"/>
        </w:rPr>
        <w:t>, t. I, Graz – Wien – Köln 1982.</w:t>
      </w:r>
    </w:p>
    <w:p w14:paraId="146E65AF" w14:textId="77777777" w:rsidR="00DD6C7F" w:rsidRPr="00DD6C7F" w:rsidRDefault="00DD6C7F" w:rsidP="00DD6C7F">
      <w:pPr>
        <w:pStyle w:val="FootnoteText"/>
        <w:ind w:left="1134" w:hanging="1134"/>
        <w:jc w:val="both"/>
        <w:rPr>
          <w:rFonts w:ascii="Times New Roman" w:hAnsi="Times New Roman" w:cs="Times New Roman"/>
          <w:sz w:val="24"/>
          <w:szCs w:val="24"/>
          <w:lang w:val="de-AT"/>
        </w:rPr>
      </w:pPr>
      <w:r w:rsidRPr="00DD6C7F">
        <w:rPr>
          <w:rFonts w:ascii="Times New Roman" w:hAnsi="Times New Roman" w:cs="Times New Roman"/>
          <w:sz w:val="24"/>
          <w:szCs w:val="24"/>
          <w:lang w:val="de-AT"/>
        </w:rPr>
        <w:t xml:space="preserve">Thomas von Aquin, </w:t>
      </w:r>
      <w:r w:rsidRPr="00DD6C7F">
        <w:rPr>
          <w:rFonts w:ascii="Times New Roman" w:hAnsi="Times New Roman" w:cs="Times New Roman"/>
          <w:i/>
          <w:sz w:val="24"/>
          <w:szCs w:val="24"/>
          <w:lang w:val="de-AT"/>
        </w:rPr>
        <w:t>Quaestio quodlibetalis</w:t>
      </w:r>
      <w:r w:rsidRPr="00DD6C7F">
        <w:rPr>
          <w:rFonts w:ascii="Times New Roman" w:hAnsi="Times New Roman" w:cs="Times New Roman"/>
          <w:sz w:val="24"/>
          <w:szCs w:val="24"/>
          <w:lang w:val="de-AT"/>
        </w:rPr>
        <w:t xml:space="preserve"> VII, w: </w:t>
      </w:r>
      <w:r w:rsidRPr="00DD6C7F">
        <w:rPr>
          <w:rFonts w:ascii="Times New Roman" w:hAnsi="Times New Roman" w:cs="Times New Roman"/>
          <w:i/>
          <w:iCs/>
          <w:sz w:val="24"/>
          <w:szCs w:val="24"/>
          <w:lang w:val="de-AT"/>
        </w:rPr>
        <w:t xml:space="preserve">Sancti Thomae de Aquino Opera Omnia </w:t>
      </w:r>
      <w:r w:rsidRPr="00DD6C7F">
        <w:rPr>
          <w:rFonts w:ascii="Times New Roman" w:hAnsi="Times New Roman" w:cs="Times New Roman"/>
          <w:sz w:val="24"/>
          <w:szCs w:val="24"/>
          <w:lang w:val="de-AT"/>
        </w:rPr>
        <w:t xml:space="preserve">(Edi tio Leonina), Bd. 25, Rom – Paris 1996, s. 27–32. </w:t>
      </w:r>
    </w:p>
    <w:p w14:paraId="6A3F9881" w14:textId="77777777" w:rsidR="00DD6C7F" w:rsidRPr="00DD6C7F" w:rsidRDefault="00DD6C7F" w:rsidP="00DD6C7F">
      <w:pPr>
        <w:pStyle w:val="FootnoteText"/>
        <w:ind w:left="1134" w:hanging="1134"/>
        <w:jc w:val="both"/>
        <w:rPr>
          <w:rFonts w:ascii="Times New Roman" w:hAnsi="Times New Roman" w:cs="Times New Roman"/>
          <w:sz w:val="24"/>
          <w:szCs w:val="24"/>
          <w:lang w:val="de-AT"/>
        </w:rPr>
      </w:pPr>
      <w:r w:rsidRPr="00DD6C7F">
        <w:rPr>
          <w:rFonts w:ascii="Times New Roman" w:hAnsi="Times New Roman" w:cs="Times New Roman"/>
          <w:sz w:val="24"/>
          <w:szCs w:val="24"/>
          <w:lang w:val="de-AT"/>
        </w:rPr>
        <w:t xml:space="preserve">Thomas von Aquin, </w:t>
      </w:r>
      <w:r w:rsidRPr="00DD6C7F">
        <w:rPr>
          <w:rStyle w:val="Emphasis"/>
          <w:rFonts w:ascii="Times New Roman" w:hAnsi="Times New Roman" w:cs="Times New Roman"/>
          <w:sz w:val="24"/>
          <w:szCs w:val="24"/>
          <w:lang w:val="de-AT"/>
        </w:rPr>
        <w:t>Summa contra Gentiles</w:t>
      </w:r>
      <w:r w:rsidRPr="00DD6C7F">
        <w:rPr>
          <w:rFonts w:ascii="Times New Roman" w:hAnsi="Times New Roman" w:cs="Times New Roman"/>
          <w:sz w:val="24"/>
          <w:szCs w:val="24"/>
          <w:lang w:val="de-AT"/>
        </w:rPr>
        <w:t>, wyd. i tłum. K. Albert, P. Engelhardt, Darmstadt 1994.</w:t>
      </w:r>
    </w:p>
    <w:p w14:paraId="24CA73F7" w14:textId="77777777" w:rsidR="00DD6C7F" w:rsidRPr="00DD6C7F" w:rsidRDefault="00DD6C7F" w:rsidP="00DD6C7F">
      <w:pPr>
        <w:pStyle w:val="NormalWeb"/>
        <w:spacing w:before="0" w:beforeAutospacing="0" w:after="0" w:afterAutospacing="0"/>
        <w:ind w:left="1134" w:hanging="1134"/>
        <w:jc w:val="both"/>
        <w:rPr>
          <w:bCs/>
          <w:lang w:val="de-AT"/>
        </w:rPr>
      </w:pPr>
      <w:r w:rsidRPr="00DD6C7F">
        <w:rPr>
          <w:lang w:val="de-AT"/>
        </w:rPr>
        <w:t>Thomas von Aquin,</w:t>
      </w:r>
      <w:r w:rsidRPr="00DD6C7F">
        <w:rPr>
          <w:rStyle w:val="FootnoteReference"/>
          <w:lang w:val="de-AT"/>
        </w:rPr>
        <w:t xml:space="preserve"> </w:t>
      </w:r>
      <w:r w:rsidRPr="00DD6C7F">
        <w:rPr>
          <w:bCs/>
          <w:i/>
          <w:iCs/>
          <w:lang w:val="de-AT"/>
        </w:rPr>
        <w:t>Summa theologiae</w:t>
      </w:r>
      <w:r w:rsidRPr="00DD6C7F">
        <w:rPr>
          <w:bCs/>
          <w:lang w:val="de-AT"/>
        </w:rPr>
        <w:t xml:space="preserve">, </w:t>
      </w:r>
      <w:r w:rsidRPr="00DD6C7F">
        <w:rPr>
          <w:lang w:val="de-AT"/>
        </w:rPr>
        <w:t xml:space="preserve">Darmstadt </w:t>
      </w:r>
      <w:r w:rsidRPr="00DD6C7F">
        <w:rPr>
          <w:bCs/>
          <w:lang w:val="de-AT"/>
        </w:rPr>
        <w:t>1982.</w:t>
      </w:r>
    </w:p>
    <w:p w14:paraId="05CFA22D" w14:textId="77777777" w:rsidR="00DD6C7F" w:rsidRDefault="00DD6C7F" w:rsidP="00DD6C7F">
      <w:pPr>
        <w:pStyle w:val="NormalWeb"/>
        <w:spacing w:before="0" w:beforeAutospacing="0" w:after="0" w:afterAutospacing="0"/>
        <w:ind w:left="1134" w:hanging="1134"/>
        <w:jc w:val="both"/>
        <w:rPr>
          <w:lang w:val="en-US"/>
        </w:rPr>
      </w:pPr>
      <w:r w:rsidRPr="00C22022">
        <w:rPr>
          <w:lang w:val="en-US"/>
        </w:rPr>
        <w:t xml:space="preserve">Thomas von Aquin, </w:t>
      </w:r>
      <w:r w:rsidRPr="00C22022">
        <w:rPr>
          <w:i/>
          <w:lang w:val="en-US"/>
        </w:rPr>
        <w:t>Super evangelium S. Matthaei lectura</w:t>
      </w:r>
      <w:r w:rsidRPr="00C22022">
        <w:rPr>
          <w:lang w:val="en-US"/>
        </w:rPr>
        <w:t>, Turin – Rom (Marietti) 1951</w:t>
      </w:r>
      <w:r>
        <w:rPr>
          <w:lang w:val="en-US"/>
        </w:rPr>
        <w:t>.</w:t>
      </w:r>
    </w:p>
    <w:p w14:paraId="098D4ADA" w14:textId="77777777" w:rsidR="00DD6C7F" w:rsidRDefault="00DD6C7F" w:rsidP="00DD6C7F">
      <w:pPr>
        <w:pStyle w:val="FootnoteText"/>
        <w:ind w:left="1134" w:hanging="1134"/>
        <w:jc w:val="both"/>
        <w:rPr>
          <w:rFonts w:ascii="Times New Roman" w:hAnsi="Times New Roman" w:cs="Times New Roman"/>
          <w:sz w:val="24"/>
          <w:szCs w:val="24"/>
          <w:lang w:val="en-US"/>
        </w:rPr>
      </w:pPr>
      <w:r w:rsidRPr="00DD6C7F">
        <w:rPr>
          <w:rFonts w:ascii="Times New Roman" w:hAnsi="Times New Roman" w:cs="Times New Roman"/>
          <w:sz w:val="24"/>
          <w:szCs w:val="24"/>
          <w:lang w:val="en-US"/>
        </w:rPr>
        <w:t>Toom</w:t>
      </w:r>
      <w:r>
        <w:rPr>
          <w:rFonts w:ascii="Times New Roman" w:hAnsi="Times New Roman" w:cs="Times New Roman"/>
          <w:sz w:val="24"/>
          <w:szCs w:val="24"/>
          <w:lang w:val="en-US"/>
        </w:rPr>
        <w:t xml:space="preserve"> </w:t>
      </w:r>
      <w:r w:rsidRPr="00DD6C7F">
        <w:rPr>
          <w:rFonts w:ascii="Times New Roman" w:hAnsi="Times New Roman" w:cs="Times New Roman"/>
          <w:sz w:val="24"/>
          <w:szCs w:val="24"/>
          <w:lang w:val="en-US"/>
        </w:rPr>
        <w:t>T.</w:t>
      </w:r>
      <w:r>
        <w:rPr>
          <w:rFonts w:ascii="Times New Roman" w:hAnsi="Times New Roman" w:cs="Times New Roman"/>
          <w:sz w:val="24"/>
          <w:szCs w:val="24"/>
          <w:lang w:val="en-US"/>
        </w:rPr>
        <w:t>,</w:t>
      </w:r>
      <w:r w:rsidRPr="00DD6C7F">
        <w:rPr>
          <w:sz w:val="24"/>
          <w:szCs w:val="24"/>
          <w:lang w:val="en-US"/>
        </w:rPr>
        <w:t xml:space="preserve"> </w:t>
      </w:r>
      <w:r w:rsidRPr="00DD6C7F">
        <w:rPr>
          <w:rFonts w:ascii="Times New Roman" w:hAnsi="Times New Roman" w:cs="Times New Roman"/>
          <w:i/>
          <w:iCs/>
          <w:sz w:val="24"/>
          <w:szCs w:val="24"/>
          <w:lang w:val="en-US"/>
        </w:rPr>
        <w:t>Patristic Theories of Biblical Interpretation. The Latin Fathers</w:t>
      </w:r>
      <w:r w:rsidRPr="00DD6C7F">
        <w:rPr>
          <w:sz w:val="24"/>
          <w:szCs w:val="24"/>
          <w:lang w:val="en-US"/>
        </w:rPr>
        <w:t xml:space="preserve">, </w:t>
      </w:r>
      <w:r w:rsidRPr="00DD6C7F">
        <w:rPr>
          <w:rFonts w:ascii="Times New Roman" w:hAnsi="Times New Roman" w:cs="Times New Roman"/>
          <w:sz w:val="24"/>
          <w:szCs w:val="24"/>
          <w:lang w:val="en-US"/>
        </w:rPr>
        <w:t>Cambridge 2016.</w:t>
      </w:r>
    </w:p>
    <w:p w14:paraId="0C7D5102" w14:textId="77777777" w:rsidR="00DD6C7F" w:rsidRDefault="00DD6C7F" w:rsidP="00DD6C7F">
      <w:pPr>
        <w:pStyle w:val="NormalWeb"/>
        <w:spacing w:before="0" w:beforeAutospacing="0" w:after="0" w:afterAutospacing="0"/>
        <w:ind w:left="1134" w:hanging="1134"/>
        <w:jc w:val="both"/>
        <w:rPr>
          <w:lang w:val="en-US"/>
        </w:rPr>
      </w:pPr>
      <w:r w:rsidRPr="00DD6C7F">
        <w:rPr>
          <w:lang w:val="en-US"/>
        </w:rPr>
        <w:t xml:space="preserve">Torrell J.P., </w:t>
      </w:r>
      <w:r w:rsidRPr="00DD6C7F">
        <w:rPr>
          <w:i/>
          <w:iCs/>
          <w:lang w:val="en-US"/>
        </w:rPr>
        <w:t xml:space="preserve">Aquinas’s Summa. </w:t>
      </w:r>
      <w:r w:rsidRPr="00C22022">
        <w:rPr>
          <w:i/>
          <w:iCs/>
          <w:lang w:val="en-US"/>
        </w:rPr>
        <w:t>Background, Structure and Reception</w:t>
      </w:r>
      <w:r>
        <w:rPr>
          <w:lang w:val="en-US"/>
        </w:rPr>
        <w:t>, Washington 2005.</w:t>
      </w:r>
    </w:p>
    <w:p w14:paraId="3E997BF7" w14:textId="77777777" w:rsidR="00DD6C7F" w:rsidRDefault="00DD6C7F" w:rsidP="00DD6C7F">
      <w:pPr>
        <w:pStyle w:val="FootnoteText"/>
        <w:ind w:left="1134" w:hanging="1134"/>
        <w:jc w:val="both"/>
        <w:rPr>
          <w:rFonts w:ascii="Times New Roman" w:hAnsi="Times New Roman" w:cs="Times New Roman"/>
          <w:sz w:val="24"/>
          <w:szCs w:val="24"/>
          <w:lang w:val="en-US"/>
        </w:rPr>
      </w:pPr>
      <w:r w:rsidRPr="00C22022">
        <w:rPr>
          <w:rFonts w:ascii="Times New Roman" w:hAnsi="Times New Roman" w:cs="Times New Roman"/>
          <w:sz w:val="24"/>
          <w:szCs w:val="24"/>
          <w:lang w:val="en-US"/>
        </w:rPr>
        <w:t>Weinandy</w:t>
      </w:r>
      <w:r>
        <w:rPr>
          <w:rFonts w:ascii="Times New Roman" w:hAnsi="Times New Roman" w:cs="Times New Roman"/>
          <w:sz w:val="24"/>
          <w:szCs w:val="24"/>
          <w:lang w:val="en-US"/>
        </w:rPr>
        <w:t xml:space="preserve"> </w:t>
      </w:r>
      <w:r w:rsidRPr="00C22022">
        <w:rPr>
          <w:rFonts w:ascii="Times New Roman" w:hAnsi="Times New Roman" w:cs="Times New Roman"/>
          <w:sz w:val="24"/>
          <w:szCs w:val="24"/>
          <w:lang w:val="en-US"/>
        </w:rPr>
        <w:t>T., Keating</w:t>
      </w:r>
      <w:r>
        <w:rPr>
          <w:rFonts w:ascii="Times New Roman" w:hAnsi="Times New Roman" w:cs="Times New Roman"/>
          <w:sz w:val="24"/>
          <w:szCs w:val="24"/>
          <w:lang w:val="en-US"/>
        </w:rPr>
        <w:t xml:space="preserve"> </w:t>
      </w:r>
      <w:r w:rsidRPr="00C22022">
        <w:rPr>
          <w:rFonts w:ascii="Times New Roman" w:hAnsi="Times New Roman" w:cs="Times New Roman"/>
          <w:sz w:val="24"/>
          <w:szCs w:val="24"/>
          <w:lang w:val="en-US"/>
        </w:rPr>
        <w:t xml:space="preserve">D., Yocum J. (red.), </w:t>
      </w:r>
      <w:r w:rsidRPr="00C22022">
        <w:rPr>
          <w:rStyle w:val="Emphasis"/>
          <w:rFonts w:ascii="Times New Roman" w:hAnsi="Times New Roman" w:cs="Times New Roman"/>
          <w:sz w:val="24"/>
          <w:szCs w:val="24"/>
          <w:lang w:val="en-US"/>
        </w:rPr>
        <w:t>Aquinas on Scripture. An Introduction to his Biblical Commentaries</w:t>
      </w:r>
      <w:r w:rsidRPr="00C22022">
        <w:rPr>
          <w:rFonts w:ascii="Times New Roman" w:hAnsi="Times New Roman" w:cs="Times New Roman"/>
          <w:sz w:val="24"/>
          <w:szCs w:val="24"/>
          <w:lang w:val="en-US"/>
        </w:rPr>
        <w:t xml:space="preserve">, London – New York 2005. </w:t>
      </w:r>
    </w:p>
    <w:p w14:paraId="21357C16" w14:textId="77777777" w:rsidR="00C22022" w:rsidRPr="00791DFB" w:rsidRDefault="00C22022" w:rsidP="00C22022">
      <w:pPr>
        <w:spacing w:after="0" w:line="240" w:lineRule="auto"/>
        <w:jc w:val="both"/>
        <w:rPr>
          <w:rFonts w:ascii="Times New Roman" w:hAnsi="Times New Roman" w:cs="Times New Roman"/>
          <w:sz w:val="24"/>
          <w:szCs w:val="24"/>
          <w:lang w:val="en-US"/>
        </w:rPr>
      </w:pPr>
    </w:p>
    <w:sectPr w:rsidR="00C22022" w:rsidRPr="00791DFB" w:rsidSect="00F860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078C" w14:textId="77777777" w:rsidR="0087657E" w:rsidRDefault="0087657E" w:rsidP="006456CF">
      <w:pPr>
        <w:spacing w:after="0" w:line="240" w:lineRule="auto"/>
      </w:pPr>
      <w:r>
        <w:separator/>
      </w:r>
    </w:p>
  </w:endnote>
  <w:endnote w:type="continuationSeparator" w:id="0">
    <w:p w14:paraId="29CC65D5" w14:textId="77777777" w:rsidR="0087657E" w:rsidRDefault="0087657E" w:rsidP="0064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BAEC" w14:textId="77777777" w:rsidR="0087657E" w:rsidRDefault="0087657E" w:rsidP="006456CF">
      <w:pPr>
        <w:spacing w:after="0" w:line="240" w:lineRule="auto"/>
      </w:pPr>
      <w:r>
        <w:separator/>
      </w:r>
    </w:p>
  </w:footnote>
  <w:footnote w:type="continuationSeparator" w:id="0">
    <w:p w14:paraId="70167145" w14:textId="77777777" w:rsidR="0087657E" w:rsidRDefault="0087657E" w:rsidP="006456CF">
      <w:pPr>
        <w:spacing w:after="0" w:line="240" w:lineRule="auto"/>
      </w:pPr>
      <w:r>
        <w:continuationSeparator/>
      </w:r>
    </w:p>
  </w:footnote>
  <w:footnote w:id="1">
    <w:p w14:paraId="07F8F8A8" w14:textId="77777777" w:rsidR="006456CF" w:rsidRPr="00C35FEC" w:rsidRDefault="006456CF" w:rsidP="00EA536D">
      <w:pPr>
        <w:pStyle w:val="NormalWeb"/>
        <w:spacing w:before="0" w:beforeAutospacing="0" w:after="0" w:afterAutospacing="0"/>
        <w:jc w:val="both"/>
        <w:rPr>
          <w:sz w:val="20"/>
          <w:szCs w:val="20"/>
        </w:rPr>
      </w:pPr>
      <w:r w:rsidRPr="00C35FEC">
        <w:rPr>
          <w:rStyle w:val="FootnoteReference"/>
          <w:sz w:val="20"/>
          <w:szCs w:val="20"/>
        </w:rPr>
        <w:footnoteRef/>
      </w:r>
      <w:r w:rsidRPr="00C35FEC">
        <w:rPr>
          <w:sz w:val="20"/>
          <w:szCs w:val="20"/>
        </w:rPr>
        <w:t xml:space="preserve"> </w:t>
      </w:r>
      <w:r w:rsidR="001E498E" w:rsidRPr="00C22022">
        <w:rPr>
          <w:bCs/>
          <w:i/>
          <w:iCs/>
          <w:sz w:val="20"/>
          <w:szCs w:val="20"/>
        </w:rPr>
        <w:t>Summa theologiae: Proemium zur Prima pars</w:t>
      </w:r>
      <w:r w:rsidR="001E498E" w:rsidRPr="00C35FEC">
        <w:rPr>
          <w:bCs/>
          <w:sz w:val="20"/>
          <w:szCs w:val="20"/>
        </w:rPr>
        <w:t>.</w:t>
      </w:r>
      <w:r w:rsidR="001E498E" w:rsidRPr="00C35FEC">
        <w:rPr>
          <w:sz w:val="20"/>
          <w:szCs w:val="20"/>
        </w:rPr>
        <w:t xml:space="preserve"> w: Thomas von Aquin, </w:t>
      </w:r>
      <w:r w:rsidR="001E498E" w:rsidRPr="00C35FEC">
        <w:rPr>
          <w:i/>
          <w:iCs/>
          <w:sz w:val="20"/>
          <w:szCs w:val="20"/>
        </w:rPr>
        <w:t>Gottes Dasein und Wesen</w:t>
      </w:r>
      <w:r w:rsidR="001E498E" w:rsidRPr="00C35FEC">
        <w:rPr>
          <w:sz w:val="20"/>
          <w:szCs w:val="20"/>
        </w:rPr>
        <w:t xml:space="preserve"> (DThA, tom 1), Graz – Wien – Köln 1982, Salzburg 1934, s. 1 i nast. – Na temat dzieła zob. </w:t>
      </w:r>
      <w:r w:rsidR="00C22022">
        <w:rPr>
          <w:sz w:val="20"/>
          <w:szCs w:val="20"/>
          <w:lang w:val="en-US"/>
        </w:rPr>
        <w:t>J.P.</w:t>
      </w:r>
      <w:r w:rsidR="001E498E" w:rsidRPr="00C35FEC">
        <w:rPr>
          <w:sz w:val="20"/>
          <w:szCs w:val="20"/>
          <w:lang w:val="en-US"/>
        </w:rPr>
        <w:t xml:space="preserve"> Torrell, </w:t>
      </w:r>
      <w:r w:rsidR="001E498E" w:rsidRPr="00C35FEC">
        <w:rPr>
          <w:i/>
          <w:iCs/>
          <w:sz w:val="20"/>
          <w:szCs w:val="20"/>
          <w:lang w:val="en-US"/>
        </w:rPr>
        <w:t>Aquinas’s Summa. Background, Structure and Reception</w:t>
      </w:r>
      <w:r w:rsidR="00C22022">
        <w:rPr>
          <w:sz w:val="20"/>
          <w:szCs w:val="20"/>
          <w:lang w:val="en-US"/>
        </w:rPr>
        <w:t>, Washington 2005; B.</w:t>
      </w:r>
      <w:r w:rsidR="001E498E" w:rsidRPr="00C35FEC">
        <w:rPr>
          <w:sz w:val="20"/>
          <w:szCs w:val="20"/>
          <w:lang w:val="en-US"/>
        </w:rPr>
        <w:t xml:space="preserve"> McGinn, </w:t>
      </w:r>
      <w:r w:rsidR="001E498E" w:rsidRPr="00C35FEC">
        <w:rPr>
          <w:i/>
          <w:iCs/>
          <w:sz w:val="20"/>
          <w:szCs w:val="20"/>
          <w:lang w:val="en-US"/>
        </w:rPr>
        <w:t xml:space="preserve">Thomas Aquinas’s Summa theologiae. </w:t>
      </w:r>
      <w:r w:rsidR="001E498E" w:rsidRPr="00C35FEC">
        <w:rPr>
          <w:i/>
          <w:iCs/>
          <w:sz w:val="20"/>
          <w:szCs w:val="20"/>
        </w:rPr>
        <w:t>A Biography</w:t>
      </w:r>
      <w:r w:rsidR="001E498E" w:rsidRPr="00C35FEC">
        <w:rPr>
          <w:sz w:val="20"/>
          <w:szCs w:val="20"/>
        </w:rPr>
        <w:t>, Princeton – Oxford 2014.</w:t>
      </w:r>
    </w:p>
  </w:footnote>
  <w:footnote w:id="2">
    <w:p w14:paraId="756800E5" w14:textId="77777777" w:rsidR="00DE44A4" w:rsidRPr="00C35FEC" w:rsidRDefault="00DE44A4" w:rsidP="00205A50">
      <w:pPr>
        <w:pStyle w:val="FootnoteText"/>
        <w:jc w:val="both"/>
        <w:rPr>
          <w:rFonts w:ascii="Times New Roman" w:hAnsi="Times New Roman" w:cs="Times New Roman"/>
          <w:lang w:val="en-US"/>
        </w:rPr>
      </w:pPr>
      <w:r w:rsidRPr="00C35FEC">
        <w:rPr>
          <w:rStyle w:val="FootnoteReference"/>
          <w:rFonts w:ascii="Times New Roman" w:hAnsi="Times New Roman" w:cs="Times New Roman"/>
        </w:rPr>
        <w:footnoteRef/>
      </w:r>
      <w:r w:rsidRPr="00C35FEC">
        <w:rPr>
          <w:rFonts w:ascii="Times New Roman" w:hAnsi="Times New Roman" w:cs="Times New Roman"/>
        </w:rPr>
        <w:t xml:space="preserve"> </w:t>
      </w:r>
      <w:r w:rsidR="00205A50" w:rsidRPr="00C35FEC">
        <w:rPr>
          <w:rFonts w:ascii="Times New Roman" w:hAnsi="Times New Roman" w:cs="Times New Roman"/>
        </w:rPr>
        <w:t>Przegląd dotyczący interp</w:t>
      </w:r>
      <w:r w:rsidR="00C35FEC" w:rsidRPr="00C35FEC">
        <w:rPr>
          <w:rFonts w:ascii="Times New Roman" w:hAnsi="Times New Roman" w:cs="Times New Roman"/>
        </w:rPr>
        <w:t xml:space="preserve">retacji </w:t>
      </w:r>
      <w:r w:rsidR="00C35FEC" w:rsidRPr="00C22022">
        <w:rPr>
          <w:rFonts w:ascii="Times New Roman" w:hAnsi="Times New Roman" w:cs="Times New Roman"/>
          <w:i/>
          <w:iCs/>
        </w:rPr>
        <w:t>Pisma Świętego</w:t>
      </w:r>
      <w:r w:rsidR="00C35FEC" w:rsidRPr="00C35FEC">
        <w:rPr>
          <w:rFonts w:ascii="Times New Roman" w:hAnsi="Times New Roman" w:cs="Times New Roman"/>
        </w:rPr>
        <w:t xml:space="preserve"> według T</w:t>
      </w:r>
      <w:r w:rsidR="00205A50" w:rsidRPr="00C35FEC">
        <w:rPr>
          <w:rFonts w:ascii="Times New Roman" w:hAnsi="Times New Roman" w:cs="Times New Roman"/>
        </w:rPr>
        <w:t>omas</w:t>
      </w:r>
      <w:r w:rsidR="00C35FEC" w:rsidRPr="00C35FEC">
        <w:rPr>
          <w:rFonts w:ascii="Times New Roman" w:hAnsi="Times New Roman" w:cs="Times New Roman"/>
        </w:rPr>
        <w:t>z</w:t>
      </w:r>
      <w:r w:rsidR="00205A50" w:rsidRPr="00C35FEC">
        <w:rPr>
          <w:rFonts w:ascii="Times New Roman" w:hAnsi="Times New Roman" w:cs="Times New Roman"/>
        </w:rPr>
        <w:t xml:space="preserve">a z Akwinu: </w:t>
      </w:r>
      <w:r w:rsidR="00205A50" w:rsidRPr="00C35FEC">
        <w:rPr>
          <w:rStyle w:val="Emphasis"/>
          <w:rFonts w:ascii="Times New Roman" w:hAnsi="Times New Roman" w:cs="Times New Roman"/>
        </w:rPr>
        <w:t>Thomas Handbuch</w:t>
      </w:r>
      <w:r w:rsidR="00205A50" w:rsidRPr="00C35FEC">
        <w:rPr>
          <w:rFonts w:ascii="Times New Roman" w:hAnsi="Times New Roman" w:cs="Times New Roman"/>
        </w:rPr>
        <w:t xml:space="preserve">, red. </w:t>
      </w:r>
      <w:r w:rsidR="00C22022">
        <w:rPr>
          <w:rFonts w:ascii="Times New Roman" w:hAnsi="Times New Roman" w:cs="Times New Roman"/>
          <w:lang w:val="en-US"/>
        </w:rPr>
        <w:t>V.</w:t>
      </w:r>
      <w:r w:rsidR="00205A50" w:rsidRPr="00C35FEC">
        <w:rPr>
          <w:rFonts w:ascii="Times New Roman" w:hAnsi="Times New Roman" w:cs="Times New Roman"/>
          <w:lang w:val="en-US"/>
        </w:rPr>
        <w:t xml:space="preserve"> Leppin, T</w:t>
      </w:r>
      <w:r w:rsidR="00C22022">
        <w:rPr>
          <w:rFonts w:ascii="Times New Roman" w:hAnsi="Times New Roman" w:cs="Times New Roman"/>
          <w:lang w:val="en-US"/>
        </w:rPr>
        <w:t>übingen 2016, s. 199–211; T. Weinandy, D. Keating, J.</w:t>
      </w:r>
      <w:r w:rsidR="00205A50" w:rsidRPr="00C35FEC">
        <w:rPr>
          <w:rFonts w:ascii="Times New Roman" w:hAnsi="Times New Roman" w:cs="Times New Roman"/>
          <w:lang w:val="en-US"/>
        </w:rPr>
        <w:t xml:space="preserve"> Yocum (red.), </w:t>
      </w:r>
      <w:r w:rsidR="00205A50" w:rsidRPr="00C35FEC">
        <w:rPr>
          <w:rStyle w:val="Emphasis"/>
          <w:rFonts w:ascii="Times New Roman" w:hAnsi="Times New Roman" w:cs="Times New Roman"/>
          <w:lang w:val="en-US"/>
        </w:rPr>
        <w:t>Aquinas on Scripture. An Introduction to his Biblical Commentaries</w:t>
      </w:r>
      <w:r w:rsidR="00C22022">
        <w:rPr>
          <w:rFonts w:ascii="Times New Roman" w:hAnsi="Times New Roman" w:cs="Times New Roman"/>
          <w:lang w:val="en-US"/>
        </w:rPr>
        <w:t>, London – New York 2005. T.</w:t>
      </w:r>
      <w:r w:rsidR="00205A50" w:rsidRPr="00C35FEC">
        <w:rPr>
          <w:rFonts w:ascii="Times New Roman" w:hAnsi="Times New Roman" w:cs="Times New Roman"/>
          <w:lang w:val="en-US"/>
        </w:rPr>
        <w:t xml:space="preserve"> Prügl, </w:t>
      </w:r>
      <w:r w:rsidR="00205A50" w:rsidRPr="00C35FEC">
        <w:rPr>
          <w:rStyle w:val="Emphasis"/>
          <w:rFonts w:ascii="Times New Roman" w:hAnsi="Times New Roman" w:cs="Times New Roman"/>
          <w:lang w:val="en-US"/>
        </w:rPr>
        <w:t>Thomas Aquinas as a Scriptural Exegete</w:t>
      </w:r>
      <w:r w:rsidR="00C22022">
        <w:rPr>
          <w:rFonts w:ascii="Times New Roman" w:hAnsi="Times New Roman" w:cs="Times New Roman"/>
          <w:lang w:val="en-US"/>
        </w:rPr>
        <w:t>, w: R. van Nieuwenhove, J.</w:t>
      </w:r>
      <w:r w:rsidR="00205A50" w:rsidRPr="00C35FEC">
        <w:rPr>
          <w:rFonts w:ascii="Times New Roman" w:hAnsi="Times New Roman" w:cs="Times New Roman"/>
          <w:lang w:val="en-US"/>
        </w:rPr>
        <w:t xml:space="preserve"> Wawrykow (red.), </w:t>
      </w:r>
      <w:r w:rsidR="00205A50" w:rsidRPr="00C35FEC">
        <w:rPr>
          <w:rStyle w:val="Emphasis"/>
          <w:rFonts w:ascii="Times New Roman" w:hAnsi="Times New Roman" w:cs="Times New Roman"/>
          <w:lang w:val="en-US"/>
        </w:rPr>
        <w:t>The Theology of Thomas Aquinas</w:t>
      </w:r>
      <w:r w:rsidR="00205A50" w:rsidRPr="00C35FEC">
        <w:rPr>
          <w:rFonts w:ascii="Times New Roman" w:hAnsi="Times New Roman" w:cs="Times New Roman"/>
          <w:lang w:val="en-US"/>
        </w:rPr>
        <w:t>, Notre Dame 2005, s. 386–415.</w:t>
      </w:r>
    </w:p>
  </w:footnote>
  <w:footnote w:id="3">
    <w:p w14:paraId="31F7566A" w14:textId="77777777" w:rsidR="00A22468" w:rsidRPr="00C35FEC" w:rsidRDefault="00A22468" w:rsidP="00DA76A9">
      <w:pPr>
        <w:pStyle w:val="NormalWeb"/>
        <w:spacing w:before="0" w:beforeAutospacing="0" w:after="0" w:afterAutospacing="0"/>
        <w:jc w:val="both"/>
        <w:rPr>
          <w:sz w:val="20"/>
          <w:szCs w:val="20"/>
          <w:lang w:val="de-AT"/>
        </w:rPr>
      </w:pPr>
      <w:r w:rsidRPr="00C35FEC">
        <w:rPr>
          <w:rStyle w:val="FootnoteReference"/>
          <w:sz w:val="20"/>
          <w:szCs w:val="20"/>
        </w:rPr>
        <w:footnoteRef/>
      </w:r>
      <w:r w:rsidRPr="00C35FEC">
        <w:rPr>
          <w:sz w:val="20"/>
          <w:szCs w:val="20"/>
          <w:lang w:val="fr-FR"/>
        </w:rPr>
        <w:t xml:space="preserve"> </w:t>
      </w:r>
      <w:r w:rsidR="00C22022">
        <w:rPr>
          <w:sz w:val="20"/>
          <w:szCs w:val="20"/>
          <w:lang w:val="fr-FR"/>
        </w:rPr>
        <w:t>M.</w:t>
      </w:r>
      <w:r w:rsidR="009C03B2" w:rsidRPr="00C35FEC">
        <w:rPr>
          <w:sz w:val="20"/>
          <w:szCs w:val="20"/>
          <w:lang w:val="fr-FR"/>
        </w:rPr>
        <w:t xml:space="preserve"> Estler, </w:t>
      </w:r>
      <w:r w:rsidR="009C03B2" w:rsidRPr="00C35FEC">
        <w:rPr>
          <w:rStyle w:val="Emphasis"/>
          <w:sz w:val="20"/>
          <w:szCs w:val="20"/>
          <w:lang w:val="fr-FR"/>
        </w:rPr>
        <w:t xml:space="preserve">Rigans montes (Ps 104, 13). </w:t>
      </w:r>
      <w:r w:rsidR="009C03B2" w:rsidRPr="00C35FEC">
        <w:rPr>
          <w:rStyle w:val="Emphasis"/>
          <w:sz w:val="20"/>
          <w:szCs w:val="20"/>
          <w:lang w:val="de-AT"/>
        </w:rPr>
        <w:t>Die Antrittsvorlesung des Thomas von Aquin in Paris 1256</w:t>
      </w:r>
      <w:r w:rsidR="009C03B2" w:rsidRPr="00C35FEC">
        <w:rPr>
          <w:sz w:val="20"/>
          <w:szCs w:val="20"/>
          <w:lang w:val="de-AT"/>
        </w:rPr>
        <w:t>, Stuttgart 2015.</w:t>
      </w:r>
    </w:p>
  </w:footnote>
  <w:footnote w:id="4">
    <w:p w14:paraId="78BAF8D8" w14:textId="77777777" w:rsidR="00B56151" w:rsidRPr="00C35FEC" w:rsidRDefault="00B56151" w:rsidP="00C22022">
      <w:pPr>
        <w:pStyle w:val="NormalWeb"/>
        <w:spacing w:before="0" w:beforeAutospacing="0" w:after="0" w:afterAutospacing="0"/>
        <w:jc w:val="both"/>
        <w:rPr>
          <w:sz w:val="20"/>
          <w:szCs w:val="20"/>
        </w:rPr>
      </w:pPr>
      <w:r w:rsidRPr="00C35FEC">
        <w:rPr>
          <w:rStyle w:val="FootnoteReference"/>
          <w:sz w:val="20"/>
          <w:szCs w:val="20"/>
        </w:rPr>
        <w:footnoteRef/>
      </w:r>
      <w:r w:rsidRPr="00C22022">
        <w:rPr>
          <w:sz w:val="20"/>
          <w:szCs w:val="20"/>
        </w:rPr>
        <w:t xml:space="preserve"> </w:t>
      </w:r>
      <w:r w:rsidR="00DA76A9" w:rsidRPr="00C22022">
        <w:rPr>
          <w:rStyle w:val="Emphasis"/>
          <w:sz w:val="20"/>
          <w:szCs w:val="20"/>
        </w:rPr>
        <w:t>Summa theologiae</w:t>
      </w:r>
      <w:r w:rsidR="00DA76A9" w:rsidRPr="00C22022">
        <w:rPr>
          <w:sz w:val="20"/>
          <w:szCs w:val="20"/>
        </w:rPr>
        <w:t xml:space="preserve"> I, q. 1, a. 9 („Czy Pismo Święte może używać języka metaforycznego”), zwłaszcza ad 2 i ad 3: </w:t>
      </w:r>
      <w:r w:rsidR="00C22022" w:rsidRPr="00C22022">
        <w:rPr>
          <w:sz w:val="20"/>
          <w:szCs w:val="20"/>
        </w:rPr>
        <w:t xml:space="preserve">Thomas von Aquin, </w:t>
      </w:r>
      <w:r w:rsidR="00C22022" w:rsidRPr="00C22022">
        <w:rPr>
          <w:i/>
          <w:iCs/>
          <w:sz w:val="20"/>
          <w:szCs w:val="20"/>
        </w:rPr>
        <w:t>Gottes Dasein und Wesen</w:t>
      </w:r>
      <w:r w:rsidR="00C22022" w:rsidRPr="00C22022">
        <w:rPr>
          <w:sz w:val="20"/>
          <w:szCs w:val="20"/>
        </w:rPr>
        <w:t xml:space="preserve"> …, </w:t>
      </w:r>
      <w:r w:rsidR="00C22022">
        <w:rPr>
          <w:sz w:val="20"/>
          <w:szCs w:val="20"/>
        </w:rPr>
        <w:t>, 28n</w:t>
      </w:r>
      <w:r w:rsidR="00DA76A9" w:rsidRPr="00C35FEC">
        <w:rPr>
          <w:sz w:val="20"/>
          <w:szCs w:val="20"/>
        </w:rPr>
        <w:t>.</w:t>
      </w:r>
    </w:p>
  </w:footnote>
  <w:footnote w:id="5">
    <w:p w14:paraId="37E97C97" w14:textId="77777777" w:rsidR="00885E0B" w:rsidRPr="00F70DC1" w:rsidRDefault="00885E0B" w:rsidP="00C22022">
      <w:pPr>
        <w:pStyle w:val="FootnoteText"/>
        <w:jc w:val="both"/>
        <w:rPr>
          <w:rFonts w:ascii="Times New Roman" w:hAnsi="Times New Roman" w:cs="Times New Roman"/>
          <w:lang w:val="en-GB"/>
        </w:rPr>
      </w:pPr>
      <w:r w:rsidRPr="00C35FEC">
        <w:rPr>
          <w:rStyle w:val="FootnoteReference"/>
          <w:rFonts w:ascii="Times New Roman" w:hAnsi="Times New Roman" w:cs="Times New Roman"/>
        </w:rPr>
        <w:footnoteRef/>
      </w:r>
      <w:r w:rsidRPr="00F70DC1">
        <w:rPr>
          <w:rFonts w:ascii="Times New Roman" w:hAnsi="Times New Roman" w:cs="Times New Roman"/>
          <w:lang w:val="en-GB"/>
        </w:rPr>
        <w:t xml:space="preserve"> </w:t>
      </w:r>
      <w:r w:rsidR="00D74D5B" w:rsidRPr="00F70DC1">
        <w:rPr>
          <w:rFonts w:ascii="Times New Roman" w:hAnsi="Times New Roman" w:cs="Times New Roman"/>
          <w:lang w:val="en-GB"/>
        </w:rPr>
        <w:t>Do patryst</w:t>
      </w:r>
      <w:r w:rsidR="00C22022" w:rsidRPr="00F70DC1">
        <w:rPr>
          <w:rFonts w:ascii="Times New Roman" w:hAnsi="Times New Roman" w:cs="Times New Roman"/>
          <w:lang w:val="en-GB"/>
        </w:rPr>
        <w:t>ycznej egzegezy biblijnej: T.</w:t>
      </w:r>
      <w:r w:rsidR="00DD6C7F" w:rsidRPr="00F70DC1">
        <w:rPr>
          <w:rFonts w:ascii="Times New Roman" w:hAnsi="Times New Roman" w:cs="Times New Roman"/>
          <w:lang w:val="en-GB"/>
        </w:rPr>
        <w:t xml:space="preserve"> Toom,</w:t>
      </w:r>
      <w:r w:rsidR="00C22022" w:rsidRPr="00F70DC1">
        <w:rPr>
          <w:lang w:val="en-GB"/>
        </w:rPr>
        <w:t xml:space="preserve"> </w:t>
      </w:r>
      <w:r w:rsidR="00C22022" w:rsidRPr="00F70DC1">
        <w:rPr>
          <w:rFonts w:ascii="Times New Roman" w:hAnsi="Times New Roman" w:cs="Times New Roman"/>
          <w:i/>
          <w:iCs/>
          <w:lang w:val="en-GB"/>
        </w:rPr>
        <w:t>Patristic Theories of Biblical Interpretation. The Latin Fathers</w:t>
      </w:r>
      <w:r w:rsidR="00C22022" w:rsidRPr="00F70DC1">
        <w:rPr>
          <w:lang w:val="en-GB"/>
        </w:rPr>
        <w:t xml:space="preserve">, </w:t>
      </w:r>
      <w:r w:rsidR="00C22022" w:rsidRPr="00F70DC1">
        <w:rPr>
          <w:rFonts w:ascii="Times New Roman" w:hAnsi="Times New Roman" w:cs="Times New Roman"/>
          <w:lang w:val="en-GB"/>
        </w:rPr>
        <w:t>Cambridge 2016; C.</w:t>
      </w:r>
      <w:r w:rsidR="00D74D5B" w:rsidRPr="00F70DC1">
        <w:rPr>
          <w:rFonts w:ascii="Times New Roman" w:hAnsi="Times New Roman" w:cs="Times New Roman"/>
          <w:lang w:val="en-GB"/>
        </w:rPr>
        <w:t xml:space="preserve"> Kannengieser,</w:t>
      </w:r>
      <w:r w:rsidR="00C22022" w:rsidRPr="00F70DC1">
        <w:rPr>
          <w:rFonts w:ascii="Times New Roman" w:hAnsi="Times New Roman" w:cs="Times New Roman"/>
          <w:lang w:val="en-GB"/>
        </w:rPr>
        <w:t xml:space="preserve"> </w:t>
      </w:r>
      <w:r w:rsidR="00C22022" w:rsidRPr="00F70DC1">
        <w:rPr>
          <w:rFonts w:ascii="Times New Roman" w:hAnsi="Times New Roman" w:cs="Times New Roman"/>
          <w:i/>
          <w:iCs/>
          <w:lang w:val="en-GB"/>
        </w:rPr>
        <w:t>Handbook of Patristic Exegesis</w:t>
      </w:r>
      <w:r w:rsidR="00C22022" w:rsidRPr="00F70DC1">
        <w:rPr>
          <w:rFonts w:ascii="Times New Roman" w:hAnsi="Times New Roman" w:cs="Times New Roman"/>
          <w:lang w:val="en-GB"/>
        </w:rPr>
        <w:t>, dwa tomy, Leiden 2004; G.</w:t>
      </w:r>
      <w:r w:rsidR="00D74D5B" w:rsidRPr="00F70DC1">
        <w:rPr>
          <w:rFonts w:ascii="Times New Roman" w:hAnsi="Times New Roman" w:cs="Times New Roman"/>
          <w:lang w:val="en-GB"/>
        </w:rPr>
        <w:t xml:space="preserve"> Dahan, </w:t>
      </w:r>
      <w:r w:rsidR="00D74D5B" w:rsidRPr="00F70DC1">
        <w:rPr>
          <w:rFonts w:ascii="Times New Roman" w:hAnsi="Times New Roman" w:cs="Times New Roman"/>
          <w:i/>
          <w:lang w:val="en-GB"/>
        </w:rPr>
        <w:t>Les Pères dans l’exégèse médiévale de la Bible</w:t>
      </w:r>
      <w:r w:rsidR="00D74D5B" w:rsidRPr="00F70DC1">
        <w:rPr>
          <w:rFonts w:ascii="Times New Roman" w:hAnsi="Times New Roman" w:cs="Times New Roman"/>
          <w:lang w:val="en-GB"/>
        </w:rPr>
        <w:t xml:space="preserve"> w: </w:t>
      </w:r>
      <w:r w:rsidR="00D74D5B" w:rsidRPr="00F70DC1">
        <w:rPr>
          <w:rFonts w:ascii="Times New Roman" w:hAnsi="Times New Roman" w:cs="Times New Roman"/>
          <w:i/>
          <w:lang w:val="en-GB"/>
        </w:rPr>
        <w:t>Revue des sciences philosophiques et théologiques</w:t>
      </w:r>
      <w:r w:rsidR="00D74D5B" w:rsidRPr="00F70DC1">
        <w:rPr>
          <w:rFonts w:ascii="Times New Roman" w:hAnsi="Times New Roman" w:cs="Times New Roman"/>
          <w:lang w:val="en-GB"/>
        </w:rPr>
        <w:t xml:space="preserve"> 91 (2007)</w:t>
      </w:r>
      <w:r w:rsidR="00C22022" w:rsidRPr="00F70DC1">
        <w:rPr>
          <w:rFonts w:ascii="Times New Roman" w:hAnsi="Times New Roman" w:cs="Times New Roman"/>
          <w:lang w:val="en-GB"/>
        </w:rPr>
        <w:t>, s.</w:t>
      </w:r>
      <w:r w:rsidR="00D74D5B" w:rsidRPr="00F70DC1">
        <w:rPr>
          <w:rFonts w:ascii="Times New Roman" w:hAnsi="Times New Roman" w:cs="Times New Roman"/>
          <w:lang w:val="en-GB"/>
        </w:rPr>
        <w:t xml:space="preserve"> 109–127.</w:t>
      </w:r>
    </w:p>
  </w:footnote>
  <w:footnote w:id="6">
    <w:p w14:paraId="135D8C18" w14:textId="77777777" w:rsidR="005651F6" w:rsidRPr="00791DFB" w:rsidRDefault="005651F6" w:rsidP="00C22022">
      <w:pPr>
        <w:pStyle w:val="FootnoteText"/>
        <w:jc w:val="both"/>
        <w:rPr>
          <w:rFonts w:ascii="Times New Roman" w:hAnsi="Times New Roman" w:cs="Times New Roman"/>
          <w:lang w:val="en-US"/>
        </w:rPr>
      </w:pPr>
      <w:r w:rsidRPr="00C35FEC">
        <w:rPr>
          <w:rStyle w:val="FootnoteReference"/>
          <w:rFonts w:ascii="Times New Roman" w:hAnsi="Times New Roman" w:cs="Times New Roman"/>
        </w:rPr>
        <w:footnoteRef/>
      </w:r>
      <w:r w:rsidRPr="00C35FEC">
        <w:rPr>
          <w:rFonts w:ascii="Times New Roman" w:hAnsi="Times New Roman" w:cs="Times New Roman"/>
        </w:rPr>
        <w:t xml:space="preserve"> </w:t>
      </w:r>
      <w:r w:rsidR="00D74D5B" w:rsidRPr="00C35FEC">
        <w:rPr>
          <w:rFonts w:ascii="Times New Roman" w:hAnsi="Times New Roman" w:cs="Times New Roman"/>
        </w:rPr>
        <w:t xml:space="preserve">W swojej fundamentalnej pracy nad średniowieczną egzegezą Beryl Smalley przedstawiała narrację, zgodnie z którą średniowieczna interpretacja Pisma prowadziła stopniowo od duchowych sensów biblijnych ku rosnącemu uprzywilejowaniu sensu dosłownego. Po krytyce Henri de Lubaca Smalley przyznała, że nie uwzględniła w wystarczającym stopniu oczywistej obecności, znaczenia i długotrwałego trwania duchowego sensu Pisma aż do końca średniowiecza. </w:t>
      </w:r>
      <w:r w:rsidR="00D74D5B" w:rsidRPr="00C22022">
        <w:rPr>
          <w:rFonts w:ascii="Times New Roman" w:hAnsi="Times New Roman" w:cs="Times New Roman"/>
          <w:lang w:val="en-US"/>
        </w:rPr>
        <w:t>Zob. w tym kontekście przedmowę Beryl Smalley w trzecim wydaniu jej studium</w:t>
      </w:r>
      <w:r w:rsidR="00C22022" w:rsidRPr="00C22022">
        <w:rPr>
          <w:rFonts w:ascii="Times New Roman" w:hAnsi="Times New Roman" w:cs="Times New Roman"/>
          <w:lang w:val="en-US"/>
        </w:rPr>
        <w:t xml:space="preserve"> </w:t>
      </w:r>
      <w:r w:rsidR="00C22022" w:rsidRPr="00C22022">
        <w:rPr>
          <w:rFonts w:ascii="Times New Roman" w:hAnsi="Times New Roman" w:cs="Times New Roman"/>
          <w:i/>
          <w:iCs/>
          <w:lang w:val="en-US"/>
        </w:rPr>
        <w:t xml:space="preserve">The Study of the Bible in the Middle Ages, </w:t>
      </w:r>
      <w:r w:rsidR="00C22022" w:rsidRPr="00C22022">
        <w:rPr>
          <w:rFonts w:ascii="Times New Roman" w:hAnsi="Times New Roman" w:cs="Times New Roman"/>
          <w:lang w:val="en-US"/>
        </w:rPr>
        <w:t>Oxford 1983</w:t>
      </w:r>
      <w:r w:rsidR="00C22022">
        <w:rPr>
          <w:rFonts w:ascii="Times New Roman" w:hAnsi="Times New Roman" w:cs="Times New Roman"/>
          <w:lang w:val="en-US"/>
        </w:rPr>
        <w:t>;</w:t>
      </w:r>
      <w:r w:rsidR="00D74D5B" w:rsidRPr="00C22022">
        <w:rPr>
          <w:rFonts w:ascii="Times New Roman" w:hAnsi="Times New Roman" w:cs="Times New Roman"/>
          <w:lang w:val="en-US"/>
        </w:rPr>
        <w:t xml:space="preserve"> Henri de Lubac, </w:t>
      </w:r>
      <w:r w:rsidR="00C22022" w:rsidRPr="00C22022">
        <w:rPr>
          <w:rFonts w:ascii="Times New Roman" w:hAnsi="Times New Roman" w:cs="Times New Roman"/>
          <w:i/>
          <w:iCs/>
          <w:lang w:val="en-US"/>
        </w:rPr>
        <w:t xml:space="preserve">Exégèse médiévale. </w:t>
      </w:r>
      <w:r w:rsidR="00C22022" w:rsidRPr="00F70DC1">
        <w:rPr>
          <w:rFonts w:ascii="Times New Roman" w:hAnsi="Times New Roman" w:cs="Times New Roman"/>
          <w:i/>
          <w:iCs/>
        </w:rPr>
        <w:t>Les quatre sens de l’Écriture</w:t>
      </w:r>
      <w:r w:rsidR="00C22022" w:rsidRPr="00F70DC1">
        <w:rPr>
          <w:rFonts w:ascii="Times New Roman" w:hAnsi="Times New Roman" w:cs="Times New Roman"/>
        </w:rPr>
        <w:t>, 4 Bde., Paris 1959–1964 (wznowienie: Paris 1993)</w:t>
      </w:r>
      <w:r w:rsidR="00D74D5B" w:rsidRPr="00F70DC1">
        <w:rPr>
          <w:rFonts w:ascii="Times New Roman" w:hAnsi="Times New Roman" w:cs="Times New Roman"/>
        </w:rPr>
        <w:t xml:space="preserve">; krytycznie wobec Smalley Lubac wypowiada się m.in. w rozdziale o egzegezie św. </w:t>
      </w:r>
      <w:r w:rsidR="00D74D5B" w:rsidRPr="00791DFB">
        <w:rPr>
          <w:rFonts w:ascii="Times New Roman" w:hAnsi="Times New Roman" w:cs="Times New Roman"/>
          <w:lang w:val="en-US"/>
        </w:rPr>
        <w:t>Tomasza: tom IV, 293 i n</w:t>
      </w:r>
      <w:r w:rsidR="00B42BAD" w:rsidRPr="00791DFB">
        <w:rPr>
          <w:rFonts w:ascii="Times New Roman" w:hAnsi="Times New Roman" w:cs="Times New Roman"/>
          <w:lang w:val="en-US"/>
        </w:rPr>
        <w:t>ast</w:t>
      </w:r>
      <w:r w:rsidR="00D74D5B" w:rsidRPr="00791DFB">
        <w:rPr>
          <w:rFonts w:ascii="Times New Roman" w:hAnsi="Times New Roman" w:cs="Times New Roman"/>
          <w:lang w:val="en-US"/>
        </w:rPr>
        <w:t>.</w:t>
      </w:r>
    </w:p>
  </w:footnote>
  <w:footnote w:id="7">
    <w:p w14:paraId="06D42307" w14:textId="77777777" w:rsidR="001A536B" w:rsidRPr="00791DFB" w:rsidRDefault="001A536B" w:rsidP="00C22022">
      <w:pPr>
        <w:pStyle w:val="NormalWeb"/>
        <w:spacing w:before="0" w:beforeAutospacing="0" w:after="0" w:afterAutospacing="0"/>
        <w:jc w:val="both"/>
        <w:rPr>
          <w:sz w:val="20"/>
          <w:szCs w:val="20"/>
          <w:lang w:val="en-US"/>
        </w:rPr>
      </w:pPr>
      <w:r w:rsidRPr="00C35FEC">
        <w:rPr>
          <w:rStyle w:val="FootnoteReference"/>
          <w:sz w:val="20"/>
          <w:szCs w:val="20"/>
        </w:rPr>
        <w:footnoteRef/>
      </w:r>
      <w:r w:rsidR="002860B8" w:rsidRPr="00791DFB">
        <w:rPr>
          <w:rStyle w:val="Strong"/>
          <w:b w:val="0"/>
          <w:i/>
          <w:sz w:val="20"/>
          <w:szCs w:val="20"/>
          <w:lang w:val="en-US"/>
        </w:rPr>
        <w:t>Summa theologiae</w:t>
      </w:r>
      <w:r w:rsidR="002860B8" w:rsidRPr="00791DFB">
        <w:rPr>
          <w:sz w:val="20"/>
          <w:szCs w:val="20"/>
          <w:lang w:val="en-US"/>
        </w:rPr>
        <w:t xml:space="preserve">, I, pyt. 1, odp. 10, ad 1; </w:t>
      </w:r>
      <w:r w:rsidR="00C22022" w:rsidRPr="00791DFB">
        <w:rPr>
          <w:sz w:val="20"/>
          <w:szCs w:val="20"/>
          <w:lang w:val="en-US"/>
        </w:rPr>
        <w:t xml:space="preserve">Thomas von Aquin, </w:t>
      </w:r>
      <w:r w:rsidR="00C22022" w:rsidRPr="00791DFB">
        <w:rPr>
          <w:i/>
          <w:iCs/>
          <w:sz w:val="20"/>
          <w:szCs w:val="20"/>
          <w:lang w:val="en-US"/>
        </w:rPr>
        <w:t>Gottes Dasein und Wesen…</w:t>
      </w:r>
      <w:r w:rsidR="00C22022" w:rsidRPr="00791DFB">
        <w:rPr>
          <w:sz w:val="20"/>
          <w:szCs w:val="20"/>
          <w:lang w:val="en-US"/>
        </w:rPr>
        <w:t>, s. 32n</w:t>
      </w:r>
      <w:r w:rsidR="002860B8" w:rsidRPr="00791DFB">
        <w:rPr>
          <w:sz w:val="20"/>
          <w:szCs w:val="20"/>
          <w:lang w:val="en-US"/>
        </w:rPr>
        <w:t>.</w:t>
      </w:r>
    </w:p>
  </w:footnote>
  <w:footnote w:id="8">
    <w:p w14:paraId="135080C3" w14:textId="77777777" w:rsidR="001B1CF7" w:rsidRPr="00C35FEC" w:rsidRDefault="001B1CF7" w:rsidP="00DD6C7F">
      <w:pPr>
        <w:pStyle w:val="FootnoteText"/>
        <w:spacing w:after="240"/>
        <w:jc w:val="both"/>
        <w:rPr>
          <w:rFonts w:ascii="Times New Roman" w:hAnsi="Times New Roman" w:cs="Times New Roman"/>
          <w:lang w:val="de-AT"/>
        </w:rPr>
      </w:pPr>
      <w:r w:rsidRPr="00C35FEC">
        <w:rPr>
          <w:rStyle w:val="FootnoteReference"/>
          <w:rFonts w:ascii="Times New Roman" w:hAnsi="Times New Roman" w:cs="Times New Roman"/>
        </w:rPr>
        <w:footnoteRef/>
      </w:r>
      <w:r w:rsidRPr="00791DFB">
        <w:rPr>
          <w:rFonts w:ascii="Times New Roman" w:hAnsi="Times New Roman" w:cs="Times New Roman"/>
          <w:lang w:val="en-US"/>
        </w:rPr>
        <w:t xml:space="preserve"> </w:t>
      </w:r>
      <w:r w:rsidR="00C35FEC" w:rsidRPr="00791DFB">
        <w:rPr>
          <w:rFonts w:ascii="Times New Roman" w:hAnsi="Times New Roman" w:cs="Times New Roman"/>
          <w:lang w:val="en-US"/>
        </w:rPr>
        <w:t>Thomas von Aquin</w:t>
      </w:r>
      <w:r w:rsidR="00F82408" w:rsidRPr="00791DFB">
        <w:rPr>
          <w:rFonts w:ascii="Times New Roman" w:hAnsi="Times New Roman" w:cs="Times New Roman"/>
          <w:lang w:val="en-US"/>
        </w:rPr>
        <w:t xml:space="preserve">, </w:t>
      </w:r>
      <w:r w:rsidR="00F82408" w:rsidRPr="00791DFB">
        <w:rPr>
          <w:rFonts w:ascii="Times New Roman" w:hAnsi="Times New Roman" w:cs="Times New Roman"/>
          <w:i/>
          <w:lang w:val="en-US"/>
        </w:rPr>
        <w:t>Quaestio quodlibetalis</w:t>
      </w:r>
      <w:r w:rsidR="00F82408" w:rsidRPr="00791DFB">
        <w:rPr>
          <w:rFonts w:ascii="Times New Roman" w:hAnsi="Times New Roman" w:cs="Times New Roman"/>
          <w:lang w:val="en-US"/>
        </w:rPr>
        <w:t xml:space="preserve"> VII, pyt. 6, w: </w:t>
      </w:r>
      <w:r w:rsidR="00C22022" w:rsidRPr="00791DFB">
        <w:rPr>
          <w:rFonts w:ascii="Times New Roman" w:hAnsi="Times New Roman" w:cs="Times New Roman"/>
          <w:i/>
          <w:iCs/>
          <w:lang w:val="en-US"/>
        </w:rPr>
        <w:t xml:space="preserve">Sancti Thomae de Aquino Opera Omnia </w:t>
      </w:r>
      <w:r w:rsidR="00C22022" w:rsidRPr="00791DFB">
        <w:rPr>
          <w:rFonts w:ascii="Times New Roman" w:hAnsi="Times New Roman" w:cs="Times New Roman"/>
          <w:lang w:val="en-US"/>
        </w:rPr>
        <w:t xml:space="preserve">(Edi tio Leonina), Bd. 25, Rom – Paris 1996, </w:t>
      </w:r>
      <w:r w:rsidR="00DD6C7F" w:rsidRPr="00791DFB">
        <w:rPr>
          <w:rFonts w:ascii="Times New Roman" w:hAnsi="Times New Roman" w:cs="Times New Roman"/>
          <w:lang w:val="en-US"/>
        </w:rPr>
        <w:t xml:space="preserve">s. </w:t>
      </w:r>
      <w:r w:rsidR="00C22022" w:rsidRPr="00791DFB">
        <w:rPr>
          <w:rFonts w:ascii="Times New Roman" w:hAnsi="Times New Roman" w:cs="Times New Roman"/>
          <w:lang w:val="en-US"/>
        </w:rPr>
        <w:t>27–32</w:t>
      </w:r>
      <w:r w:rsidR="00F82408" w:rsidRPr="00791DFB">
        <w:rPr>
          <w:rFonts w:ascii="Times New Roman" w:hAnsi="Times New Roman" w:cs="Times New Roman"/>
          <w:lang w:val="en-US"/>
        </w:rPr>
        <w:t xml:space="preserve">. </w:t>
      </w:r>
      <w:r w:rsidR="00F82408" w:rsidRPr="00C35FEC">
        <w:rPr>
          <w:rFonts w:ascii="Times New Roman" w:hAnsi="Times New Roman" w:cs="Times New Roman"/>
        </w:rPr>
        <w:t xml:space="preserve">Niemieckie tłumaczenie art. 2 (opracowane przez Martina Mayerhofera) dostępne jest pod adresem: </w:t>
      </w:r>
      <w:hyperlink r:id="rId1" w:tgtFrame="_new" w:history="1">
        <w:r w:rsidR="00F82408" w:rsidRPr="00C35FEC">
          <w:rPr>
            <w:rStyle w:val="Hyperlink"/>
            <w:rFonts w:ascii="Times New Roman" w:hAnsi="Times New Roman" w:cs="Times New Roman"/>
            <w:color w:val="auto"/>
          </w:rPr>
          <w:t>https://kg-ktf.univie.ac.at/theologische-mediaevistik/mittelalterliche-und-fruehneuzeitliche-texte/</w:t>
        </w:r>
      </w:hyperlink>
      <w:r w:rsidR="00F82408" w:rsidRPr="00C35FEC">
        <w:rPr>
          <w:rFonts w:ascii="Times New Roman" w:hAnsi="Times New Roman" w:cs="Times New Roman"/>
        </w:rPr>
        <w:t xml:space="preserve"> (dostęp 22.01.2025); co do interpretacji duchowych </w:t>
      </w:r>
      <w:r w:rsidR="00C22022">
        <w:rPr>
          <w:rFonts w:ascii="Times New Roman" w:hAnsi="Times New Roman" w:cs="Times New Roman"/>
        </w:rPr>
        <w:t>sensów Pisma u Tomasza: M.A.</w:t>
      </w:r>
      <w:r w:rsidR="00F82408" w:rsidRPr="00C35FEC">
        <w:rPr>
          <w:rFonts w:ascii="Times New Roman" w:hAnsi="Times New Roman" w:cs="Times New Roman"/>
        </w:rPr>
        <w:t xml:space="preserve"> Reyero, </w:t>
      </w:r>
      <w:r w:rsidR="00F82408" w:rsidRPr="00C35FEC">
        <w:rPr>
          <w:rFonts w:ascii="Times New Roman" w:hAnsi="Times New Roman" w:cs="Times New Roman"/>
          <w:i/>
        </w:rPr>
        <w:t xml:space="preserve">Thomas von Aquin als Exeget. </w:t>
      </w:r>
      <w:r w:rsidR="00F82408" w:rsidRPr="00C35FEC">
        <w:rPr>
          <w:rFonts w:ascii="Times New Roman" w:hAnsi="Times New Roman" w:cs="Times New Roman"/>
          <w:i/>
          <w:lang w:val="de-AT"/>
        </w:rPr>
        <w:t>Die Prinzipien seiner Schriftdeutung und seine Lehre von den Schriftsinnen</w:t>
      </w:r>
      <w:r w:rsidR="00F82408" w:rsidRPr="00C35FEC">
        <w:rPr>
          <w:rFonts w:ascii="Times New Roman" w:hAnsi="Times New Roman" w:cs="Times New Roman"/>
          <w:lang w:val="de-AT"/>
        </w:rPr>
        <w:t xml:space="preserve">, </w:t>
      </w:r>
      <w:r w:rsidR="00C22022" w:rsidRPr="00C22022">
        <w:rPr>
          <w:rFonts w:ascii="Times New Roman" w:hAnsi="Times New Roman" w:cs="Times New Roman"/>
          <w:lang w:val="de-AT"/>
        </w:rPr>
        <w:t xml:space="preserve">Einsiedeln </w:t>
      </w:r>
      <w:r w:rsidR="00F82408" w:rsidRPr="00C35FEC">
        <w:rPr>
          <w:rFonts w:ascii="Times New Roman" w:hAnsi="Times New Roman" w:cs="Times New Roman"/>
          <w:lang w:val="de-AT"/>
        </w:rPr>
        <w:t>1971.</w:t>
      </w:r>
    </w:p>
    <w:p w14:paraId="12687BAE" w14:textId="77777777" w:rsidR="00F82408" w:rsidRPr="00C35FEC" w:rsidRDefault="00F82408" w:rsidP="00F82408">
      <w:pPr>
        <w:pStyle w:val="FootnoteText"/>
        <w:jc w:val="both"/>
        <w:rPr>
          <w:rFonts w:ascii="Times New Roman" w:hAnsi="Times New Roman" w:cs="Times New Roman"/>
          <w:lang w:val="de-AT"/>
        </w:rPr>
      </w:pPr>
    </w:p>
  </w:footnote>
  <w:footnote w:id="9">
    <w:p w14:paraId="4D5D7696" w14:textId="77777777" w:rsidR="001B1CF7" w:rsidRPr="00C22022" w:rsidRDefault="001B1CF7" w:rsidP="00C22022">
      <w:pPr>
        <w:pStyle w:val="FootnoteText"/>
        <w:rPr>
          <w:rFonts w:ascii="Times New Roman" w:hAnsi="Times New Roman" w:cs="Times New Roman"/>
          <w:lang w:val="de-AT"/>
        </w:rPr>
      </w:pPr>
      <w:r w:rsidRPr="00C35FEC">
        <w:rPr>
          <w:rStyle w:val="FootnoteReference"/>
          <w:rFonts w:ascii="Times New Roman" w:hAnsi="Times New Roman" w:cs="Times New Roman"/>
        </w:rPr>
        <w:footnoteRef/>
      </w:r>
      <w:r w:rsidRPr="00C22022">
        <w:rPr>
          <w:rFonts w:ascii="Times New Roman" w:hAnsi="Times New Roman" w:cs="Times New Roman"/>
          <w:lang w:val="de-AT"/>
        </w:rPr>
        <w:t xml:space="preserve"> </w:t>
      </w:r>
      <w:r w:rsidR="0017385C" w:rsidRPr="00C22022">
        <w:rPr>
          <w:rStyle w:val="Strong"/>
          <w:rFonts w:ascii="Times New Roman" w:hAnsi="Times New Roman" w:cs="Times New Roman"/>
          <w:b w:val="0"/>
          <w:i/>
          <w:lang w:val="de-AT"/>
        </w:rPr>
        <w:t>Summa theologiae</w:t>
      </w:r>
      <w:r w:rsidR="0017385C" w:rsidRPr="00C22022">
        <w:rPr>
          <w:rFonts w:ascii="Times New Roman" w:hAnsi="Times New Roman" w:cs="Times New Roman"/>
          <w:lang w:val="de-AT"/>
        </w:rPr>
        <w:t xml:space="preserve"> I, pyt. 1, odp. 10, c: </w:t>
      </w:r>
      <w:r w:rsidR="00C22022" w:rsidRPr="00C22022">
        <w:rPr>
          <w:rFonts w:ascii="Times New Roman" w:hAnsi="Times New Roman" w:cs="Times New Roman"/>
          <w:lang w:val="de-AT"/>
        </w:rPr>
        <w:t xml:space="preserve">Thomas von Aquin, </w:t>
      </w:r>
      <w:r w:rsidR="00C22022" w:rsidRPr="00C22022">
        <w:rPr>
          <w:rFonts w:ascii="Times New Roman" w:hAnsi="Times New Roman" w:cs="Times New Roman"/>
          <w:i/>
          <w:iCs/>
          <w:lang w:val="de-AT"/>
        </w:rPr>
        <w:t>Gottes Dasein und Wesen</w:t>
      </w:r>
      <w:r w:rsidR="00C22022">
        <w:rPr>
          <w:rFonts w:ascii="Times New Roman" w:hAnsi="Times New Roman" w:cs="Times New Roman"/>
          <w:i/>
          <w:iCs/>
          <w:lang w:val="de-AT"/>
        </w:rPr>
        <w:t>…</w:t>
      </w:r>
      <w:r w:rsidR="0017385C" w:rsidRPr="00C22022">
        <w:rPr>
          <w:rFonts w:ascii="Times New Roman" w:hAnsi="Times New Roman" w:cs="Times New Roman"/>
          <w:lang w:val="de-AT"/>
        </w:rPr>
        <w:t xml:space="preserve">, </w:t>
      </w:r>
      <w:r w:rsidR="00C22022" w:rsidRPr="00C22022">
        <w:rPr>
          <w:rFonts w:ascii="Times New Roman" w:hAnsi="Times New Roman" w:cs="Times New Roman"/>
          <w:lang w:val="de-AT"/>
        </w:rPr>
        <w:t xml:space="preserve">s. </w:t>
      </w:r>
      <w:r w:rsidR="00C22022">
        <w:rPr>
          <w:rFonts w:ascii="Times New Roman" w:hAnsi="Times New Roman" w:cs="Times New Roman"/>
          <w:lang w:val="de-AT"/>
        </w:rPr>
        <w:t>31n</w:t>
      </w:r>
      <w:r w:rsidR="0017385C" w:rsidRPr="00C22022">
        <w:rPr>
          <w:rFonts w:ascii="Times New Roman" w:hAnsi="Times New Roman" w:cs="Times New Roman"/>
          <w:lang w:val="de-AT"/>
        </w:rPr>
        <w:t>.</w:t>
      </w:r>
    </w:p>
  </w:footnote>
  <w:footnote w:id="10">
    <w:p w14:paraId="159B310F" w14:textId="77777777" w:rsidR="001B1CF7" w:rsidRPr="00C35FEC" w:rsidRDefault="001B1CF7" w:rsidP="0054324F">
      <w:pPr>
        <w:pStyle w:val="NormalWeb"/>
        <w:spacing w:before="0" w:beforeAutospacing="0" w:after="0" w:afterAutospacing="0"/>
        <w:jc w:val="both"/>
        <w:rPr>
          <w:sz w:val="20"/>
          <w:szCs w:val="20"/>
          <w:lang w:val="fr-FR"/>
        </w:rPr>
      </w:pPr>
      <w:r w:rsidRPr="00C35FEC">
        <w:rPr>
          <w:rStyle w:val="FootnoteReference"/>
          <w:sz w:val="20"/>
          <w:szCs w:val="20"/>
        </w:rPr>
        <w:footnoteRef/>
      </w:r>
      <w:r w:rsidRPr="00C35FEC">
        <w:rPr>
          <w:sz w:val="20"/>
          <w:szCs w:val="20"/>
          <w:lang w:val="fr-FR"/>
        </w:rPr>
        <w:t xml:space="preserve"> </w:t>
      </w:r>
      <w:r w:rsidR="001D3332" w:rsidRPr="00C35FEC">
        <w:rPr>
          <w:i/>
          <w:sz w:val="20"/>
          <w:szCs w:val="20"/>
          <w:lang w:val="fr-FR"/>
        </w:rPr>
        <w:t>Officium boni interpretis non est considerare verba sed sensum</w:t>
      </w:r>
      <w:r w:rsidR="001D3332" w:rsidRPr="00C35FEC">
        <w:rPr>
          <w:sz w:val="20"/>
          <w:szCs w:val="20"/>
          <w:lang w:val="fr-FR"/>
        </w:rPr>
        <w:t>.</w:t>
      </w:r>
      <w:r w:rsidR="001D3332" w:rsidRPr="00C35FEC">
        <w:rPr>
          <w:rStyle w:val="Emphasis"/>
          <w:sz w:val="20"/>
          <w:szCs w:val="20"/>
          <w:lang w:val="fr-FR"/>
        </w:rPr>
        <w:t>.</w:t>
      </w:r>
      <w:r w:rsidR="001D3332" w:rsidRPr="00C35FEC">
        <w:rPr>
          <w:sz w:val="20"/>
          <w:szCs w:val="20"/>
          <w:lang w:val="fr-FR"/>
        </w:rPr>
        <w:t xml:space="preserve"> Thomas z Akwinu, </w:t>
      </w:r>
      <w:r w:rsidR="001D3332" w:rsidRPr="00C35FEC">
        <w:rPr>
          <w:i/>
          <w:sz w:val="20"/>
          <w:szCs w:val="20"/>
          <w:lang w:val="fr-FR"/>
        </w:rPr>
        <w:t>Super evangelium S. Matthaei lectura,</w:t>
      </w:r>
      <w:r w:rsidR="001D3332" w:rsidRPr="00C35FEC">
        <w:rPr>
          <w:sz w:val="20"/>
          <w:szCs w:val="20"/>
          <w:lang w:val="fr-FR"/>
        </w:rPr>
        <w:t>, 358 (do</w:t>
      </w:r>
      <w:r w:rsidR="00C22022">
        <w:rPr>
          <w:sz w:val="20"/>
          <w:szCs w:val="20"/>
          <w:lang w:val="fr-FR"/>
        </w:rPr>
        <w:t xml:space="preserve"> Mt 27, 71, l. 1, nr 2321); M.</w:t>
      </w:r>
      <w:r w:rsidR="001D3332" w:rsidRPr="00C35FEC">
        <w:rPr>
          <w:sz w:val="20"/>
          <w:szCs w:val="20"/>
          <w:lang w:val="fr-FR"/>
        </w:rPr>
        <w:t xml:space="preserve"> Aillet, </w:t>
      </w:r>
      <w:r w:rsidR="001D3332" w:rsidRPr="00C35FEC">
        <w:rPr>
          <w:i/>
          <w:sz w:val="20"/>
          <w:szCs w:val="20"/>
          <w:lang w:val="fr-FR"/>
        </w:rPr>
        <w:t>Lire la Bible avec S. Thomas. Le passage de la ‹littera› à la ‹res› dans la Somme théologique</w:t>
      </w:r>
      <w:r w:rsidR="001D3332" w:rsidRPr="00C35FEC">
        <w:rPr>
          <w:sz w:val="20"/>
          <w:szCs w:val="20"/>
          <w:lang w:val="fr-FR"/>
        </w:rPr>
        <w:t>, Fribourg i. Ü</w:t>
      </w:r>
      <w:r w:rsidR="00E5506C" w:rsidRPr="00C35FEC">
        <w:rPr>
          <w:sz w:val="20"/>
          <w:szCs w:val="20"/>
          <w:lang w:val="fr-FR"/>
        </w:rPr>
        <w:t xml:space="preserve"> </w:t>
      </w:r>
      <w:r w:rsidR="001D3332" w:rsidRPr="00C35FEC">
        <w:rPr>
          <w:sz w:val="20"/>
          <w:szCs w:val="20"/>
          <w:lang w:val="fr-FR"/>
        </w:rPr>
        <w:t>1993.</w:t>
      </w:r>
      <w:r w:rsidR="0054324F" w:rsidRPr="00C35FEC">
        <w:rPr>
          <w:sz w:val="20"/>
          <w:szCs w:val="20"/>
          <w:lang w:val="fr-FR"/>
        </w:rPr>
        <w:t xml:space="preserve"> </w:t>
      </w:r>
    </w:p>
  </w:footnote>
  <w:footnote w:id="11">
    <w:p w14:paraId="7DB5DABF" w14:textId="77777777" w:rsidR="002D5FD2" w:rsidRPr="00C22022" w:rsidRDefault="002D5FD2" w:rsidP="00C22022">
      <w:pPr>
        <w:pStyle w:val="FootnoteText"/>
        <w:jc w:val="both"/>
        <w:rPr>
          <w:rFonts w:ascii="Times New Roman" w:hAnsi="Times New Roman" w:cs="Times New Roman"/>
          <w:i/>
          <w:lang w:val="en-US"/>
        </w:rPr>
      </w:pPr>
      <w:r w:rsidRPr="00C35FEC">
        <w:rPr>
          <w:rStyle w:val="FootnoteReference"/>
          <w:rFonts w:ascii="Times New Roman" w:hAnsi="Times New Roman" w:cs="Times New Roman"/>
        </w:rPr>
        <w:footnoteRef/>
      </w:r>
      <w:r w:rsidRPr="00C22022">
        <w:rPr>
          <w:rFonts w:ascii="Times New Roman" w:hAnsi="Times New Roman" w:cs="Times New Roman"/>
          <w:lang w:val="en-US"/>
        </w:rPr>
        <w:t xml:space="preserve"> </w:t>
      </w:r>
      <w:r w:rsidR="0054324F" w:rsidRPr="00C22022">
        <w:rPr>
          <w:rStyle w:val="Emphasis"/>
          <w:rFonts w:ascii="Times New Roman" w:hAnsi="Times New Roman" w:cs="Times New Roman"/>
          <w:lang w:val="en-US"/>
        </w:rPr>
        <w:t>Quaestio quodlibetalis</w:t>
      </w:r>
      <w:r w:rsidR="0054324F" w:rsidRPr="00C22022">
        <w:rPr>
          <w:rFonts w:ascii="Times New Roman" w:hAnsi="Times New Roman" w:cs="Times New Roman"/>
          <w:lang w:val="en-US"/>
        </w:rPr>
        <w:t xml:space="preserve"> VII, pyt. 6, art. 2</w:t>
      </w:r>
      <w:r w:rsidR="00C22022" w:rsidRPr="00C22022">
        <w:rPr>
          <w:rFonts w:ascii="Times New Roman" w:hAnsi="Times New Roman" w:cs="Times New Roman"/>
          <w:lang w:val="en-US"/>
        </w:rPr>
        <w:t xml:space="preserve">, w: </w:t>
      </w:r>
      <w:r w:rsidR="00C22022" w:rsidRPr="00C22022">
        <w:rPr>
          <w:rFonts w:ascii="Times New Roman" w:hAnsi="Times New Roman" w:cs="Times New Roman"/>
          <w:i/>
          <w:iCs/>
          <w:lang w:val="en-US"/>
        </w:rPr>
        <w:t>Sancti Thomae de Aquino Opera Omnia</w:t>
      </w:r>
      <w:r w:rsidR="0054324F" w:rsidRPr="00C22022">
        <w:rPr>
          <w:rFonts w:ascii="Times New Roman" w:hAnsi="Times New Roman" w:cs="Times New Roman"/>
          <w:lang w:val="en-US"/>
        </w:rPr>
        <w:t xml:space="preserve">: </w:t>
      </w:r>
      <w:r w:rsidR="0054324F" w:rsidRPr="00C22022">
        <w:rPr>
          <w:rFonts w:ascii="Times New Roman" w:hAnsi="Times New Roman" w:cs="Times New Roman"/>
          <w:i/>
          <w:lang w:val="en-US"/>
        </w:rPr>
        <w:t>Unde totum illud ad sensum litteralem pertinet quod ex ipsa significatione uerborum recte accipi potest.</w:t>
      </w:r>
    </w:p>
  </w:footnote>
  <w:footnote w:id="12">
    <w:p w14:paraId="4495CA79" w14:textId="77777777" w:rsidR="00BF2F0D" w:rsidRPr="00C35FEC" w:rsidRDefault="00BF2F0D" w:rsidP="00C35FEC">
      <w:pPr>
        <w:pStyle w:val="FootnoteText"/>
        <w:jc w:val="both"/>
        <w:rPr>
          <w:rFonts w:ascii="Times New Roman" w:hAnsi="Times New Roman" w:cs="Times New Roman"/>
          <w:lang w:val="de-AT"/>
        </w:rPr>
      </w:pPr>
      <w:r w:rsidRPr="00C35FEC">
        <w:rPr>
          <w:rStyle w:val="FootnoteReference"/>
          <w:rFonts w:ascii="Times New Roman" w:hAnsi="Times New Roman" w:cs="Times New Roman"/>
        </w:rPr>
        <w:footnoteRef/>
      </w:r>
      <w:r w:rsidRPr="00C35FEC">
        <w:rPr>
          <w:rFonts w:ascii="Times New Roman" w:hAnsi="Times New Roman" w:cs="Times New Roman"/>
          <w:lang w:val="fr-FR"/>
        </w:rPr>
        <w:t xml:space="preserve"> </w:t>
      </w:r>
      <w:r w:rsidR="00C35FEC" w:rsidRPr="00C35FEC">
        <w:rPr>
          <w:rFonts w:ascii="Times New Roman" w:hAnsi="Times New Roman" w:cs="Times New Roman"/>
          <w:lang w:val="fr-FR"/>
        </w:rPr>
        <w:t>Thomas von Aquin</w:t>
      </w:r>
      <w:r w:rsidR="0035122D" w:rsidRPr="00C35FEC">
        <w:rPr>
          <w:rFonts w:ascii="Times New Roman" w:hAnsi="Times New Roman" w:cs="Times New Roman"/>
          <w:lang w:val="fr-FR"/>
        </w:rPr>
        <w:t xml:space="preserve">, </w:t>
      </w:r>
      <w:r w:rsidR="0035122D" w:rsidRPr="00C35FEC">
        <w:rPr>
          <w:rStyle w:val="Emphasis"/>
          <w:rFonts w:ascii="Times New Roman" w:hAnsi="Times New Roman" w:cs="Times New Roman"/>
          <w:lang w:val="fr-FR"/>
        </w:rPr>
        <w:t>De commendatione et partitione sacrae scripturae. Principium „Hic est liber mandatorum Dei”</w:t>
      </w:r>
      <w:r w:rsidR="0035122D" w:rsidRPr="00C35FEC">
        <w:rPr>
          <w:rFonts w:ascii="Times New Roman" w:hAnsi="Times New Roman" w:cs="Times New Roman"/>
          <w:lang w:val="fr-FR"/>
        </w:rPr>
        <w:t xml:space="preserve">, w: </w:t>
      </w:r>
      <w:r w:rsidR="0035122D" w:rsidRPr="00C35FEC">
        <w:rPr>
          <w:rStyle w:val="Emphasis"/>
          <w:rFonts w:ascii="Times New Roman" w:hAnsi="Times New Roman" w:cs="Times New Roman"/>
          <w:lang w:val="fr-FR"/>
        </w:rPr>
        <w:t>Opuscula Theologica</w:t>
      </w:r>
      <w:r w:rsidR="0035122D" w:rsidRPr="00C35FEC">
        <w:rPr>
          <w:rFonts w:ascii="Times New Roman" w:hAnsi="Times New Roman" w:cs="Times New Roman"/>
          <w:lang w:val="fr-FR"/>
        </w:rPr>
        <w:t xml:space="preserve">, </w:t>
      </w:r>
      <w:r w:rsidR="00C22022">
        <w:rPr>
          <w:rFonts w:ascii="Times New Roman" w:hAnsi="Times New Roman" w:cs="Times New Roman"/>
          <w:lang w:val="fr-FR"/>
        </w:rPr>
        <w:t>I, 435–439; do tego zob.: T.</w:t>
      </w:r>
      <w:r w:rsidR="0035122D" w:rsidRPr="00C35FEC">
        <w:rPr>
          <w:rFonts w:ascii="Times New Roman" w:hAnsi="Times New Roman" w:cs="Times New Roman"/>
          <w:lang w:val="fr-FR"/>
        </w:rPr>
        <w:t xml:space="preserve"> Prügl, </w:t>
      </w:r>
      <w:r w:rsidR="00E5506C" w:rsidRPr="00C35FEC">
        <w:rPr>
          <w:rFonts w:ascii="Times New Roman" w:hAnsi="Times New Roman" w:cs="Times New Roman"/>
          <w:i/>
          <w:lang w:val="fr-FR"/>
        </w:rPr>
        <w:t xml:space="preserve">Die Bibel als Lehrbuch. </w:t>
      </w:r>
      <w:r w:rsidR="00E5506C" w:rsidRPr="00C35FEC">
        <w:rPr>
          <w:rFonts w:ascii="Times New Roman" w:hAnsi="Times New Roman" w:cs="Times New Roman"/>
          <w:i/>
          <w:lang w:val="de-AT"/>
        </w:rPr>
        <w:t>Zum «Plan» der Theologie nach mittelalterlichen Kanonauslegungen</w:t>
      </w:r>
      <w:r w:rsidR="00E5506C" w:rsidRPr="00C35FEC">
        <w:rPr>
          <w:rFonts w:ascii="Times New Roman" w:hAnsi="Times New Roman" w:cs="Times New Roman"/>
          <w:lang w:val="de-AT"/>
        </w:rPr>
        <w:t>, w</w:t>
      </w:r>
      <w:r w:rsidR="0035122D" w:rsidRPr="00C35FEC">
        <w:rPr>
          <w:rFonts w:ascii="Times New Roman" w:hAnsi="Times New Roman" w:cs="Times New Roman"/>
          <w:lang w:val="de-AT"/>
        </w:rPr>
        <w:t xml:space="preserve">: </w:t>
      </w:r>
      <w:r w:rsidR="0035122D" w:rsidRPr="00C35FEC">
        <w:rPr>
          <w:rStyle w:val="Emphasis"/>
          <w:rFonts w:ascii="Times New Roman" w:hAnsi="Times New Roman" w:cs="Times New Roman"/>
          <w:lang w:val="de-AT"/>
        </w:rPr>
        <w:t>Archa Verbi</w:t>
      </w:r>
      <w:r w:rsidR="00C22022">
        <w:rPr>
          <w:rFonts w:ascii="Times New Roman" w:hAnsi="Times New Roman" w:cs="Times New Roman"/>
          <w:lang w:val="de-AT"/>
        </w:rPr>
        <w:t xml:space="preserve"> 1</w:t>
      </w:r>
      <w:r w:rsidR="0035122D" w:rsidRPr="00C35FEC">
        <w:rPr>
          <w:rFonts w:ascii="Times New Roman" w:hAnsi="Times New Roman" w:cs="Times New Roman"/>
          <w:lang w:val="de-AT"/>
        </w:rPr>
        <w:t>(2004)</w:t>
      </w:r>
      <w:r w:rsidR="00C22022">
        <w:rPr>
          <w:rFonts w:ascii="Times New Roman" w:hAnsi="Times New Roman" w:cs="Times New Roman"/>
          <w:lang w:val="de-AT"/>
        </w:rPr>
        <w:t>, s.</w:t>
      </w:r>
      <w:r w:rsidR="0035122D" w:rsidRPr="00C35FEC">
        <w:rPr>
          <w:rFonts w:ascii="Times New Roman" w:hAnsi="Times New Roman" w:cs="Times New Roman"/>
          <w:lang w:val="de-AT"/>
        </w:rPr>
        <w:t xml:space="preserve"> 42–66.</w:t>
      </w:r>
    </w:p>
  </w:footnote>
  <w:footnote w:id="13">
    <w:p w14:paraId="41854BD0" w14:textId="77777777" w:rsidR="0040323F" w:rsidRPr="00791DFB" w:rsidRDefault="0040323F" w:rsidP="00C35FEC">
      <w:pPr>
        <w:pStyle w:val="NormalWeb"/>
        <w:spacing w:before="0" w:beforeAutospacing="0" w:after="0" w:afterAutospacing="0"/>
        <w:jc w:val="both"/>
        <w:rPr>
          <w:sz w:val="20"/>
          <w:szCs w:val="20"/>
          <w:lang w:val="en-US"/>
        </w:rPr>
      </w:pPr>
      <w:r w:rsidRPr="00C35FEC">
        <w:rPr>
          <w:rStyle w:val="FootnoteReference"/>
          <w:sz w:val="20"/>
          <w:szCs w:val="20"/>
        </w:rPr>
        <w:footnoteRef/>
      </w:r>
      <w:r w:rsidRPr="00791DFB">
        <w:rPr>
          <w:sz w:val="20"/>
          <w:szCs w:val="20"/>
          <w:lang w:val="en-US"/>
        </w:rPr>
        <w:t xml:space="preserve"> </w:t>
      </w:r>
      <w:r w:rsidR="00C35FEC" w:rsidRPr="00791DFB">
        <w:rPr>
          <w:sz w:val="20"/>
          <w:szCs w:val="20"/>
          <w:lang w:val="en-US"/>
        </w:rPr>
        <w:t>Thomas von Aquin</w:t>
      </w:r>
      <w:r w:rsidR="0035122D" w:rsidRPr="00791DFB">
        <w:rPr>
          <w:sz w:val="20"/>
          <w:szCs w:val="20"/>
          <w:lang w:val="en-US"/>
        </w:rPr>
        <w:t xml:space="preserve">, </w:t>
      </w:r>
      <w:r w:rsidR="00817062" w:rsidRPr="00791DFB">
        <w:rPr>
          <w:i/>
          <w:sz w:val="20"/>
          <w:szCs w:val="20"/>
          <w:lang w:val="en-US"/>
        </w:rPr>
        <w:t>Super evangelium S. Matthaei lectura</w:t>
      </w:r>
      <w:r w:rsidR="00817062" w:rsidRPr="00791DFB">
        <w:rPr>
          <w:sz w:val="20"/>
          <w:szCs w:val="20"/>
          <w:lang w:val="en-US"/>
        </w:rPr>
        <w:t>, Turin – Rom (Marietti) 1951</w:t>
      </w:r>
      <w:r w:rsidR="0035122D" w:rsidRPr="00791DFB">
        <w:rPr>
          <w:sz w:val="20"/>
          <w:szCs w:val="20"/>
          <w:lang w:val="en-US"/>
        </w:rPr>
        <w:t xml:space="preserve">, </w:t>
      </w:r>
      <w:r w:rsidR="00C22022" w:rsidRPr="00791DFB">
        <w:rPr>
          <w:sz w:val="20"/>
          <w:szCs w:val="20"/>
          <w:lang w:val="en-US"/>
        </w:rPr>
        <w:t>s. 185</w:t>
      </w:r>
      <w:r w:rsidR="0035122D" w:rsidRPr="00791DFB">
        <w:rPr>
          <w:sz w:val="20"/>
          <w:szCs w:val="20"/>
          <w:lang w:val="en-US"/>
        </w:rPr>
        <w:t>n. (nr 1201–1207).</w:t>
      </w:r>
    </w:p>
  </w:footnote>
  <w:footnote w:id="14">
    <w:p w14:paraId="31BA4BD2" w14:textId="77777777" w:rsidR="0040323F" w:rsidRPr="00C35FEC" w:rsidRDefault="0040323F" w:rsidP="00C22022">
      <w:pPr>
        <w:pStyle w:val="FootnoteText"/>
        <w:jc w:val="both"/>
        <w:rPr>
          <w:rFonts w:ascii="Times New Roman" w:hAnsi="Times New Roman" w:cs="Times New Roman"/>
        </w:rPr>
      </w:pPr>
      <w:r w:rsidRPr="00C35FEC">
        <w:rPr>
          <w:rStyle w:val="FootnoteReference"/>
          <w:rFonts w:ascii="Times New Roman" w:hAnsi="Times New Roman" w:cs="Times New Roman"/>
        </w:rPr>
        <w:footnoteRef/>
      </w:r>
      <w:r w:rsidRPr="00791DFB">
        <w:rPr>
          <w:rFonts w:ascii="Times New Roman" w:hAnsi="Times New Roman" w:cs="Times New Roman"/>
          <w:lang w:val="en-US"/>
        </w:rPr>
        <w:t xml:space="preserve"> </w:t>
      </w:r>
      <w:r w:rsidR="00C35FEC" w:rsidRPr="00791DFB">
        <w:rPr>
          <w:rFonts w:ascii="Times New Roman" w:hAnsi="Times New Roman" w:cs="Times New Roman"/>
          <w:lang w:val="en-US"/>
        </w:rPr>
        <w:t>Thomas von Aquin</w:t>
      </w:r>
      <w:r w:rsidR="0035122D" w:rsidRPr="00791DFB">
        <w:rPr>
          <w:rFonts w:ascii="Times New Roman" w:hAnsi="Times New Roman" w:cs="Times New Roman"/>
          <w:lang w:val="en-US"/>
        </w:rPr>
        <w:t xml:space="preserve">, </w:t>
      </w:r>
      <w:r w:rsidR="0035122D" w:rsidRPr="00791DFB">
        <w:rPr>
          <w:rStyle w:val="Emphasis"/>
          <w:rFonts w:ascii="Times New Roman" w:hAnsi="Times New Roman" w:cs="Times New Roman"/>
          <w:lang w:val="en-US"/>
        </w:rPr>
        <w:t>Summa contra Gentiles</w:t>
      </w:r>
      <w:r w:rsidR="0035122D" w:rsidRPr="00791DFB">
        <w:rPr>
          <w:rFonts w:ascii="Times New Roman" w:hAnsi="Times New Roman" w:cs="Times New Roman"/>
          <w:lang w:val="en-US"/>
        </w:rPr>
        <w:t>, I, rozdz. 1 (</w:t>
      </w:r>
      <w:r w:rsidR="0035122D" w:rsidRPr="00791DFB">
        <w:rPr>
          <w:rStyle w:val="Emphasis"/>
          <w:rFonts w:ascii="Times New Roman" w:hAnsi="Times New Roman" w:cs="Times New Roman"/>
          <w:lang w:val="en-US"/>
        </w:rPr>
        <w:t>Quod sit officium sapientis – Zadanie mędrca</w:t>
      </w:r>
      <w:r w:rsidR="00C22022" w:rsidRPr="00791DFB">
        <w:rPr>
          <w:rFonts w:ascii="Times New Roman" w:hAnsi="Times New Roman" w:cs="Times New Roman"/>
          <w:lang w:val="en-US"/>
        </w:rPr>
        <w:t xml:space="preserve">), wyd. i tłum. </w:t>
      </w:r>
      <w:r w:rsidR="00C22022">
        <w:rPr>
          <w:rFonts w:ascii="Times New Roman" w:hAnsi="Times New Roman" w:cs="Times New Roman"/>
        </w:rPr>
        <w:t>K. Albert, P.</w:t>
      </w:r>
      <w:r w:rsidR="0035122D" w:rsidRPr="00C35FEC">
        <w:rPr>
          <w:rFonts w:ascii="Times New Roman" w:hAnsi="Times New Roman" w:cs="Times New Roman"/>
        </w:rPr>
        <w:t xml:space="preserve"> Engelhardt, </w:t>
      </w:r>
      <w:r w:rsidR="00C22022" w:rsidRPr="00C22022">
        <w:rPr>
          <w:rFonts w:ascii="Times New Roman" w:hAnsi="Times New Roman" w:cs="Times New Roman"/>
        </w:rPr>
        <w:t xml:space="preserve">Darmstadt </w:t>
      </w:r>
      <w:r w:rsidR="0035122D" w:rsidRPr="00C35FEC">
        <w:rPr>
          <w:rFonts w:ascii="Times New Roman" w:hAnsi="Times New Roman" w:cs="Times New Roman"/>
        </w:rPr>
        <w:t>1994, 2–3; Tomasz cytuje tam również 1 Kor 3,10: „</w:t>
      </w:r>
      <w:r w:rsidR="00C22022">
        <w:rPr>
          <w:rFonts w:ascii="Times New Roman" w:hAnsi="Times New Roman" w:cs="Times New Roman"/>
        </w:rPr>
        <w:t xml:space="preserve">niczym umiejętny </w:t>
      </w:r>
      <w:r w:rsidR="0035122D" w:rsidRPr="00C35FEC">
        <w:rPr>
          <w:rFonts w:ascii="Times New Roman" w:hAnsi="Times New Roman" w:cs="Times New Roman"/>
        </w:rPr>
        <w:t>architekt położyłem fundament”.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8DA"/>
    <w:rsid w:val="00006B8D"/>
    <w:rsid w:val="0009485E"/>
    <w:rsid w:val="000B5840"/>
    <w:rsid w:val="000E481B"/>
    <w:rsid w:val="00166F40"/>
    <w:rsid w:val="0017385C"/>
    <w:rsid w:val="001A536B"/>
    <w:rsid w:val="001B1CF7"/>
    <w:rsid w:val="001C284F"/>
    <w:rsid w:val="001D3332"/>
    <w:rsid w:val="001E498E"/>
    <w:rsid w:val="00205A50"/>
    <w:rsid w:val="00277753"/>
    <w:rsid w:val="0028587B"/>
    <w:rsid w:val="002860B8"/>
    <w:rsid w:val="002D5FD2"/>
    <w:rsid w:val="002E4C3B"/>
    <w:rsid w:val="00303803"/>
    <w:rsid w:val="003142AB"/>
    <w:rsid w:val="0035122D"/>
    <w:rsid w:val="003809DE"/>
    <w:rsid w:val="003B41F3"/>
    <w:rsid w:val="003E36F0"/>
    <w:rsid w:val="0040323F"/>
    <w:rsid w:val="00420D7E"/>
    <w:rsid w:val="00460615"/>
    <w:rsid w:val="004934CE"/>
    <w:rsid w:val="004B25C1"/>
    <w:rsid w:val="00507F58"/>
    <w:rsid w:val="005147D3"/>
    <w:rsid w:val="00540C21"/>
    <w:rsid w:val="0054324F"/>
    <w:rsid w:val="005651F6"/>
    <w:rsid w:val="005F2DCC"/>
    <w:rsid w:val="006251B1"/>
    <w:rsid w:val="006349A8"/>
    <w:rsid w:val="006456CF"/>
    <w:rsid w:val="00646E86"/>
    <w:rsid w:val="006643A3"/>
    <w:rsid w:val="006722A4"/>
    <w:rsid w:val="006B25B4"/>
    <w:rsid w:val="006D4C6D"/>
    <w:rsid w:val="007032FE"/>
    <w:rsid w:val="0072070E"/>
    <w:rsid w:val="00727989"/>
    <w:rsid w:val="00791DFB"/>
    <w:rsid w:val="00817062"/>
    <w:rsid w:val="00825FC4"/>
    <w:rsid w:val="008536FB"/>
    <w:rsid w:val="0087657E"/>
    <w:rsid w:val="00885E0B"/>
    <w:rsid w:val="009014E9"/>
    <w:rsid w:val="0092641C"/>
    <w:rsid w:val="00993576"/>
    <w:rsid w:val="00997AB2"/>
    <w:rsid w:val="009C03B2"/>
    <w:rsid w:val="00A03254"/>
    <w:rsid w:val="00A22468"/>
    <w:rsid w:val="00A33C2D"/>
    <w:rsid w:val="00AB1730"/>
    <w:rsid w:val="00AC2159"/>
    <w:rsid w:val="00B05841"/>
    <w:rsid w:val="00B42BAD"/>
    <w:rsid w:val="00B56151"/>
    <w:rsid w:val="00B800EE"/>
    <w:rsid w:val="00BC71C0"/>
    <w:rsid w:val="00BF2F0D"/>
    <w:rsid w:val="00C22022"/>
    <w:rsid w:val="00C35FEC"/>
    <w:rsid w:val="00D608DA"/>
    <w:rsid w:val="00D74D5B"/>
    <w:rsid w:val="00DA76A9"/>
    <w:rsid w:val="00DD1718"/>
    <w:rsid w:val="00DD6C7F"/>
    <w:rsid w:val="00DD761D"/>
    <w:rsid w:val="00DE44A4"/>
    <w:rsid w:val="00E0733E"/>
    <w:rsid w:val="00E474CD"/>
    <w:rsid w:val="00E5506C"/>
    <w:rsid w:val="00EA536D"/>
    <w:rsid w:val="00EB1C7A"/>
    <w:rsid w:val="00EC4E59"/>
    <w:rsid w:val="00F02BA7"/>
    <w:rsid w:val="00F70DC1"/>
    <w:rsid w:val="00F82408"/>
    <w:rsid w:val="00F860FB"/>
    <w:rsid w:val="00FB1CE9"/>
    <w:rsid w:val="00FF1918"/>
    <w:rsid w:val="00FF7590"/>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0DAF"/>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08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08DA"/>
    <w:rPr>
      <w:i/>
      <w:iCs/>
    </w:rPr>
  </w:style>
  <w:style w:type="paragraph" w:styleId="FootnoteText">
    <w:name w:val="footnote text"/>
    <w:basedOn w:val="Normal"/>
    <w:link w:val="FootnoteTextChar"/>
    <w:uiPriority w:val="99"/>
    <w:semiHidden/>
    <w:unhideWhenUsed/>
    <w:rsid w:val="00645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56CF"/>
    <w:rPr>
      <w:sz w:val="20"/>
      <w:szCs w:val="20"/>
    </w:rPr>
  </w:style>
  <w:style w:type="character" w:styleId="FootnoteReference">
    <w:name w:val="footnote reference"/>
    <w:basedOn w:val="DefaultParagraphFont"/>
    <w:uiPriority w:val="99"/>
    <w:semiHidden/>
    <w:unhideWhenUsed/>
    <w:rsid w:val="006456CF"/>
    <w:rPr>
      <w:vertAlign w:val="superscript"/>
    </w:rPr>
  </w:style>
  <w:style w:type="character" w:styleId="Strong">
    <w:name w:val="Strong"/>
    <w:basedOn w:val="DefaultParagraphFont"/>
    <w:uiPriority w:val="22"/>
    <w:qFormat/>
    <w:rsid w:val="00DD761D"/>
    <w:rPr>
      <w:b/>
      <w:bCs/>
    </w:rPr>
  </w:style>
  <w:style w:type="character" w:styleId="Hyperlink">
    <w:name w:val="Hyperlink"/>
    <w:basedOn w:val="DefaultParagraphFont"/>
    <w:uiPriority w:val="99"/>
    <w:semiHidden/>
    <w:unhideWhenUsed/>
    <w:rsid w:val="00F82408"/>
    <w:rPr>
      <w:color w:val="0000FF"/>
      <w:u w:val="single"/>
    </w:rPr>
  </w:style>
  <w:style w:type="paragraph" w:styleId="NoSpacing">
    <w:name w:val="No Spacing"/>
    <w:uiPriority w:val="1"/>
    <w:qFormat/>
    <w:rsid w:val="00A03254"/>
    <w:pPr>
      <w:spacing w:after="0" w:line="240" w:lineRule="auto"/>
    </w:pPr>
  </w:style>
  <w:style w:type="paragraph" w:customStyle="1" w:styleId="Standard">
    <w:name w:val="Standard"/>
    <w:rsid w:val="00A0325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329">
      <w:bodyDiv w:val="1"/>
      <w:marLeft w:val="0"/>
      <w:marRight w:val="0"/>
      <w:marTop w:val="0"/>
      <w:marBottom w:val="0"/>
      <w:divBdr>
        <w:top w:val="none" w:sz="0" w:space="0" w:color="auto"/>
        <w:left w:val="none" w:sz="0" w:space="0" w:color="auto"/>
        <w:bottom w:val="none" w:sz="0" w:space="0" w:color="auto"/>
        <w:right w:val="none" w:sz="0" w:space="0" w:color="auto"/>
      </w:divBdr>
    </w:div>
    <w:div w:id="33888026">
      <w:bodyDiv w:val="1"/>
      <w:marLeft w:val="0"/>
      <w:marRight w:val="0"/>
      <w:marTop w:val="0"/>
      <w:marBottom w:val="0"/>
      <w:divBdr>
        <w:top w:val="none" w:sz="0" w:space="0" w:color="auto"/>
        <w:left w:val="none" w:sz="0" w:space="0" w:color="auto"/>
        <w:bottom w:val="none" w:sz="0" w:space="0" w:color="auto"/>
        <w:right w:val="none" w:sz="0" w:space="0" w:color="auto"/>
      </w:divBdr>
    </w:div>
    <w:div w:id="40595503">
      <w:bodyDiv w:val="1"/>
      <w:marLeft w:val="0"/>
      <w:marRight w:val="0"/>
      <w:marTop w:val="0"/>
      <w:marBottom w:val="0"/>
      <w:divBdr>
        <w:top w:val="none" w:sz="0" w:space="0" w:color="auto"/>
        <w:left w:val="none" w:sz="0" w:space="0" w:color="auto"/>
        <w:bottom w:val="none" w:sz="0" w:space="0" w:color="auto"/>
        <w:right w:val="none" w:sz="0" w:space="0" w:color="auto"/>
      </w:divBdr>
    </w:div>
    <w:div w:id="83259969">
      <w:bodyDiv w:val="1"/>
      <w:marLeft w:val="0"/>
      <w:marRight w:val="0"/>
      <w:marTop w:val="0"/>
      <w:marBottom w:val="0"/>
      <w:divBdr>
        <w:top w:val="none" w:sz="0" w:space="0" w:color="auto"/>
        <w:left w:val="none" w:sz="0" w:space="0" w:color="auto"/>
        <w:bottom w:val="none" w:sz="0" w:space="0" w:color="auto"/>
        <w:right w:val="none" w:sz="0" w:space="0" w:color="auto"/>
      </w:divBdr>
      <w:divsChild>
        <w:div w:id="845167844">
          <w:marLeft w:val="0"/>
          <w:marRight w:val="0"/>
          <w:marTop w:val="0"/>
          <w:marBottom w:val="0"/>
          <w:divBdr>
            <w:top w:val="none" w:sz="0" w:space="0" w:color="auto"/>
            <w:left w:val="none" w:sz="0" w:space="0" w:color="auto"/>
            <w:bottom w:val="none" w:sz="0" w:space="0" w:color="auto"/>
            <w:right w:val="none" w:sz="0" w:space="0" w:color="auto"/>
          </w:divBdr>
          <w:divsChild>
            <w:div w:id="1857497979">
              <w:marLeft w:val="0"/>
              <w:marRight w:val="0"/>
              <w:marTop w:val="0"/>
              <w:marBottom w:val="0"/>
              <w:divBdr>
                <w:top w:val="none" w:sz="0" w:space="0" w:color="auto"/>
                <w:left w:val="none" w:sz="0" w:space="0" w:color="auto"/>
                <w:bottom w:val="none" w:sz="0" w:space="0" w:color="auto"/>
                <w:right w:val="none" w:sz="0" w:space="0" w:color="auto"/>
              </w:divBdr>
              <w:divsChild>
                <w:div w:id="1656184398">
                  <w:marLeft w:val="0"/>
                  <w:marRight w:val="0"/>
                  <w:marTop w:val="0"/>
                  <w:marBottom w:val="0"/>
                  <w:divBdr>
                    <w:top w:val="none" w:sz="0" w:space="0" w:color="auto"/>
                    <w:left w:val="none" w:sz="0" w:space="0" w:color="auto"/>
                    <w:bottom w:val="none" w:sz="0" w:space="0" w:color="auto"/>
                    <w:right w:val="none" w:sz="0" w:space="0" w:color="auto"/>
                  </w:divBdr>
                  <w:divsChild>
                    <w:div w:id="580992500">
                      <w:marLeft w:val="0"/>
                      <w:marRight w:val="0"/>
                      <w:marTop w:val="0"/>
                      <w:marBottom w:val="0"/>
                      <w:divBdr>
                        <w:top w:val="none" w:sz="0" w:space="0" w:color="auto"/>
                        <w:left w:val="none" w:sz="0" w:space="0" w:color="auto"/>
                        <w:bottom w:val="none" w:sz="0" w:space="0" w:color="auto"/>
                        <w:right w:val="none" w:sz="0" w:space="0" w:color="auto"/>
                      </w:divBdr>
                      <w:divsChild>
                        <w:div w:id="600921281">
                          <w:marLeft w:val="0"/>
                          <w:marRight w:val="0"/>
                          <w:marTop w:val="0"/>
                          <w:marBottom w:val="0"/>
                          <w:divBdr>
                            <w:top w:val="none" w:sz="0" w:space="0" w:color="auto"/>
                            <w:left w:val="none" w:sz="0" w:space="0" w:color="auto"/>
                            <w:bottom w:val="none" w:sz="0" w:space="0" w:color="auto"/>
                            <w:right w:val="none" w:sz="0" w:space="0" w:color="auto"/>
                          </w:divBdr>
                          <w:divsChild>
                            <w:div w:id="2845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1575">
      <w:bodyDiv w:val="1"/>
      <w:marLeft w:val="0"/>
      <w:marRight w:val="0"/>
      <w:marTop w:val="0"/>
      <w:marBottom w:val="0"/>
      <w:divBdr>
        <w:top w:val="none" w:sz="0" w:space="0" w:color="auto"/>
        <w:left w:val="none" w:sz="0" w:space="0" w:color="auto"/>
        <w:bottom w:val="none" w:sz="0" w:space="0" w:color="auto"/>
        <w:right w:val="none" w:sz="0" w:space="0" w:color="auto"/>
      </w:divBdr>
    </w:div>
    <w:div w:id="427700523">
      <w:bodyDiv w:val="1"/>
      <w:marLeft w:val="0"/>
      <w:marRight w:val="0"/>
      <w:marTop w:val="0"/>
      <w:marBottom w:val="0"/>
      <w:divBdr>
        <w:top w:val="none" w:sz="0" w:space="0" w:color="auto"/>
        <w:left w:val="none" w:sz="0" w:space="0" w:color="auto"/>
        <w:bottom w:val="none" w:sz="0" w:space="0" w:color="auto"/>
        <w:right w:val="none" w:sz="0" w:space="0" w:color="auto"/>
      </w:divBdr>
    </w:div>
    <w:div w:id="579948984">
      <w:bodyDiv w:val="1"/>
      <w:marLeft w:val="0"/>
      <w:marRight w:val="0"/>
      <w:marTop w:val="0"/>
      <w:marBottom w:val="0"/>
      <w:divBdr>
        <w:top w:val="none" w:sz="0" w:space="0" w:color="auto"/>
        <w:left w:val="none" w:sz="0" w:space="0" w:color="auto"/>
        <w:bottom w:val="none" w:sz="0" w:space="0" w:color="auto"/>
        <w:right w:val="none" w:sz="0" w:space="0" w:color="auto"/>
      </w:divBdr>
    </w:div>
    <w:div w:id="689839711">
      <w:bodyDiv w:val="1"/>
      <w:marLeft w:val="0"/>
      <w:marRight w:val="0"/>
      <w:marTop w:val="0"/>
      <w:marBottom w:val="0"/>
      <w:divBdr>
        <w:top w:val="none" w:sz="0" w:space="0" w:color="auto"/>
        <w:left w:val="none" w:sz="0" w:space="0" w:color="auto"/>
        <w:bottom w:val="none" w:sz="0" w:space="0" w:color="auto"/>
        <w:right w:val="none" w:sz="0" w:space="0" w:color="auto"/>
      </w:divBdr>
    </w:div>
    <w:div w:id="710694716">
      <w:bodyDiv w:val="1"/>
      <w:marLeft w:val="0"/>
      <w:marRight w:val="0"/>
      <w:marTop w:val="0"/>
      <w:marBottom w:val="0"/>
      <w:divBdr>
        <w:top w:val="none" w:sz="0" w:space="0" w:color="auto"/>
        <w:left w:val="none" w:sz="0" w:space="0" w:color="auto"/>
        <w:bottom w:val="none" w:sz="0" w:space="0" w:color="auto"/>
        <w:right w:val="none" w:sz="0" w:space="0" w:color="auto"/>
      </w:divBdr>
    </w:div>
    <w:div w:id="743991045">
      <w:bodyDiv w:val="1"/>
      <w:marLeft w:val="0"/>
      <w:marRight w:val="0"/>
      <w:marTop w:val="0"/>
      <w:marBottom w:val="0"/>
      <w:divBdr>
        <w:top w:val="none" w:sz="0" w:space="0" w:color="auto"/>
        <w:left w:val="none" w:sz="0" w:space="0" w:color="auto"/>
        <w:bottom w:val="none" w:sz="0" w:space="0" w:color="auto"/>
        <w:right w:val="none" w:sz="0" w:space="0" w:color="auto"/>
      </w:divBdr>
    </w:div>
    <w:div w:id="777600645">
      <w:bodyDiv w:val="1"/>
      <w:marLeft w:val="0"/>
      <w:marRight w:val="0"/>
      <w:marTop w:val="0"/>
      <w:marBottom w:val="0"/>
      <w:divBdr>
        <w:top w:val="none" w:sz="0" w:space="0" w:color="auto"/>
        <w:left w:val="none" w:sz="0" w:space="0" w:color="auto"/>
        <w:bottom w:val="none" w:sz="0" w:space="0" w:color="auto"/>
        <w:right w:val="none" w:sz="0" w:space="0" w:color="auto"/>
      </w:divBdr>
      <w:divsChild>
        <w:div w:id="117989087">
          <w:marLeft w:val="0"/>
          <w:marRight w:val="0"/>
          <w:marTop w:val="0"/>
          <w:marBottom w:val="0"/>
          <w:divBdr>
            <w:top w:val="none" w:sz="0" w:space="0" w:color="auto"/>
            <w:left w:val="none" w:sz="0" w:space="0" w:color="auto"/>
            <w:bottom w:val="none" w:sz="0" w:space="0" w:color="auto"/>
            <w:right w:val="none" w:sz="0" w:space="0" w:color="auto"/>
          </w:divBdr>
          <w:divsChild>
            <w:div w:id="1352491602">
              <w:marLeft w:val="0"/>
              <w:marRight w:val="0"/>
              <w:marTop w:val="0"/>
              <w:marBottom w:val="0"/>
              <w:divBdr>
                <w:top w:val="none" w:sz="0" w:space="0" w:color="auto"/>
                <w:left w:val="none" w:sz="0" w:space="0" w:color="auto"/>
                <w:bottom w:val="none" w:sz="0" w:space="0" w:color="auto"/>
                <w:right w:val="none" w:sz="0" w:space="0" w:color="auto"/>
              </w:divBdr>
              <w:divsChild>
                <w:div w:id="865290320">
                  <w:marLeft w:val="0"/>
                  <w:marRight w:val="0"/>
                  <w:marTop w:val="0"/>
                  <w:marBottom w:val="0"/>
                  <w:divBdr>
                    <w:top w:val="none" w:sz="0" w:space="0" w:color="auto"/>
                    <w:left w:val="none" w:sz="0" w:space="0" w:color="auto"/>
                    <w:bottom w:val="none" w:sz="0" w:space="0" w:color="auto"/>
                    <w:right w:val="none" w:sz="0" w:space="0" w:color="auto"/>
                  </w:divBdr>
                  <w:divsChild>
                    <w:div w:id="1521896621">
                      <w:marLeft w:val="0"/>
                      <w:marRight w:val="0"/>
                      <w:marTop w:val="0"/>
                      <w:marBottom w:val="0"/>
                      <w:divBdr>
                        <w:top w:val="none" w:sz="0" w:space="0" w:color="auto"/>
                        <w:left w:val="none" w:sz="0" w:space="0" w:color="auto"/>
                        <w:bottom w:val="none" w:sz="0" w:space="0" w:color="auto"/>
                        <w:right w:val="none" w:sz="0" w:space="0" w:color="auto"/>
                      </w:divBdr>
                      <w:divsChild>
                        <w:div w:id="871528509">
                          <w:marLeft w:val="0"/>
                          <w:marRight w:val="0"/>
                          <w:marTop w:val="0"/>
                          <w:marBottom w:val="0"/>
                          <w:divBdr>
                            <w:top w:val="none" w:sz="0" w:space="0" w:color="auto"/>
                            <w:left w:val="none" w:sz="0" w:space="0" w:color="auto"/>
                            <w:bottom w:val="none" w:sz="0" w:space="0" w:color="auto"/>
                            <w:right w:val="none" w:sz="0" w:space="0" w:color="auto"/>
                          </w:divBdr>
                          <w:divsChild>
                            <w:div w:id="13573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539772">
      <w:bodyDiv w:val="1"/>
      <w:marLeft w:val="0"/>
      <w:marRight w:val="0"/>
      <w:marTop w:val="0"/>
      <w:marBottom w:val="0"/>
      <w:divBdr>
        <w:top w:val="none" w:sz="0" w:space="0" w:color="auto"/>
        <w:left w:val="none" w:sz="0" w:space="0" w:color="auto"/>
        <w:bottom w:val="none" w:sz="0" w:space="0" w:color="auto"/>
        <w:right w:val="none" w:sz="0" w:space="0" w:color="auto"/>
      </w:divBdr>
    </w:div>
    <w:div w:id="823156626">
      <w:bodyDiv w:val="1"/>
      <w:marLeft w:val="0"/>
      <w:marRight w:val="0"/>
      <w:marTop w:val="0"/>
      <w:marBottom w:val="0"/>
      <w:divBdr>
        <w:top w:val="none" w:sz="0" w:space="0" w:color="auto"/>
        <w:left w:val="none" w:sz="0" w:space="0" w:color="auto"/>
        <w:bottom w:val="none" w:sz="0" w:space="0" w:color="auto"/>
        <w:right w:val="none" w:sz="0" w:space="0" w:color="auto"/>
      </w:divBdr>
    </w:div>
    <w:div w:id="957099734">
      <w:bodyDiv w:val="1"/>
      <w:marLeft w:val="0"/>
      <w:marRight w:val="0"/>
      <w:marTop w:val="0"/>
      <w:marBottom w:val="0"/>
      <w:divBdr>
        <w:top w:val="none" w:sz="0" w:space="0" w:color="auto"/>
        <w:left w:val="none" w:sz="0" w:space="0" w:color="auto"/>
        <w:bottom w:val="none" w:sz="0" w:space="0" w:color="auto"/>
        <w:right w:val="none" w:sz="0" w:space="0" w:color="auto"/>
      </w:divBdr>
    </w:div>
    <w:div w:id="989988449">
      <w:bodyDiv w:val="1"/>
      <w:marLeft w:val="0"/>
      <w:marRight w:val="0"/>
      <w:marTop w:val="0"/>
      <w:marBottom w:val="0"/>
      <w:divBdr>
        <w:top w:val="none" w:sz="0" w:space="0" w:color="auto"/>
        <w:left w:val="none" w:sz="0" w:space="0" w:color="auto"/>
        <w:bottom w:val="none" w:sz="0" w:space="0" w:color="auto"/>
        <w:right w:val="none" w:sz="0" w:space="0" w:color="auto"/>
      </w:divBdr>
    </w:div>
    <w:div w:id="1206792865">
      <w:bodyDiv w:val="1"/>
      <w:marLeft w:val="0"/>
      <w:marRight w:val="0"/>
      <w:marTop w:val="0"/>
      <w:marBottom w:val="0"/>
      <w:divBdr>
        <w:top w:val="none" w:sz="0" w:space="0" w:color="auto"/>
        <w:left w:val="none" w:sz="0" w:space="0" w:color="auto"/>
        <w:bottom w:val="none" w:sz="0" w:space="0" w:color="auto"/>
        <w:right w:val="none" w:sz="0" w:space="0" w:color="auto"/>
      </w:divBdr>
    </w:div>
    <w:div w:id="1234777490">
      <w:bodyDiv w:val="1"/>
      <w:marLeft w:val="0"/>
      <w:marRight w:val="0"/>
      <w:marTop w:val="0"/>
      <w:marBottom w:val="0"/>
      <w:divBdr>
        <w:top w:val="none" w:sz="0" w:space="0" w:color="auto"/>
        <w:left w:val="none" w:sz="0" w:space="0" w:color="auto"/>
        <w:bottom w:val="none" w:sz="0" w:space="0" w:color="auto"/>
        <w:right w:val="none" w:sz="0" w:space="0" w:color="auto"/>
      </w:divBdr>
    </w:div>
    <w:div w:id="1323658153">
      <w:bodyDiv w:val="1"/>
      <w:marLeft w:val="0"/>
      <w:marRight w:val="0"/>
      <w:marTop w:val="0"/>
      <w:marBottom w:val="0"/>
      <w:divBdr>
        <w:top w:val="none" w:sz="0" w:space="0" w:color="auto"/>
        <w:left w:val="none" w:sz="0" w:space="0" w:color="auto"/>
        <w:bottom w:val="none" w:sz="0" w:space="0" w:color="auto"/>
        <w:right w:val="none" w:sz="0" w:space="0" w:color="auto"/>
      </w:divBdr>
    </w:div>
    <w:div w:id="1382099293">
      <w:bodyDiv w:val="1"/>
      <w:marLeft w:val="0"/>
      <w:marRight w:val="0"/>
      <w:marTop w:val="0"/>
      <w:marBottom w:val="0"/>
      <w:divBdr>
        <w:top w:val="none" w:sz="0" w:space="0" w:color="auto"/>
        <w:left w:val="none" w:sz="0" w:space="0" w:color="auto"/>
        <w:bottom w:val="none" w:sz="0" w:space="0" w:color="auto"/>
        <w:right w:val="none" w:sz="0" w:space="0" w:color="auto"/>
      </w:divBdr>
    </w:div>
    <w:div w:id="1449159429">
      <w:bodyDiv w:val="1"/>
      <w:marLeft w:val="0"/>
      <w:marRight w:val="0"/>
      <w:marTop w:val="0"/>
      <w:marBottom w:val="0"/>
      <w:divBdr>
        <w:top w:val="none" w:sz="0" w:space="0" w:color="auto"/>
        <w:left w:val="none" w:sz="0" w:space="0" w:color="auto"/>
        <w:bottom w:val="none" w:sz="0" w:space="0" w:color="auto"/>
        <w:right w:val="none" w:sz="0" w:space="0" w:color="auto"/>
      </w:divBdr>
    </w:div>
    <w:div w:id="1454404705">
      <w:bodyDiv w:val="1"/>
      <w:marLeft w:val="0"/>
      <w:marRight w:val="0"/>
      <w:marTop w:val="0"/>
      <w:marBottom w:val="0"/>
      <w:divBdr>
        <w:top w:val="none" w:sz="0" w:space="0" w:color="auto"/>
        <w:left w:val="none" w:sz="0" w:space="0" w:color="auto"/>
        <w:bottom w:val="none" w:sz="0" w:space="0" w:color="auto"/>
        <w:right w:val="none" w:sz="0" w:space="0" w:color="auto"/>
      </w:divBdr>
    </w:div>
    <w:div w:id="1483623643">
      <w:bodyDiv w:val="1"/>
      <w:marLeft w:val="0"/>
      <w:marRight w:val="0"/>
      <w:marTop w:val="0"/>
      <w:marBottom w:val="0"/>
      <w:divBdr>
        <w:top w:val="none" w:sz="0" w:space="0" w:color="auto"/>
        <w:left w:val="none" w:sz="0" w:space="0" w:color="auto"/>
        <w:bottom w:val="none" w:sz="0" w:space="0" w:color="auto"/>
        <w:right w:val="none" w:sz="0" w:space="0" w:color="auto"/>
      </w:divBdr>
    </w:div>
    <w:div w:id="1615361271">
      <w:bodyDiv w:val="1"/>
      <w:marLeft w:val="0"/>
      <w:marRight w:val="0"/>
      <w:marTop w:val="0"/>
      <w:marBottom w:val="0"/>
      <w:divBdr>
        <w:top w:val="none" w:sz="0" w:space="0" w:color="auto"/>
        <w:left w:val="none" w:sz="0" w:space="0" w:color="auto"/>
        <w:bottom w:val="none" w:sz="0" w:space="0" w:color="auto"/>
        <w:right w:val="none" w:sz="0" w:space="0" w:color="auto"/>
      </w:divBdr>
    </w:div>
    <w:div w:id="1626543509">
      <w:bodyDiv w:val="1"/>
      <w:marLeft w:val="0"/>
      <w:marRight w:val="0"/>
      <w:marTop w:val="0"/>
      <w:marBottom w:val="0"/>
      <w:divBdr>
        <w:top w:val="none" w:sz="0" w:space="0" w:color="auto"/>
        <w:left w:val="none" w:sz="0" w:space="0" w:color="auto"/>
        <w:bottom w:val="none" w:sz="0" w:space="0" w:color="auto"/>
        <w:right w:val="none" w:sz="0" w:space="0" w:color="auto"/>
      </w:divBdr>
    </w:div>
    <w:div w:id="1669211375">
      <w:bodyDiv w:val="1"/>
      <w:marLeft w:val="0"/>
      <w:marRight w:val="0"/>
      <w:marTop w:val="0"/>
      <w:marBottom w:val="0"/>
      <w:divBdr>
        <w:top w:val="none" w:sz="0" w:space="0" w:color="auto"/>
        <w:left w:val="none" w:sz="0" w:space="0" w:color="auto"/>
        <w:bottom w:val="none" w:sz="0" w:space="0" w:color="auto"/>
        <w:right w:val="none" w:sz="0" w:space="0" w:color="auto"/>
      </w:divBdr>
    </w:div>
    <w:div w:id="1875580134">
      <w:bodyDiv w:val="1"/>
      <w:marLeft w:val="0"/>
      <w:marRight w:val="0"/>
      <w:marTop w:val="0"/>
      <w:marBottom w:val="0"/>
      <w:divBdr>
        <w:top w:val="none" w:sz="0" w:space="0" w:color="auto"/>
        <w:left w:val="none" w:sz="0" w:space="0" w:color="auto"/>
        <w:bottom w:val="none" w:sz="0" w:space="0" w:color="auto"/>
        <w:right w:val="none" w:sz="0" w:space="0" w:color="auto"/>
      </w:divBdr>
      <w:divsChild>
        <w:div w:id="504245100">
          <w:marLeft w:val="0"/>
          <w:marRight w:val="0"/>
          <w:marTop w:val="0"/>
          <w:marBottom w:val="0"/>
          <w:divBdr>
            <w:top w:val="none" w:sz="0" w:space="0" w:color="auto"/>
            <w:left w:val="none" w:sz="0" w:space="0" w:color="auto"/>
            <w:bottom w:val="none" w:sz="0" w:space="0" w:color="auto"/>
            <w:right w:val="none" w:sz="0" w:space="0" w:color="auto"/>
          </w:divBdr>
          <w:divsChild>
            <w:div w:id="1054157958">
              <w:marLeft w:val="0"/>
              <w:marRight w:val="0"/>
              <w:marTop w:val="0"/>
              <w:marBottom w:val="0"/>
              <w:divBdr>
                <w:top w:val="none" w:sz="0" w:space="0" w:color="auto"/>
                <w:left w:val="none" w:sz="0" w:space="0" w:color="auto"/>
                <w:bottom w:val="none" w:sz="0" w:space="0" w:color="auto"/>
                <w:right w:val="none" w:sz="0" w:space="0" w:color="auto"/>
              </w:divBdr>
              <w:divsChild>
                <w:div w:id="822508674">
                  <w:marLeft w:val="0"/>
                  <w:marRight w:val="0"/>
                  <w:marTop w:val="0"/>
                  <w:marBottom w:val="0"/>
                  <w:divBdr>
                    <w:top w:val="none" w:sz="0" w:space="0" w:color="auto"/>
                    <w:left w:val="none" w:sz="0" w:space="0" w:color="auto"/>
                    <w:bottom w:val="none" w:sz="0" w:space="0" w:color="auto"/>
                    <w:right w:val="none" w:sz="0" w:space="0" w:color="auto"/>
                  </w:divBdr>
                  <w:divsChild>
                    <w:div w:id="985864945">
                      <w:marLeft w:val="0"/>
                      <w:marRight w:val="0"/>
                      <w:marTop w:val="0"/>
                      <w:marBottom w:val="0"/>
                      <w:divBdr>
                        <w:top w:val="none" w:sz="0" w:space="0" w:color="auto"/>
                        <w:left w:val="none" w:sz="0" w:space="0" w:color="auto"/>
                        <w:bottom w:val="none" w:sz="0" w:space="0" w:color="auto"/>
                        <w:right w:val="none" w:sz="0" w:space="0" w:color="auto"/>
                      </w:divBdr>
                      <w:divsChild>
                        <w:div w:id="1432505427">
                          <w:marLeft w:val="0"/>
                          <w:marRight w:val="0"/>
                          <w:marTop w:val="0"/>
                          <w:marBottom w:val="0"/>
                          <w:divBdr>
                            <w:top w:val="none" w:sz="0" w:space="0" w:color="auto"/>
                            <w:left w:val="none" w:sz="0" w:space="0" w:color="auto"/>
                            <w:bottom w:val="none" w:sz="0" w:space="0" w:color="auto"/>
                            <w:right w:val="none" w:sz="0" w:space="0" w:color="auto"/>
                          </w:divBdr>
                          <w:divsChild>
                            <w:div w:id="16719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633621">
      <w:bodyDiv w:val="1"/>
      <w:marLeft w:val="0"/>
      <w:marRight w:val="0"/>
      <w:marTop w:val="0"/>
      <w:marBottom w:val="0"/>
      <w:divBdr>
        <w:top w:val="none" w:sz="0" w:space="0" w:color="auto"/>
        <w:left w:val="none" w:sz="0" w:space="0" w:color="auto"/>
        <w:bottom w:val="none" w:sz="0" w:space="0" w:color="auto"/>
        <w:right w:val="none" w:sz="0" w:space="0" w:color="auto"/>
      </w:divBdr>
    </w:div>
    <w:div w:id="1935436935">
      <w:bodyDiv w:val="1"/>
      <w:marLeft w:val="0"/>
      <w:marRight w:val="0"/>
      <w:marTop w:val="0"/>
      <w:marBottom w:val="0"/>
      <w:divBdr>
        <w:top w:val="none" w:sz="0" w:space="0" w:color="auto"/>
        <w:left w:val="none" w:sz="0" w:space="0" w:color="auto"/>
        <w:bottom w:val="none" w:sz="0" w:space="0" w:color="auto"/>
        <w:right w:val="none" w:sz="0" w:space="0" w:color="auto"/>
      </w:divBdr>
    </w:div>
    <w:div w:id="1986080682">
      <w:bodyDiv w:val="1"/>
      <w:marLeft w:val="0"/>
      <w:marRight w:val="0"/>
      <w:marTop w:val="0"/>
      <w:marBottom w:val="0"/>
      <w:divBdr>
        <w:top w:val="none" w:sz="0" w:space="0" w:color="auto"/>
        <w:left w:val="none" w:sz="0" w:space="0" w:color="auto"/>
        <w:bottom w:val="none" w:sz="0" w:space="0" w:color="auto"/>
        <w:right w:val="none" w:sz="0" w:space="0" w:color="auto"/>
      </w:divBdr>
    </w:div>
    <w:div w:id="1995253850">
      <w:bodyDiv w:val="1"/>
      <w:marLeft w:val="0"/>
      <w:marRight w:val="0"/>
      <w:marTop w:val="0"/>
      <w:marBottom w:val="0"/>
      <w:divBdr>
        <w:top w:val="none" w:sz="0" w:space="0" w:color="auto"/>
        <w:left w:val="none" w:sz="0" w:space="0" w:color="auto"/>
        <w:bottom w:val="none" w:sz="0" w:space="0" w:color="auto"/>
        <w:right w:val="none" w:sz="0" w:space="0" w:color="auto"/>
      </w:divBdr>
    </w:div>
    <w:div w:id="20557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551-8212" TargetMode="External"/><Relationship Id="rId3" Type="http://schemas.openxmlformats.org/officeDocument/2006/relationships/settings" Target="settings.xml"/><Relationship Id="rId7" Type="http://schemas.openxmlformats.org/officeDocument/2006/relationships/hyperlink" Target="javascript:linkTo_UnCryptMailto('ocknvq,vjqocu0rtwginBwpkxkg0ce0c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g-ktf.univie.ac.at/theologische-mediaevistik/mittelalterliche-und-fruehneuzeitliche-text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BAAE2-62EF-4923-B1A4-66CD5E4C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4056</Words>
  <Characters>23120</Characters>
  <Application>Microsoft Office Word</Application>
  <DocSecurity>0</DocSecurity>
  <Lines>192</Lines>
  <Paragraphs>54</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4</cp:revision>
  <dcterms:created xsi:type="dcterms:W3CDTF">2026-03-20T20:18:00Z</dcterms:created>
  <dcterms:modified xsi:type="dcterms:W3CDTF">2026-07-07T11:55:00Z</dcterms:modified>
</cp:coreProperties>
</file>