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1BB08" w14:textId="77777777" w:rsidR="007F7CE4" w:rsidRPr="00E1185A" w:rsidRDefault="00036334" w:rsidP="007F7CE4">
      <w:pPr>
        <w:pStyle w:val="NoSpacing"/>
        <w:rPr>
          <w:rFonts w:ascii="Times New Roman" w:hAnsi="Times New Roman" w:cs="Times New Roman"/>
          <w:shd w:val="clear" w:color="auto" w:fill="FFFFFF"/>
          <w:lang w:val="en-US"/>
        </w:rPr>
      </w:pPr>
      <w:r w:rsidRPr="00036334">
        <w:rPr>
          <w:rFonts w:ascii="Times New Roman" w:hAnsi="Times New Roman" w:cs="Times New Roman"/>
          <w:color w:val="000000"/>
          <w:sz w:val="24"/>
          <w:szCs w:val="24"/>
          <w:u w:val="single"/>
          <w:lang w:val="en-US"/>
        </w:rPr>
        <w:t xml:space="preserve">KS. IOAN MOGA </w:t>
      </w:r>
      <w:r w:rsidRPr="00036334">
        <w:rPr>
          <w:rFonts w:ascii="Times New Roman" w:hAnsi="Times New Roman" w:cs="Times New Roman"/>
          <w:color w:val="000000"/>
          <w:sz w:val="24"/>
          <w:szCs w:val="24"/>
          <w:u w:val="single"/>
          <w:lang w:val="en-US"/>
        </w:rPr>
        <w:br/>
      </w:r>
      <w:r w:rsidR="007F7CE4" w:rsidRPr="00E1185A">
        <w:rPr>
          <w:rFonts w:ascii="Times New Roman" w:hAnsi="Times New Roman" w:cs="Times New Roman"/>
          <w:shd w:val="clear" w:color="auto" w:fill="FFFFFF"/>
          <w:lang w:val="en-US"/>
        </w:rPr>
        <w:t>University of Vienna, Austria</w:t>
      </w:r>
    </w:p>
    <w:p w14:paraId="38B0EC03" w14:textId="77777777" w:rsidR="007F7CE4" w:rsidRPr="00036334" w:rsidRDefault="007F7CE4" w:rsidP="007F7CE4">
      <w:pPr>
        <w:pStyle w:val="NoSpacing"/>
        <w:rPr>
          <w:rFonts w:ascii="Times New Roman" w:hAnsi="Times New Roman" w:cs="Times New Roman"/>
          <w:i/>
          <w:iCs/>
          <w:lang w:val="de-AT"/>
        </w:rPr>
      </w:pPr>
      <w:r w:rsidRPr="00E1185A">
        <w:rPr>
          <w:rFonts w:ascii="Times New Roman" w:hAnsi="Times New Roman" w:cs="Times New Roman"/>
          <w:shd w:val="clear" w:color="auto" w:fill="FFFFFF"/>
          <w:lang w:val="it-IT"/>
        </w:rPr>
        <w:t xml:space="preserve">e-mail: </w:t>
      </w:r>
      <w:r w:rsidR="00036334" w:rsidRPr="00036334">
        <w:rPr>
          <w:rStyle w:val="Emphasis"/>
          <w:rFonts w:ascii="Times New Roman" w:hAnsi="Times New Roman" w:cs="Times New Roman"/>
          <w:i w:val="0"/>
          <w:iCs w:val="0"/>
          <w:sz w:val="24"/>
          <w:szCs w:val="24"/>
          <w:shd w:val="clear" w:color="auto" w:fill="FFFFFF"/>
          <w:lang w:val="de-AT"/>
        </w:rPr>
        <w:t>ioan.moga@univie.ac.at</w:t>
      </w:r>
    </w:p>
    <w:p w14:paraId="765AFB37" w14:textId="77777777" w:rsidR="007F7CE4" w:rsidRPr="00E1185A" w:rsidRDefault="007F7CE4" w:rsidP="007F7CE4">
      <w:pPr>
        <w:pStyle w:val="NoSpacing"/>
        <w:rPr>
          <w:rFonts w:ascii="Times New Roman" w:hAnsi="Times New Roman" w:cs="Times New Roman"/>
          <w:lang w:val="en-US"/>
        </w:rPr>
      </w:pPr>
      <w:r w:rsidRPr="00E1185A">
        <w:rPr>
          <w:rFonts w:ascii="Times New Roman" w:hAnsi="Times New Roman" w:cs="Times New Roman"/>
          <w:lang w:val="en-US"/>
        </w:rPr>
        <w:t>ORCID:</w:t>
      </w:r>
      <w:r w:rsidRPr="00036334">
        <w:rPr>
          <w:rFonts w:ascii="Times New Roman" w:hAnsi="Times New Roman" w:cs="Times New Roman"/>
          <w:sz w:val="24"/>
          <w:szCs w:val="24"/>
          <w:lang w:val="en-US"/>
        </w:rPr>
        <w:t xml:space="preserve"> </w:t>
      </w:r>
      <w:hyperlink r:id="rId8" w:history="1">
        <w:r w:rsidR="00036334" w:rsidRPr="00036334">
          <w:rPr>
            <w:rStyle w:val="Hyperlink"/>
            <w:rFonts w:ascii="Times New Roman" w:hAnsi="Times New Roman"/>
            <w:color w:val="auto"/>
            <w:sz w:val="24"/>
            <w:szCs w:val="24"/>
            <w:u w:val="none"/>
          </w:rPr>
          <w:t>0000-0002-7218-3921</w:t>
        </w:r>
      </w:hyperlink>
    </w:p>
    <w:p w14:paraId="1B645BCD" w14:textId="538A7BAE" w:rsidR="007F7CE4" w:rsidRDefault="007F7CE4" w:rsidP="007F7CE4">
      <w:pPr>
        <w:spacing w:line="240" w:lineRule="auto"/>
        <w:rPr>
          <w:rFonts w:ascii="Times New Roman" w:hAnsi="Times New Roman" w:cs="Times New Roman"/>
          <w:sz w:val="24"/>
          <w:szCs w:val="24"/>
        </w:rPr>
      </w:pPr>
      <w:r>
        <w:rPr>
          <w:rFonts w:ascii="Times New Roman" w:hAnsi="Times New Roman" w:cs="Times New Roman"/>
          <w:sz w:val="24"/>
          <w:szCs w:val="24"/>
        </w:rPr>
        <w:t>DOI:</w:t>
      </w:r>
      <w:r w:rsidR="006F7CCA">
        <w:rPr>
          <w:rFonts w:ascii="Times New Roman" w:hAnsi="Times New Roman" w:cs="Times New Roman"/>
          <w:sz w:val="24"/>
          <w:szCs w:val="24"/>
        </w:rPr>
        <w:t xml:space="preserve"> </w:t>
      </w:r>
      <w:r w:rsidR="006F7CCA" w:rsidRPr="006F7CCA">
        <w:rPr>
          <w:rFonts w:ascii="Times New Roman" w:hAnsi="Times New Roman" w:cs="Times New Roman"/>
          <w:sz w:val="24"/>
          <w:szCs w:val="24"/>
        </w:rPr>
        <w:t>10.48224/COM-232-2025-69</w:t>
      </w:r>
    </w:p>
    <w:p w14:paraId="742293D2" w14:textId="77777777" w:rsidR="007F7CE4" w:rsidRPr="003547C4" w:rsidRDefault="007F7CE4" w:rsidP="007F7CE4">
      <w:pPr>
        <w:pStyle w:val="NoSpacing"/>
        <w:rPr>
          <w:rFonts w:ascii="Times New Roman" w:hAnsi="Times New Roman" w:cs="Times New Roma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tblGrid>
      <w:tr w:rsidR="007F7CE4" w:rsidRPr="003D0426" w14:paraId="774AD084" w14:textId="77777777" w:rsidTr="009475B4">
        <w:trPr>
          <w:trHeight w:val="724"/>
          <w:jc w:val="right"/>
        </w:trPr>
        <w:tc>
          <w:tcPr>
            <w:tcW w:w="3685" w:type="dxa"/>
            <w:hideMark/>
          </w:tcPr>
          <w:p w14:paraId="6D8DE303" w14:textId="77777777" w:rsidR="007F7CE4" w:rsidRPr="00F972E6" w:rsidRDefault="007F7CE4" w:rsidP="009475B4">
            <w:pPr>
              <w:jc w:val="center"/>
              <w:rPr>
                <w:rFonts w:ascii="Times New Roman" w:hAnsi="Times New Roman" w:cs="Times New Roman"/>
                <w:sz w:val="20"/>
                <w:szCs w:val="20"/>
              </w:rPr>
            </w:pPr>
            <w:r w:rsidRPr="0096014D">
              <w:rPr>
                <w:sz w:val="20"/>
                <w:szCs w:val="20"/>
                <w:lang w:val="en-US"/>
              </w:rPr>
              <w:br/>
            </w:r>
            <w:r w:rsidRPr="00F972E6">
              <w:rPr>
                <w:rFonts w:ascii="Times New Roman" w:hAnsi="Times New Roman" w:cs="Times New Roman"/>
                <w:sz w:val="20"/>
                <w:szCs w:val="20"/>
              </w:rPr>
              <w:t>Communio 45(2025)</w:t>
            </w:r>
            <w:r>
              <w:rPr>
                <w:rFonts w:ascii="Times New Roman" w:hAnsi="Times New Roman" w:cs="Times New Roman"/>
                <w:sz w:val="20"/>
                <w:szCs w:val="20"/>
              </w:rPr>
              <w:t>4</w:t>
            </w:r>
            <w:r w:rsidRPr="00F972E6">
              <w:rPr>
                <w:rFonts w:ascii="Times New Roman" w:hAnsi="Times New Roman" w:cs="Times New Roman"/>
                <w:sz w:val="20"/>
                <w:szCs w:val="20"/>
              </w:rPr>
              <w:t>, s. 2-2</w:t>
            </w:r>
          </w:p>
        </w:tc>
      </w:tr>
    </w:tbl>
    <w:p w14:paraId="0C2E3D7C" w14:textId="77777777" w:rsidR="007F7CE4" w:rsidRDefault="007F7CE4" w:rsidP="007F7CE4">
      <w:pPr>
        <w:spacing w:line="240" w:lineRule="auto"/>
        <w:jc w:val="center"/>
      </w:pPr>
    </w:p>
    <w:p w14:paraId="64F97651" w14:textId="77777777" w:rsidR="00C03CCC" w:rsidRPr="00C03CCC" w:rsidRDefault="00C03CCC" w:rsidP="007F7CE4">
      <w:pPr>
        <w:rPr>
          <w:rFonts w:ascii="Times New Roman" w:hAnsi="Times New Roman" w:cs="Times New Roman"/>
          <w:color w:val="000000"/>
          <w:sz w:val="24"/>
          <w:szCs w:val="24"/>
        </w:rPr>
      </w:pPr>
    </w:p>
    <w:p w14:paraId="513CEB13" w14:textId="77777777" w:rsidR="00781333" w:rsidRPr="007F7CE4" w:rsidRDefault="00781333" w:rsidP="007F7CE4">
      <w:pPr>
        <w:pStyle w:val="NoSpacing"/>
        <w:jc w:val="center"/>
        <w:rPr>
          <w:rFonts w:ascii="Times New Roman" w:hAnsi="Times New Roman" w:cs="Times New Roman"/>
          <w:b/>
          <w:bCs/>
          <w:sz w:val="28"/>
          <w:szCs w:val="28"/>
        </w:rPr>
      </w:pPr>
      <w:r w:rsidRPr="007F7CE4">
        <w:rPr>
          <w:rFonts w:ascii="Times New Roman" w:hAnsi="Times New Roman" w:cs="Times New Roman"/>
          <w:b/>
          <w:bCs/>
          <w:sz w:val="28"/>
          <w:szCs w:val="28"/>
        </w:rPr>
        <w:t>C</w:t>
      </w:r>
      <w:r w:rsidR="007F7CE4" w:rsidRPr="007F7CE4">
        <w:rPr>
          <w:rFonts w:ascii="Times New Roman" w:hAnsi="Times New Roman" w:cs="Times New Roman"/>
          <w:b/>
          <w:bCs/>
          <w:sz w:val="28"/>
          <w:szCs w:val="28"/>
        </w:rPr>
        <w:t>elebrowanie pamięci jako ćwiczenie czujności</w:t>
      </w:r>
    </w:p>
    <w:p w14:paraId="29131617" w14:textId="77777777" w:rsidR="00C03CCC" w:rsidRDefault="00781333" w:rsidP="007F7CE4">
      <w:pPr>
        <w:pStyle w:val="NoSpacing"/>
        <w:jc w:val="center"/>
        <w:rPr>
          <w:rFonts w:ascii="Times New Roman" w:hAnsi="Times New Roman" w:cs="Times New Roman"/>
          <w:b/>
          <w:bCs/>
          <w:sz w:val="28"/>
          <w:szCs w:val="28"/>
        </w:rPr>
      </w:pPr>
      <w:r w:rsidRPr="007F7CE4">
        <w:rPr>
          <w:rFonts w:ascii="Times New Roman" w:hAnsi="Times New Roman" w:cs="Times New Roman"/>
          <w:b/>
          <w:bCs/>
          <w:sz w:val="28"/>
          <w:szCs w:val="28"/>
        </w:rPr>
        <w:t>Sobór Nicejski (325) w Kościele prawosławnym</w:t>
      </w:r>
    </w:p>
    <w:p w14:paraId="5C433031" w14:textId="77777777" w:rsidR="007F7CE4" w:rsidRDefault="007F7CE4" w:rsidP="007F7CE4">
      <w:pPr>
        <w:pStyle w:val="NoSpacing"/>
        <w:jc w:val="center"/>
        <w:rPr>
          <w:rFonts w:ascii="Times New Roman" w:hAnsi="Times New Roman" w:cs="Times New Roman"/>
          <w:b/>
          <w:bCs/>
          <w:sz w:val="28"/>
          <w:szCs w:val="28"/>
        </w:rPr>
      </w:pPr>
    </w:p>
    <w:p w14:paraId="189CBEB7" w14:textId="77777777" w:rsidR="007F7CE4" w:rsidRPr="007F7CE4" w:rsidRDefault="007F7CE4" w:rsidP="007F7CE4">
      <w:pPr>
        <w:pStyle w:val="NoSpacing"/>
        <w:jc w:val="center"/>
        <w:rPr>
          <w:rFonts w:ascii="Times New Roman" w:hAnsi="Times New Roman" w:cs="Times New Roman"/>
          <w:b/>
          <w:bCs/>
          <w:sz w:val="28"/>
          <w:szCs w:val="28"/>
          <w:lang w:val="en-US"/>
        </w:rPr>
      </w:pPr>
      <w:r w:rsidRPr="007F7CE4">
        <w:rPr>
          <w:rFonts w:ascii="Times New Roman" w:hAnsi="Times New Roman" w:cs="Times New Roman"/>
          <w:b/>
          <w:bCs/>
          <w:sz w:val="28"/>
          <w:szCs w:val="28"/>
          <w:lang w:val="en-US"/>
        </w:rPr>
        <w:t xml:space="preserve">The Celebrating Memory as an Exercise in Vigilance </w:t>
      </w:r>
    </w:p>
    <w:p w14:paraId="504D3012" w14:textId="77777777" w:rsidR="007F7CE4" w:rsidRPr="007F7CE4" w:rsidRDefault="007F7CE4" w:rsidP="007F7CE4">
      <w:pPr>
        <w:pStyle w:val="NoSpacing"/>
        <w:jc w:val="center"/>
        <w:rPr>
          <w:rFonts w:ascii="Times New Roman" w:hAnsi="Times New Roman" w:cs="Times New Roman"/>
          <w:b/>
          <w:bCs/>
          <w:sz w:val="28"/>
          <w:szCs w:val="28"/>
          <w:lang w:val="en-US"/>
        </w:rPr>
      </w:pPr>
      <w:r w:rsidRPr="007F7CE4">
        <w:rPr>
          <w:rFonts w:ascii="Times New Roman" w:hAnsi="Times New Roman" w:cs="Times New Roman"/>
          <w:b/>
          <w:bCs/>
          <w:sz w:val="28"/>
          <w:szCs w:val="28"/>
          <w:lang w:val="en-US"/>
        </w:rPr>
        <w:t>The Council of Nica</w:t>
      </w:r>
      <w:r>
        <w:rPr>
          <w:rFonts w:ascii="Times New Roman" w:hAnsi="Times New Roman" w:cs="Times New Roman"/>
          <w:b/>
          <w:bCs/>
          <w:sz w:val="28"/>
          <w:szCs w:val="28"/>
          <w:lang w:val="en-US"/>
        </w:rPr>
        <w:t>ea (325) in the Orthodox Church</w:t>
      </w:r>
    </w:p>
    <w:p w14:paraId="3C3A0838" w14:textId="77777777" w:rsidR="007F7CE4" w:rsidRPr="007F7CE4" w:rsidRDefault="007F7CE4" w:rsidP="007F7CE4">
      <w:pPr>
        <w:spacing w:after="0" w:line="240" w:lineRule="auto"/>
        <w:jc w:val="center"/>
        <w:rPr>
          <w:rFonts w:ascii="Times New Roman" w:hAnsi="Times New Roman" w:cs="Times New Roman"/>
          <w:b/>
          <w:bCs/>
          <w:sz w:val="20"/>
          <w:szCs w:val="20"/>
          <w:lang w:val="en-US"/>
        </w:rPr>
      </w:pPr>
    </w:p>
    <w:p w14:paraId="195A127B" w14:textId="77777777" w:rsidR="007F7CE4" w:rsidRPr="007F7CE4" w:rsidRDefault="007F7CE4" w:rsidP="007F7CE4">
      <w:pPr>
        <w:spacing w:after="0" w:line="240" w:lineRule="auto"/>
        <w:jc w:val="center"/>
        <w:rPr>
          <w:rFonts w:ascii="Times New Roman" w:hAnsi="Times New Roman" w:cs="Times New Roman"/>
          <w:b/>
          <w:bCs/>
          <w:sz w:val="20"/>
          <w:szCs w:val="20"/>
          <w:lang w:val="en-US"/>
        </w:rPr>
      </w:pPr>
      <w:r w:rsidRPr="007F7CE4">
        <w:rPr>
          <w:rFonts w:ascii="Times New Roman" w:hAnsi="Times New Roman" w:cs="Times New Roman"/>
          <w:b/>
          <w:bCs/>
          <w:sz w:val="20"/>
          <w:szCs w:val="20"/>
          <w:lang w:val="en-US"/>
        </w:rPr>
        <w:t xml:space="preserve">Abstract </w:t>
      </w:r>
    </w:p>
    <w:p w14:paraId="2F83ACC3" w14:textId="77777777" w:rsidR="007F7CE4" w:rsidRPr="007F7CE4" w:rsidRDefault="007F7CE4" w:rsidP="007F7CE4">
      <w:pPr>
        <w:spacing w:after="0" w:line="240" w:lineRule="auto"/>
        <w:jc w:val="both"/>
        <w:rPr>
          <w:rFonts w:ascii="Times New Roman" w:hAnsi="Times New Roman" w:cs="Times New Roman"/>
          <w:sz w:val="20"/>
          <w:szCs w:val="20"/>
          <w:lang w:val="en-US"/>
        </w:rPr>
      </w:pPr>
      <w:r w:rsidRPr="007F7CE4">
        <w:rPr>
          <w:rFonts w:ascii="Times New Roman" w:hAnsi="Times New Roman" w:cs="Times New Roman"/>
          <w:sz w:val="20"/>
          <w:szCs w:val="20"/>
          <w:lang w:val="en-US"/>
        </w:rPr>
        <w:t>The essay is dedicated to the way in which the first ecumenical council (Nicaea 325) is embedded in the celebratory culture of remembrance (heortology) and the iconic-narrative world (iconography) of the Orthodox Church. Among other things, the author argues in favour of the introduction of a feast day of the Nicene Council to be celebrated throughout Christendom, as the heortological equivalent of a growing synodal ethos. Furthermore, the author asks about the possible relevance of the 1700 year anniversary of Nicea for today’s discourse, emphasizing the challenging centrality of genuine theological questions (Triadology and Christology).</w:t>
      </w:r>
    </w:p>
    <w:p w14:paraId="69877188" w14:textId="77777777" w:rsidR="007F7CE4" w:rsidRPr="007F7CE4" w:rsidRDefault="007F7CE4" w:rsidP="007F7CE4">
      <w:pPr>
        <w:spacing w:after="0" w:line="240" w:lineRule="auto"/>
        <w:rPr>
          <w:rFonts w:ascii="Times New Roman" w:hAnsi="Times New Roman" w:cs="Times New Roman"/>
          <w:sz w:val="20"/>
          <w:szCs w:val="20"/>
          <w:lang w:val="en-US"/>
        </w:rPr>
      </w:pPr>
    </w:p>
    <w:p w14:paraId="0C1B4D32" w14:textId="77777777" w:rsidR="007F7CE4" w:rsidRPr="007F7CE4" w:rsidRDefault="007F7CE4" w:rsidP="007F7CE4">
      <w:pPr>
        <w:spacing w:after="0" w:line="240" w:lineRule="auto"/>
        <w:rPr>
          <w:rFonts w:ascii="Times New Roman" w:hAnsi="Times New Roman" w:cs="Times New Roman"/>
          <w:sz w:val="20"/>
          <w:szCs w:val="20"/>
          <w:lang w:val="en-US"/>
        </w:rPr>
      </w:pPr>
      <w:r w:rsidRPr="007F7CE4">
        <w:rPr>
          <w:rFonts w:ascii="Times New Roman" w:hAnsi="Times New Roman" w:cs="Times New Roman"/>
          <w:b/>
          <w:bCs/>
          <w:sz w:val="20"/>
          <w:szCs w:val="20"/>
          <w:lang w:val="en-US"/>
        </w:rPr>
        <w:t xml:space="preserve"> Keywords:</w:t>
      </w:r>
      <w:r w:rsidRPr="007F7CE4">
        <w:rPr>
          <w:rFonts w:ascii="Times New Roman" w:hAnsi="Times New Roman" w:cs="Times New Roman"/>
          <w:sz w:val="20"/>
          <w:szCs w:val="20"/>
          <w:lang w:val="en-US"/>
        </w:rPr>
        <w:t xml:space="preserve"> Council of Nicea – Heortology – Iconography – Orthodox Church</w:t>
      </w:r>
    </w:p>
    <w:p w14:paraId="0E6D2207" w14:textId="77777777" w:rsidR="007F7CE4" w:rsidRPr="007F7CE4" w:rsidRDefault="007F7CE4" w:rsidP="007F7CE4">
      <w:pPr>
        <w:spacing w:after="0" w:line="240" w:lineRule="auto"/>
        <w:jc w:val="center"/>
        <w:rPr>
          <w:rFonts w:ascii="Times New Roman" w:hAnsi="Times New Roman" w:cs="Times New Roman"/>
          <w:b/>
          <w:bCs/>
          <w:sz w:val="20"/>
          <w:szCs w:val="20"/>
          <w:lang w:val="en-US"/>
        </w:rPr>
      </w:pPr>
    </w:p>
    <w:p w14:paraId="0BBF1620" w14:textId="77777777" w:rsidR="007F7CE4" w:rsidRPr="006F7CCA" w:rsidRDefault="007F7CE4" w:rsidP="007F7CE4">
      <w:pPr>
        <w:spacing w:after="0" w:line="240" w:lineRule="auto"/>
        <w:jc w:val="center"/>
        <w:rPr>
          <w:rFonts w:ascii="Times New Roman" w:hAnsi="Times New Roman" w:cs="Times New Roman"/>
          <w:b/>
          <w:bCs/>
          <w:sz w:val="20"/>
          <w:szCs w:val="20"/>
        </w:rPr>
      </w:pPr>
      <w:r w:rsidRPr="006F7CCA">
        <w:rPr>
          <w:rFonts w:ascii="Times New Roman" w:hAnsi="Times New Roman" w:cs="Times New Roman"/>
          <w:b/>
          <w:bCs/>
          <w:sz w:val="20"/>
          <w:szCs w:val="20"/>
        </w:rPr>
        <w:t>Streszczenie</w:t>
      </w:r>
    </w:p>
    <w:p w14:paraId="3CC08A37" w14:textId="77777777" w:rsidR="007F7CE4" w:rsidRPr="007F7CE4" w:rsidRDefault="007F7CE4" w:rsidP="007F7CE4">
      <w:pPr>
        <w:spacing w:line="240" w:lineRule="auto"/>
        <w:jc w:val="both"/>
        <w:rPr>
          <w:rFonts w:ascii="Times New Roman" w:hAnsi="Times New Roman" w:cs="Times New Roman"/>
          <w:sz w:val="20"/>
          <w:szCs w:val="20"/>
        </w:rPr>
      </w:pPr>
      <w:r w:rsidRPr="007F7CE4">
        <w:rPr>
          <w:rFonts w:ascii="Times New Roman" w:hAnsi="Times New Roman" w:cs="Times New Roman"/>
          <w:sz w:val="20"/>
          <w:szCs w:val="20"/>
        </w:rPr>
        <w:t>Esej poświęcony jest sposobowi, w jaki pierwszy sobór ekumeniczny (Nicea 325) jest osadzony w celebracyjnej kulturze pamięci (heortologii) i świecie ikoniczno-narracyjnym (ikonografii) Kościoła prawosławnego. Autor argumentuje między innymi za wprowadzeniem dnia świątecznego Soboru Nicejskiego, który miałby być obchodzony w całym chrześcijaństwie, jako heortologiczny odpowiednik rosnącego etosu synodalnego. Ponadto autor pyta o możliwe znaczenie 1700-letniej rocznicy Nicei dla dzisiejszego dyskursu, podkreślając wymagającą centralność prawdziwych pytań teologicznych (triadologii i chrystologii).</w:t>
      </w:r>
    </w:p>
    <w:p w14:paraId="4183297C" w14:textId="77777777" w:rsidR="007F7CE4" w:rsidRPr="007F7CE4" w:rsidRDefault="007F7CE4" w:rsidP="007F7CE4">
      <w:pPr>
        <w:spacing w:line="240" w:lineRule="auto"/>
        <w:jc w:val="both"/>
        <w:rPr>
          <w:rFonts w:ascii="Times New Roman" w:hAnsi="Times New Roman" w:cs="Times New Roman"/>
          <w:sz w:val="20"/>
          <w:szCs w:val="20"/>
        </w:rPr>
      </w:pPr>
      <w:r w:rsidRPr="007F7CE4">
        <w:rPr>
          <w:rFonts w:ascii="Times New Roman" w:hAnsi="Times New Roman" w:cs="Times New Roman"/>
          <w:b/>
          <w:bCs/>
          <w:sz w:val="20"/>
          <w:szCs w:val="20"/>
        </w:rPr>
        <w:t>Słowa kluczowe:</w:t>
      </w:r>
      <w:r w:rsidRPr="007F7CE4">
        <w:rPr>
          <w:rFonts w:ascii="Times New Roman" w:hAnsi="Times New Roman" w:cs="Times New Roman"/>
          <w:sz w:val="20"/>
          <w:szCs w:val="20"/>
        </w:rPr>
        <w:t xml:space="preserve"> Sobór Nicejski - heortologia - ikonografia - Kościół prawosławny</w:t>
      </w:r>
    </w:p>
    <w:p w14:paraId="5FDB5B27" w14:textId="77777777" w:rsidR="007F7CE4" w:rsidRPr="007F7CE4" w:rsidRDefault="007F7CE4" w:rsidP="007F7CE4">
      <w:pPr>
        <w:pStyle w:val="NoSpacing"/>
        <w:jc w:val="center"/>
        <w:rPr>
          <w:rFonts w:ascii="Times New Roman" w:hAnsi="Times New Roman" w:cs="Times New Roman"/>
          <w:b/>
          <w:bCs/>
          <w:sz w:val="28"/>
          <w:szCs w:val="28"/>
        </w:rPr>
      </w:pPr>
    </w:p>
    <w:p w14:paraId="7D44D097" w14:textId="77777777" w:rsidR="00A61FB1" w:rsidRPr="007F7CE4" w:rsidRDefault="00A61FB1" w:rsidP="007F7CE4">
      <w:pPr>
        <w:pStyle w:val="NormalWeb"/>
        <w:numPr>
          <w:ilvl w:val="0"/>
          <w:numId w:val="1"/>
        </w:numPr>
        <w:ind w:hanging="11"/>
        <w:rPr>
          <w:b/>
          <w:bCs/>
          <w:iCs/>
        </w:rPr>
      </w:pPr>
      <w:r w:rsidRPr="007F7CE4">
        <w:rPr>
          <w:b/>
          <w:bCs/>
          <w:iCs/>
        </w:rPr>
        <w:t>Wprowadzenie: Kultura obchodów nicejskich poza jubileuszami</w:t>
      </w:r>
    </w:p>
    <w:p w14:paraId="5403207F" w14:textId="77777777" w:rsidR="00862777" w:rsidRDefault="009E4841" w:rsidP="007F7CE4">
      <w:pPr>
        <w:pStyle w:val="NormalWeb"/>
        <w:spacing w:before="0" w:beforeAutospacing="0" w:after="0" w:afterAutospacing="0"/>
        <w:ind w:firstLine="708"/>
        <w:jc w:val="both"/>
      </w:pPr>
      <w:r>
        <w:t>Jubileusze mają wywoływać fale. Fale uwagi, zbiorowego skupienia na czymś znaczącym. Są momentami zatrzymania, celebracji (auto)refleksji i nieustannej odnowy. Jubileusze szybko stają się częścią historii i w końcu popadają w zapomnienie. W kontekście kościelno-liturgicznym jubileusze są właściwie nietypowe. Ponieważ liturgiczne odniesienie Kościoła do swojej przeszłości nie ogranicza się do li</w:t>
      </w:r>
      <w:r w:rsidR="00013B36">
        <w:t xml:space="preserve">nearnej-kwantytatywnej anamnezy. </w:t>
      </w:r>
      <w:r w:rsidR="00013B36" w:rsidRPr="00013B36">
        <w:rPr>
          <w:color w:val="000000"/>
        </w:rPr>
        <w:t xml:space="preserve">Rok kościelny jest ciągłym upamiętnianiem, które obejmuje zarówno czas, jak i wieczność. W kalendarzu kościelnym nie wspominamy po prostu świętych, tj. określonych osób i ich imion, ale przede wszystkim wydarzenia (męczeństwo, rocznica śmierci), które charakteryzują pamięć Kościoła, bez czasowego dystansu od nich, który miałby „większe” lub „mniejsze” znaczenie dla dnia dzisiejszego. Upamiętniane są nie tylko wydarzenia przeszłe, ale także </w:t>
      </w:r>
      <w:r w:rsidR="00013B36" w:rsidRPr="00013B36">
        <w:rPr>
          <w:color w:val="000000"/>
        </w:rPr>
        <w:lastRenderedPageBreak/>
        <w:t>przyszłe (niedziela Sądu Ostatecznego).</w:t>
      </w:r>
      <w:r w:rsidR="00F129F3">
        <w:t xml:space="preserve"> </w:t>
      </w:r>
      <w:r w:rsidR="00254E72">
        <w:t xml:space="preserve">Te spersonalizowane, dla aktualizacji zbawienia istotne wydarzenia tworzą żywą, opowiadaną i opowiadającą pamięć Kościoła: kulturę pamięci, która ożywia dzisiaj i stawia wyzwania. </w:t>
      </w:r>
      <w:r w:rsidR="00254E72" w:rsidRPr="00254E72">
        <w:rPr>
          <w:color w:val="000000"/>
        </w:rPr>
        <w:t>Relatywizacja skumulowanego doświadczenia czasu w pamięci liturgicznej (tj. pewien etos anty</w:t>
      </w:r>
      <w:r w:rsidR="00F129F3">
        <w:rPr>
          <w:color w:val="000000"/>
        </w:rPr>
        <w:t>-</w:t>
      </w:r>
      <w:r w:rsidR="00254E72" w:rsidRPr="00254E72">
        <w:rPr>
          <w:color w:val="000000"/>
        </w:rPr>
        <w:t>jubileuszowy) jest jednocześnie afirmacją historyczności tych wydarzeń. Ma to związek nie tylko z pneumatologicznym wymiarem każdego wydarzenia w Chrystusie:</w:t>
      </w:r>
      <w:r w:rsidR="005927A8">
        <w:rPr>
          <w:color w:val="000000"/>
        </w:rPr>
        <w:t xml:space="preserve"> </w:t>
      </w:r>
      <w:r w:rsidR="004F1ED8" w:rsidRPr="005927A8">
        <w:rPr>
          <w:color w:val="000000"/>
        </w:rPr>
        <w:t>Wcielenie wymaga pneumatologii i vice versa. Ta ambiwalencja między historycznością a liturgiczną obecnością, między historyczną przypadkowością a diachroniczną aktualnością, między historią Kościoła a historią wiary istotną dla zbawienia musi być brana pod</w:t>
      </w:r>
      <w:r w:rsidR="007F7CE4">
        <w:rPr>
          <w:color w:val="000000"/>
        </w:rPr>
        <w:t xml:space="preserve"> uwagę w rocznicach takich jak Sobór N</w:t>
      </w:r>
      <w:r w:rsidR="004F1ED8" w:rsidRPr="005927A8">
        <w:rPr>
          <w:color w:val="000000"/>
        </w:rPr>
        <w:t>icejski.</w:t>
      </w:r>
    </w:p>
    <w:p w14:paraId="17029ADB" w14:textId="77777777" w:rsidR="006D4894" w:rsidRPr="006D4894" w:rsidRDefault="00862777" w:rsidP="007F7CE4">
      <w:pPr>
        <w:pStyle w:val="NormalWeb"/>
        <w:spacing w:before="0" w:beforeAutospacing="0" w:after="0" w:afterAutospacing="0"/>
        <w:ind w:firstLine="708"/>
        <w:jc w:val="both"/>
      </w:pPr>
      <w:r w:rsidRPr="00862777">
        <w:t xml:space="preserve">Mój artykuł poświęcony jest sposobowi, w jaki pierwszy sobór ekumeniczny (Nicea 325) jest </w:t>
      </w:r>
      <w:r w:rsidRPr="00862777">
        <w:rPr>
          <w:rFonts w:cs="Lato Light"/>
          <w:color w:val="000000"/>
        </w:rPr>
        <w:t>osadzony w celebracyjnej kulturze pamięci (heortologii) i obrazowym świecie n</w:t>
      </w:r>
      <w:r w:rsidR="009A7B38">
        <w:rPr>
          <w:rFonts w:cs="Lato Light"/>
          <w:color w:val="000000"/>
        </w:rPr>
        <w:t>arracji (ikonografii) Kościoła p</w:t>
      </w:r>
      <w:r w:rsidRPr="00862777">
        <w:rPr>
          <w:rFonts w:cs="Lato Light"/>
          <w:color w:val="000000"/>
        </w:rPr>
        <w:t>rawosławnego</w:t>
      </w:r>
      <w:r w:rsidRPr="00862777">
        <w:t>. Je</w:t>
      </w:r>
      <w:r w:rsidR="008D45E0">
        <w:t>st to przedstawienie obecności Soboru N</w:t>
      </w:r>
      <w:r w:rsidRPr="00862777">
        <w:t>icejskiego w pamięci Kościoła, niezależnie od szczególnych jubileuszy. W ten sposób zwracam uwagę na pewną siłę tradycji prawosławnej:</w:t>
      </w:r>
      <w:r w:rsidR="006D4894">
        <w:t xml:space="preserve"> </w:t>
      </w:r>
      <w:r w:rsidR="006D4894" w:rsidRPr="006D4894">
        <w:t xml:space="preserve">Wspomnienie „Świętych Ojców z pierwszego soboru powszechnego” jest mocno zintegrowane z liturgicznym kalendarzem kościelnym; podobnie bizantyńska, a także prawosławna ikonografia (aż do dziś) zna ten motyw w (monumentalnym) przedstawieniu siedmiu soborów ekumenicznych w ramach programu obrazowego. Nie będę tutaj omawiać polityczno-teologicznych, społeczno-etycznych ani homiletycznych toposów recepcji Nicei we współczesnym kontekście prawosławnym. Po omówieniu ustaleń  heortologicznych i ikonograficznych, </w:t>
      </w:r>
      <w:r w:rsidR="006D4894" w:rsidRPr="006D4894">
        <w:rPr>
          <w:color w:val="000000"/>
        </w:rPr>
        <w:t>zakończę pytającą i szkicową dyskusją na temat możliwej aktualności pierwszego soboru ekumenicznego.</w:t>
      </w:r>
    </w:p>
    <w:p w14:paraId="59FB7A8E" w14:textId="77777777" w:rsidR="00C03CCC" w:rsidRPr="007F7CE4" w:rsidRDefault="00D8136B" w:rsidP="007F7CE4">
      <w:pPr>
        <w:pStyle w:val="NormalWeb"/>
        <w:numPr>
          <w:ilvl w:val="0"/>
          <w:numId w:val="1"/>
        </w:numPr>
        <w:ind w:hanging="11"/>
        <w:jc w:val="both"/>
        <w:rPr>
          <w:rFonts w:cs="Lato Light"/>
          <w:b/>
          <w:bCs/>
          <w:iCs/>
          <w:color w:val="000000"/>
        </w:rPr>
      </w:pPr>
      <w:r w:rsidRPr="007F7CE4">
        <w:rPr>
          <w:rFonts w:cs="Lato Light"/>
          <w:b/>
          <w:bCs/>
          <w:iCs/>
          <w:color w:val="000000"/>
        </w:rPr>
        <w:t>Święta (obchody)</w:t>
      </w:r>
      <w:r w:rsidR="006D4894" w:rsidRPr="007F7CE4">
        <w:rPr>
          <w:rFonts w:cs="Lato Light"/>
          <w:b/>
          <w:bCs/>
          <w:iCs/>
          <w:color w:val="000000"/>
        </w:rPr>
        <w:t xml:space="preserve"> </w:t>
      </w:r>
      <w:r w:rsidR="007F7CE4">
        <w:rPr>
          <w:rFonts w:cs="Lato Light"/>
          <w:b/>
          <w:bCs/>
          <w:iCs/>
          <w:color w:val="000000"/>
        </w:rPr>
        <w:t>Soboru N</w:t>
      </w:r>
      <w:r w:rsidR="006D4894" w:rsidRPr="007F7CE4">
        <w:rPr>
          <w:rFonts w:cs="Lato Light"/>
          <w:b/>
          <w:bCs/>
          <w:iCs/>
          <w:color w:val="000000"/>
        </w:rPr>
        <w:t>icejskiego</w:t>
      </w:r>
    </w:p>
    <w:p w14:paraId="1F997FDE" w14:textId="77777777" w:rsidR="00BF7278" w:rsidRDefault="0070608D" w:rsidP="007F7CE4">
      <w:pPr>
        <w:pStyle w:val="NormalWeb"/>
        <w:spacing w:before="0" w:beforeAutospacing="0" w:after="0" w:afterAutospacing="0"/>
        <w:ind w:firstLine="708"/>
        <w:jc w:val="both"/>
      </w:pPr>
      <w:r>
        <w:t xml:space="preserve">Pierwsze naukowe opracowanie heortologii Soboru Nicejskiego w tradycji bizantyńskiej zawdzięczamy badaniu francuskiego mnicha augustiańskiego i </w:t>
      </w:r>
      <w:r w:rsidR="00D8136B">
        <w:t>znawcy</w:t>
      </w:r>
      <w:r w:rsidR="009A7B38">
        <w:t xml:space="preserve"> Kościołów w</w:t>
      </w:r>
      <w:r>
        <w:t>schodnich, Sévériena Salaville'a, z innego roku jubileuszowego Soboru Nicejskiego (1925)</w:t>
      </w:r>
      <w:r>
        <w:rPr>
          <w:rStyle w:val="FootnoteReference"/>
        </w:rPr>
        <w:footnoteReference w:id="1"/>
      </w:r>
      <w:r>
        <w:t>.</w:t>
      </w:r>
      <w:r w:rsidR="00D8136B">
        <w:t xml:space="preserve"> Badał on okoliczności wprowadzenia pierwszego „święta soboru” już w 518 roku w Konstantynopolu. 16 lipca 518 roku</w:t>
      </w:r>
      <w:r w:rsidR="001C198F">
        <w:t xml:space="preserve"> uroczyście wprowadzono święto Soboru C</w:t>
      </w:r>
      <w:r w:rsidR="00D8136B">
        <w:t>halcedońskiego (a wraz z nim także wcześniejsze sobory powszechne) i obchodzono je z pełnym przepychem kościelnym i państwowym.</w:t>
      </w:r>
      <w:r w:rsidR="00991FC8">
        <w:t xml:space="preserve"> Nowy – prawosławny – cesarz Justin I., który zasiadał na tronie od niespełna tygodnia, chcia</w:t>
      </w:r>
      <w:r w:rsidR="001C198F">
        <w:t>ł nie tylko przywrócić ważność Soboru C</w:t>
      </w:r>
      <w:r w:rsidR="00991FC8">
        <w:t>halcedońskiego (451), poddaną wątpliwości przez jego monofizyckiego poprzednika, ale także wprowadzić liturgiczną kulturę pamięci dla soborowych kamieni milowych prawosławia. Wprowadzenie święta dla (wówczas jeszcze czterech) soborów powszechnych zaczyna się więc w Bizancjum – w roku 518 – stosunkowo wcześnie. Święto to pozostaje stałym elementem bizantyńskiego kalendarza kościelnego w późniejszych wiekach i jes</w:t>
      </w:r>
      <w:r w:rsidR="00CF07CB">
        <w:t>t potwierdzone w wielu księgach</w:t>
      </w:r>
      <w:r w:rsidR="00991FC8">
        <w:t xml:space="preserve"> liturgicznych.</w:t>
      </w:r>
    </w:p>
    <w:p w14:paraId="5ECB18CD" w14:textId="77777777" w:rsidR="00C81E5B" w:rsidRDefault="00BF7278" w:rsidP="00C81E5B">
      <w:pPr>
        <w:pStyle w:val="NormalWeb"/>
        <w:spacing w:before="0" w:beforeAutospacing="0" w:after="0" w:afterAutospacing="0"/>
        <w:ind w:firstLine="708"/>
        <w:jc w:val="both"/>
      </w:pPr>
      <w:r>
        <w:t>Kolejne trzy sobory ekumeniczne również będą miały swoje święta. Dziś szeroko omawiane pytanie o recepcję soboru było zatem w Bizancjum również kwestią heortologiczną: recepcja oznaczała włączenie do doksologicznej praktyki Kościoła, do doksologicznej kultury pamięci.</w:t>
      </w:r>
      <w:r w:rsidR="00B36A2A">
        <w:t xml:space="preserve"> Zapewniało to zarówno synchroniczną, jak i diachroniczną trwałość, a hymnografia odgrywała w tym główną rolę</w:t>
      </w:r>
      <w:r w:rsidR="00B36A2A">
        <w:rPr>
          <w:rStyle w:val="FootnoteReference"/>
        </w:rPr>
        <w:footnoteReference w:id="2"/>
      </w:r>
      <w:r w:rsidR="00B36A2A">
        <w:t>.</w:t>
      </w:r>
    </w:p>
    <w:p w14:paraId="3083504F" w14:textId="77777777" w:rsidR="00E129A2" w:rsidRDefault="00B36A2A" w:rsidP="00E129A2">
      <w:pPr>
        <w:pStyle w:val="NormalWeb"/>
        <w:spacing w:before="0" w:beforeAutospacing="0" w:after="0" w:afterAutospacing="0"/>
        <w:ind w:firstLine="708"/>
        <w:jc w:val="both"/>
      </w:pPr>
      <w:r>
        <w:lastRenderedPageBreak/>
        <w:t xml:space="preserve">Najpóźniej od IX wieku wrażliwość heortologiczna na celebrację wiary </w:t>
      </w:r>
      <w:r w:rsidR="00F014AF">
        <w:t xml:space="preserve">soborowej </w:t>
      </w:r>
      <w:r>
        <w:t xml:space="preserve"> stała się tak ważna</w:t>
      </w:r>
      <w:r w:rsidR="008D45E0">
        <w:t>, że Sobór N</w:t>
      </w:r>
      <w:r>
        <w:t>icejski zaczyna być obchodzony oddzielnie w maju. Historyczne świadectwa podają różne daty w maju, najczęściej wspomina się 29 maja. Ta data wkrótce zostaje powiązana z datą ruchomą – pierwszą niedzielą po Wniebowstąpieniu – lub alternatywnie uzupełniona (po raz pierwszy w Typikonie Wielkiego Kościoła w Konstantynopolu, IX–X w</w:t>
      </w:r>
      <w:r w:rsidR="00F014AF">
        <w:t>iek). Salville przypuszcza, że „</w:t>
      </w:r>
      <w:r>
        <w:t>popularność sobor</w:t>
      </w:r>
      <w:r w:rsidR="00F014AF">
        <w:t>ów ekumenicznych w VIII–IX wieku</w:t>
      </w:r>
      <w:r w:rsidR="004B4F1B">
        <w:t>”</w:t>
      </w:r>
      <w:r w:rsidR="00C81E5B">
        <w:rPr>
          <w:rStyle w:val="FootnoteReference"/>
        </w:rPr>
        <w:footnoteReference w:id="3"/>
      </w:r>
      <w:r>
        <w:t xml:space="preserve"> mogła prowadzić do przeniesienia obchodów na niedziele.</w:t>
      </w:r>
    </w:p>
    <w:p w14:paraId="38ACA664" w14:textId="77777777" w:rsidR="00F56EEA" w:rsidRDefault="007E5E9F" w:rsidP="00F56EEA">
      <w:pPr>
        <w:pStyle w:val="NormalWeb"/>
        <w:spacing w:before="0" w:beforeAutospacing="0" w:after="0" w:afterAutospacing="0"/>
        <w:ind w:firstLine="708"/>
        <w:jc w:val="both"/>
      </w:pPr>
      <w:r>
        <w:t>Faktem jest, że od około IX wieku Kośc</w:t>
      </w:r>
      <w:r w:rsidR="008D45E0">
        <w:t>iół bizantyjski obchodzi Sobór N</w:t>
      </w:r>
      <w:r>
        <w:t>icejski z osobnym dniem pamięci, który wkrótce zostaje ustalony na niedzielę po Wniebowstąpieniu Chrystusa (7. niedziela po Wielkanocy) i jest obchodzony do dzi</w:t>
      </w:r>
      <w:r w:rsidR="001C198F">
        <w:t>ś w Kościele p</w:t>
      </w:r>
      <w:r w:rsidR="00E129A2">
        <w:t>rawosławnym jako „</w:t>
      </w:r>
      <w:r>
        <w:t>Niedziela Ojców</w:t>
      </w:r>
      <w:r w:rsidR="00E129A2">
        <w:t xml:space="preserve"> Pierwszego Soboru Powszechnego”</w:t>
      </w:r>
      <w:r>
        <w:t>. Umiejscowienie tego święta w czasie Pentekostarionu (50 dni po Wielkanocy) podkreśla jego szczególne znaczenie teologiczne.</w:t>
      </w:r>
    </w:p>
    <w:p w14:paraId="52780CF0" w14:textId="77777777" w:rsidR="00D52120" w:rsidRDefault="00F56EEA" w:rsidP="00D52120">
      <w:pPr>
        <w:pStyle w:val="NormalWeb"/>
        <w:spacing w:before="0" w:beforeAutospacing="0" w:after="0" w:afterAutospacing="0"/>
        <w:ind w:firstLine="708"/>
        <w:jc w:val="both"/>
      </w:pPr>
      <w:r>
        <w:t>W mojej analizie niektórych tekstów opieram się na współczesnych wydaniach ”Pentekostarionu” do użytku liturgicznego</w:t>
      </w:r>
      <w:r>
        <w:rPr>
          <w:rStyle w:val="FootnoteReference"/>
        </w:rPr>
        <w:footnoteReference w:id="4"/>
      </w:r>
      <w:r>
        <w:t>.</w:t>
      </w:r>
      <w:r w:rsidR="00991173">
        <w:t xml:space="preserve"> Troparion tego święta jest sformułowany chrystocentrycznie: „Ponad wszystko chwalony jesteś, Chryste, Boże nasz, bo jako światło na ziemi umocniłeś naszych Ojców i przez nich prowadziłeś nas wszystkich do prawdziwej wiary, Miłosierny, Tobie chwała</w:t>
      </w:r>
      <w:r w:rsidR="001C198F">
        <w:t>”</w:t>
      </w:r>
      <w:r w:rsidR="00991173">
        <w:rPr>
          <w:rStyle w:val="FootnoteReference"/>
        </w:rPr>
        <w:footnoteReference w:id="5"/>
      </w:r>
      <w:r w:rsidR="00991173">
        <w:t>.</w:t>
      </w:r>
      <w:r w:rsidR="00E41C83">
        <w:t xml:space="preserve"> </w:t>
      </w:r>
      <w:r w:rsidR="00991173">
        <w:t xml:space="preserve">Hymny nie ograniczają się jednak do ogólnego wychwalania Ojców z Nicei, lecz odwołują się do kilku rejestrów: (1.) Anamneza wydarzenia synodalnego z Nicei, z pięknym poetyckim opisem trynitarnej decyzji teologicznej; (2.) Soteriologiczne i jednocześnie duchowe zrozumienie teologicznych sporów; (3.) Podkreślenie synodalnego sposobu, w jaki Ariusz – z powodu swojego „bezbożnego dogmatu” (gr. </w:t>
      </w:r>
      <w:r w:rsidR="00991173" w:rsidRPr="00991173">
        <w:rPr>
          <w:i/>
        </w:rPr>
        <w:t>to átheon dógma</w:t>
      </w:r>
      <w:r w:rsidR="00991173">
        <w:t xml:space="preserve">) – został wypędzony z „Kościoła katolickiego” oraz jak „Symbolem Wiary” </w:t>
      </w:r>
      <w:r w:rsidR="00E41C83">
        <w:t>sformułowano „</w:t>
      </w:r>
      <w:r w:rsidR="00991173">
        <w:t>p</w:t>
      </w:r>
      <w:r w:rsidR="00E41C83">
        <w:t>isemnie, z dokładnością i czcią</w:t>
      </w:r>
      <w:r w:rsidR="001C198F">
        <w:t>”</w:t>
      </w:r>
      <w:r w:rsidR="00E41C83">
        <w:rPr>
          <w:rStyle w:val="FootnoteReference"/>
        </w:rPr>
        <w:footnoteReference w:id="6"/>
      </w:r>
      <w:r w:rsidR="00E41C83">
        <w:t>; I wreszcie (4.) doksologiczne zobowiązanie na dzisiaj – zarówno dla jednostki, jak i dla całego Kościoła jako wspólnoty („…niech we mnie będzie zachowana całkowicie święta nauka decyzji Soboru Ojców</w:t>
      </w:r>
      <w:r w:rsidR="001C198F">
        <w:t>”</w:t>
      </w:r>
      <w:r w:rsidR="00E41C83">
        <w:rPr>
          <w:rStyle w:val="FootnoteReference"/>
        </w:rPr>
        <w:footnoteReference w:id="7"/>
      </w:r>
      <w:r w:rsidR="00E41C83">
        <w:t>).</w:t>
      </w:r>
      <w:r w:rsidR="00074EDC">
        <w:t xml:space="preserve"> Historia teologii jest więc przekazywana w sposób poetycki, dogmatyka łączona z teologią duchowości, synodalna forma Kościoła interpretowana jako przestrzeń doświadczenia wyznania prawdy, a aktualna relewancja skierowana na temat czujności wiary. Ariusz – opisywany za pomocą wyłącznie negatywnych epitetów – uchodzi za ucieleśnienie herezji, a jego synodalne potępienie staje się wzorem dla wszystkich kolejnych sporów z błędnymi nauczycielami</w:t>
      </w:r>
      <w:r w:rsidR="00074EDC">
        <w:rPr>
          <w:rStyle w:val="FootnoteReference"/>
        </w:rPr>
        <w:footnoteReference w:id="8"/>
      </w:r>
      <w:r w:rsidR="00074EDC">
        <w:t>.</w:t>
      </w:r>
      <w:r w:rsidR="000775AE">
        <w:t xml:space="preserve"> </w:t>
      </w:r>
      <w:r w:rsidR="00074EDC">
        <w:t>W tym kontekście pojawia się silna wrażliwość na trw</w:t>
      </w:r>
      <w:r w:rsidR="000775AE">
        <w:t>ałe niebezpieczeństwo herezji: „</w:t>
      </w:r>
      <w:r w:rsidR="00074EDC">
        <w:t>Chcemy być zachowani od ich błędów. Prosimy was, módlcie się za nas, abyśmy w naszym życi</w:t>
      </w:r>
      <w:r w:rsidR="000775AE">
        <w:t>u byli czujni i mocni w wierze</w:t>
      </w:r>
      <w:r w:rsidR="001C198F">
        <w:t>”</w:t>
      </w:r>
      <w:r w:rsidR="000775AE">
        <w:rPr>
          <w:rStyle w:val="FootnoteReference"/>
        </w:rPr>
        <w:footnoteReference w:id="9"/>
      </w:r>
      <w:r w:rsidR="000775AE">
        <w:t>.</w:t>
      </w:r>
      <w:r w:rsidR="008D45E0">
        <w:t xml:space="preserve"> Sobór N</w:t>
      </w:r>
      <w:r w:rsidR="00625613">
        <w:t>icejski staje się zatem synodalnym trwałym modelem Kościoła, wzorem każdej teologicznej dyskusji w Kościele. Adresatami hymnów są zarówn</w:t>
      </w:r>
      <w:r w:rsidR="008D45E0">
        <w:t>o Chrystus, jak i sami Ojcowie N</w:t>
      </w:r>
      <w:r w:rsidR="00625613">
        <w:t>icejscy.</w:t>
      </w:r>
      <w:r w:rsidR="00D52120">
        <w:t xml:space="preserve"> </w:t>
      </w:r>
    </w:p>
    <w:p w14:paraId="62953F62" w14:textId="77777777" w:rsidR="00D47E1E" w:rsidRDefault="00B4354E" w:rsidP="00D47E1E">
      <w:pPr>
        <w:pStyle w:val="NormalWeb"/>
        <w:spacing w:before="0" w:beforeAutospacing="0" w:after="0" w:afterAutospacing="0"/>
        <w:ind w:firstLine="708"/>
        <w:jc w:val="both"/>
      </w:pPr>
      <w:r>
        <w:lastRenderedPageBreak/>
        <w:t>Wchodząc w szczegóły, odkrywa się więcej. Jeden z hymnów podejmuje temat teologicznej i soborowej pracy jako takiej: „Po tym, jak wspólnie zgromadzili całą wiedzę o duszy i wspólnie badali z boskim Duchem, czcigodni Ojcowie zapisali błogosławione i święte symbole za pomocą Boskiego Pisma</w:t>
      </w:r>
      <w:r w:rsidR="001C198F">
        <w:t>”</w:t>
      </w:r>
      <w:r>
        <w:rPr>
          <w:rStyle w:val="FootnoteReference"/>
        </w:rPr>
        <w:footnoteReference w:id="10"/>
      </w:r>
      <w:r>
        <w:t>.</w:t>
      </w:r>
      <w:r w:rsidR="006B7BA9">
        <w:t xml:space="preserve"> Już w tym zdaniu widać, że credo nicejskie jest rozumiane nie tylko jako synteza „regula fidei”, ale także jako rezultat wspólnego (gr. </w:t>
      </w:r>
      <w:r w:rsidR="006B7BA9" w:rsidRPr="006B7BA9">
        <w:rPr>
          <w:i/>
        </w:rPr>
        <w:t>syn-</w:t>
      </w:r>
      <w:r w:rsidR="006B7BA9">
        <w:t xml:space="preserve">) procesu badawczego, w którym praca zespołowa Ojców była kształtowana przez towarzyszące działanie Ducha Świętego. To, że decyzja dogmatyczna ma nie tylko teologiczną wagę, ale może być także wyrazem „nauki o duszy” (gr. </w:t>
      </w:r>
      <w:r w:rsidR="006B7BA9" w:rsidRPr="006B7BA9">
        <w:rPr>
          <w:i/>
        </w:rPr>
        <w:t>epistéme tes psyches</w:t>
      </w:r>
      <w:r w:rsidR="006B7BA9">
        <w:t>), otwiera fascynujący i w kontekście Nicei niespodziewany obszar dyskusji na temat antropologicznego znaczenia dogmatu Trójcy Świętej. W drugiej części hymnu podkreślono również, że „Ojcowie myślący o Bogu […] w wyraźny sposób podążali za naukami Apostołów</w:t>
      </w:r>
      <w:r w:rsidR="001C198F">
        <w:t>”</w:t>
      </w:r>
      <w:r w:rsidR="006B7BA9">
        <w:rPr>
          <w:rStyle w:val="FootnoteReference"/>
        </w:rPr>
        <w:footnoteReference w:id="11"/>
      </w:r>
      <w:r w:rsidR="006B7BA9">
        <w:t>:</w:t>
      </w:r>
      <w:r w:rsidR="008D45E0">
        <w:t xml:space="preserve"> S</w:t>
      </w:r>
      <w:r w:rsidR="00351A62">
        <w:t xml:space="preserve">obór </w:t>
      </w:r>
      <w:r w:rsidR="008D45E0">
        <w:t>N</w:t>
      </w:r>
      <w:r w:rsidR="00351A62">
        <w:t>icejski jest zatem jedynie sformułowaniem apostolskiego wyznania wiary, a nie nową nauką. Podkreślają</w:t>
      </w:r>
      <w:r w:rsidR="00384402">
        <w:t xml:space="preserve"> to również  inne hymny: d</w:t>
      </w:r>
      <w:r w:rsidR="00351A62">
        <w:t>ogmaty (w liczbie mnogiej</w:t>
      </w:r>
      <w:r w:rsidR="00384402">
        <w:t>!) są „ewangeliczne”</w:t>
      </w:r>
      <w:r w:rsidR="00351A62">
        <w:t xml:space="preserve">, a zawarta w nich nauka prawdy jest </w:t>
      </w:r>
      <w:r w:rsidR="00384402">
        <w:t>„nadprzyrodzona</w:t>
      </w:r>
      <w:r w:rsidR="001C198F">
        <w:t>”</w:t>
      </w:r>
      <w:r w:rsidR="00384402">
        <w:rPr>
          <w:rStyle w:val="FootnoteReference"/>
        </w:rPr>
        <w:footnoteReference w:id="12"/>
      </w:r>
      <w:r w:rsidR="00384402">
        <w:t>.</w:t>
      </w:r>
      <w:r w:rsidR="0088119B">
        <w:t xml:space="preserve"> </w:t>
      </w:r>
      <w:r w:rsidR="00384402">
        <w:t>Fakt, że wszystko to może się wydarzyć jedynie „przez boską inspirację”,</w:t>
      </w:r>
      <w:r w:rsidR="008D45E0">
        <w:t xml:space="preserve"> nie umniejsza zdolności Ojców N</w:t>
      </w:r>
      <w:r w:rsidR="00384402">
        <w:t>icejskich, którzy w ten sposób udowodnili m.in. swoje „pastoralne umiejętności</w:t>
      </w:r>
      <w:r w:rsidR="001C198F">
        <w:t>”</w:t>
      </w:r>
      <w:r w:rsidR="00384402">
        <w:rPr>
          <w:rStyle w:val="FootnoteReference"/>
        </w:rPr>
        <w:footnoteReference w:id="13"/>
      </w:r>
      <w:r w:rsidR="00384402">
        <w:t>.</w:t>
      </w:r>
      <w:r w:rsidR="00D47E1E">
        <w:t xml:space="preserve"> </w:t>
      </w:r>
    </w:p>
    <w:p w14:paraId="12AD7788" w14:textId="77777777" w:rsidR="001764A7" w:rsidRDefault="0088119B" w:rsidP="001764A7">
      <w:pPr>
        <w:pStyle w:val="NormalWeb"/>
        <w:spacing w:before="0" w:beforeAutospacing="0" w:after="0" w:afterAutospacing="0"/>
        <w:ind w:firstLine="708"/>
        <w:jc w:val="both"/>
      </w:pPr>
      <w:r>
        <w:t>Bez roszczenia do pełnej analizy bizantyjskiej hymnografii święta na podstawie tych krótkich uwag, warto podkreślić: te hymny, które do dziś są śpiewane w Kościele Prawosławnym w niedzielę po Wniebowstąpieniu Chrystusa, przekazują wielo</w:t>
      </w:r>
      <w:r w:rsidR="00D47E1E">
        <w:t>-</w:t>
      </w:r>
      <w:r>
        <w:t>perspektywiczną h</w:t>
      </w:r>
      <w:r w:rsidR="00B93131">
        <w:t>er</w:t>
      </w:r>
      <w:r w:rsidR="008D45E0">
        <w:t>meneutykę pierwszego Soboru N</w:t>
      </w:r>
      <w:r>
        <w:t>icejskiego. Oczywiście, można krytycznie zapytać, w jakim stopniu teksty sprzed tysiąca lat mogą nadal rościć sobie prawo do autorytetu interpretacyjnego i znaczenia dla człowieka XXI wieku. Z drugiej strony, ta poetycka synteza dogmatyki, historii teologii i duchowości stanowi punkt odniesienia dla możliwej, eklezjalnie skutecznej kultury pamięci, której również dzisiaj potrzebujemy. Bo ostatecznie mamy tu do czynienia z poezją śpiewaną. Przekładalność najtrudniejszych, niemal nieprzekazywalnych dogmatów trynitarno</w:t>
      </w:r>
      <w:r w:rsidR="00D47E1E">
        <w:t xml:space="preserve"> </w:t>
      </w:r>
      <w:r>
        <w:t>-</w:t>
      </w:r>
      <w:r w:rsidR="00D47E1E">
        <w:t xml:space="preserve"> </w:t>
      </w:r>
      <w:r>
        <w:t>chrystologicznych w rytmicznej poezji pozostaje do dziś wyzwaniem.</w:t>
      </w:r>
    </w:p>
    <w:p w14:paraId="23CF6996" w14:textId="77777777" w:rsidR="00F74E1E" w:rsidRDefault="007F7CE4" w:rsidP="001764A7">
      <w:pPr>
        <w:pStyle w:val="NormalWeb"/>
        <w:spacing w:before="0" w:beforeAutospacing="0" w:after="0" w:afterAutospacing="0"/>
        <w:ind w:firstLine="708"/>
        <w:jc w:val="both"/>
      </w:pPr>
      <w:r>
        <w:t>Świętowanie  Soboru N</w:t>
      </w:r>
      <w:r w:rsidR="00F74E1E">
        <w:t>icejskiego  oznacza także odwagę do uprawiania bardziej  poetyckiej teologii.</w:t>
      </w:r>
    </w:p>
    <w:p w14:paraId="6712566A" w14:textId="77777777" w:rsidR="007F7CE4" w:rsidRDefault="007F7CE4" w:rsidP="001764A7">
      <w:pPr>
        <w:pStyle w:val="NormalWeb"/>
        <w:spacing w:before="0" w:beforeAutospacing="0" w:after="0" w:afterAutospacing="0"/>
        <w:ind w:firstLine="708"/>
        <w:jc w:val="both"/>
      </w:pPr>
    </w:p>
    <w:p w14:paraId="4589FFD1" w14:textId="77777777" w:rsidR="00436BFE" w:rsidRPr="007F7CE4" w:rsidRDefault="007F7CE4" w:rsidP="007F7CE4">
      <w:pPr>
        <w:pStyle w:val="ListParagraph"/>
        <w:numPr>
          <w:ilvl w:val="0"/>
          <w:numId w:val="1"/>
        </w:numPr>
        <w:ind w:hanging="11"/>
        <w:jc w:val="both"/>
        <w:rPr>
          <w:rFonts w:ascii="Times New Roman" w:hAnsi="Times New Roman" w:cs="Times New Roman"/>
          <w:b/>
          <w:bCs/>
          <w:iCs/>
          <w:color w:val="000000"/>
          <w:sz w:val="24"/>
          <w:szCs w:val="24"/>
        </w:rPr>
      </w:pPr>
      <w:r>
        <w:rPr>
          <w:rFonts w:ascii="Times New Roman" w:hAnsi="Times New Roman" w:cs="Times New Roman"/>
          <w:b/>
          <w:bCs/>
          <w:iCs/>
          <w:sz w:val="24"/>
          <w:szCs w:val="24"/>
        </w:rPr>
        <w:t>Ikonografia Soboru N</w:t>
      </w:r>
      <w:r w:rsidR="00436BFE" w:rsidRPr="007F7CE4">
        <w:rPr>
          <w:rFonts w:ascii="Times New Roman" w:hAnsi="Times New Roman" w:cs="Times New Roman"/>
          <w:b/>
          <w:bCs/>
          <w:iCs/>
          <w:sz w:val="24"/>
          <w:szCs w:val="24"/>
        </w:rPr>
        <w:t>icejskiego</w:t>
      </w:r>
    </w:p>
    <w:p w14:paraId="5A27D090" w14:textId="77777777" w:rsidR="00A12F80" w:rsidRDefault="00436BFE" w:rsidP="007F7CE4">
      <w:pPr>
        <w:spacing w:after="0"/>
        <w:ind w:firstLine="708"/>
        <w:jc w:val="both"/>
      </w:pPr>
      <w:r w:rsidRPr="00436BFE">
        <w:rPr>
          <w:rFonts w:ascii="Times New Roman" w:hAnsi="Times New Roman" w:cs="Times New Roman"/>
          <w:sz w:val="24"/>
          <w:szCs w:val="24"/>
        </w:rPr>
        <w:t>Nie tylko bizantyjska hymnografia jest formą przekazu teologicznego, ale także ikonografia. Jak zauważa Christophe</w:t>
      </w:r>
      <w:r>
        <w:rPr>
          <w:rFonts w:ascii="Times New Roman" w:hAnsi="Times New Roman" w:cs="Times New Roman"/>
          <w:sz w:val="24"/>
          <w:szCs w:val="24"/>
        </w:rPr>
        <w:t>r Walter w swojej monografii o „Ikonografii soborów w tradycji bizantyjskiej”</w:t>
      </w:r>
      <w:r w:rsidRPr="00436BFE">
        <w:rPr>
          <w:rFonts w:ascii="Times New Roman" w:hAnsi="Times New Roman" w:cs="Times New Roman"/>
          <w:sz w:val="24"/>
          <w:szCs w:val="24"/>
        </w:rPr>
        <w:t>, należy przedstawić obraz siedmiu soborów ekumenic</w:t>
      </w:r>
      <w:r>
        <w:rPr>
          <w:rFonts w:ascii="Times New Roman" w:hAnsi="Times New Roman" w:cs="Times New Roman"/>
          <w:sz w:val="24"/>
          <w:szCs w:val="24"/>
        </w:rPr>
        <w:t>znych z pełną świadomością, że „</w:t>
      </w:r>
      <w:r w:rsidRPr="00436BFE">
        <w:rPr>
          <w:rFonts w:ascii="Times New Roman" w:hAnsi="Times New Roman" w:cs="Times New Roman"/>
          <w:sz w:val="24"/>
          <w:szCs w:val="24"/>
        </w:rPr>
        <w:t>bizantyjska sztuka była sztuką uczoną. Była to także zaangażowana sztuka, która służyła manifestowaniu nauki Kościoła lub polityki państwowej</w:t>
      </w:r>
      <w:r w:rsidR="001C198F">
        <w:rPr>
          <w:rFonts w:ascii="Times New Roman" w:hAnsi="Times New Roman" w:cs="Times New Roman"/>
          <w:sz w:val="24"/>
          <w:szCs w:val="24"/>
        </w:rPr>
        <w:t>”</w:t>
      </w:r>
      <w:r w:rsidR="00497109">
        <w:rPr>
          <w:rStyle w:val="FootnoteReference"/>
          <w:rFonts w:ascii="Times New Roman" w:hAnsi="Times New Roman" w:cs="Times New Roman"/>
          <w:sz w:val="24"/>
          <w:szCs w:val="24"/>
        </w:rPr>
        <w:footnoteReference w:id="14"/>
      </w:r>
      <w:r>
        <w:t>.</w:t>
      </w:r>
    </w:p>
    <w:p w14:paraId="447903C5" w14:textId="77777777" w:rsidR="009F7BB2" w:rsidRDefault="00A12F80" w:rsidP="009F7BB2">
      <w:pPr>
        <w:spacing w:after="0"/>
        <w:ind w:firstLine="708"/>
        <w:jc w:val="both"/>
        <w:rPr>
          <w:rFonts w:ascii="Times New Roman" w:hAnsi="Times New Roman" w:cs="Times New Roman"/>
          <w:sz w:val="24"/>
          <w:szCs w:val="24"/>
        </w:rPr>
      </w:pPr>
      <w:r w:rsidRPr="0007219E">
        <w:rPr>
          <w:rFonts w:ascii="Times New Roman" w:hAnsi="Times New Roman" w:cs="Times New Roman"/>
          <w:sz w:val="24"/>
          <w:szCs w:val="24"/>
        </w:rPr>
        <w:t>Rola pedagogiczna bizantyjskiej ikonografii – zwłaszcza po okresie ikonoklazmu – została szeroko zbadana i sięga podstawowej idei, która została już sformułowana przez Jana Damasceńskiego (VII w.). Według niego, ikony są „przypowieściami i książkami dla analfabetów» i mają być «czczone na pamiątkę</w:t>
      </w:r>
      <w:r w:rsidR="001C198F" w:rsidRPr="0007219E">
        <w:rPr>
          <w:rFonts w:ascii="Times New Roman" w:hAnsi="Times New Roman" w:cs="Times New Roman"/>
          <w:sz w:val="24"/>
          <w:szCs w:val="24"/>
        </w:rPr>
        <w:t>»</w:t>
      </w:r>
      <w:r w:rsidR="001C198F">
        <w:rPr>
          <w:rFonts w:ascii="Times New Roman" w:hAnsi="Times New Roman" w:cs="Times New Roman"/>
          <w:sz w:val="24"/>
          <w:szCs w:val="24"/>
        </w:rPr>
        <w:t>”</w:t>
      </w:r>
      <w:r w:rsidRPr="0007219E">
        <w:rPr>
          <w:rStyle w:val="FootnoteReference"/>
          <w:rFonts w:ascii="Times New Roman" w:hAnsi="Times New Roman" w:cs="Times New Roman"/>
          <w:sz w:val="24"/>
          <w:szCs w:val="24"/>
        </w:rPr>
        <w:footnoteReference w:id="15"/>
      </w:r>
      <w:r w:rsidRPr="0007219E">
        <w:rPr>
          <w:rFonts w:ascii="Times New Roman" w:hAnsi="Times New Roman" w:cs="Times New Roman"/>
          <w:sz w:val="24"/>
          <w:szCs w:val="24"/>
        </w:rPr>
        <w:t>.</w:t>
      </w:r>
      <w:r w:rsidR="0007219E" w:rsidRPr="0007219E">
        <w:rPr>
          <w:rFonts w:ascii="Times New Roman" w:hAnsi="Times New Roman" w:cs="Times New Roman"/>
          <w:sz w:val="24"/>
          <w:szCs w:val="24"/>
        </w:rPr>
        <w:t xml:space="preserve"> </w:t>
      </w:r>
      <w:r w:rsidR="00C00686" w:rsidRPr="0007219E">
        <w:rPr>
          <w:rFonts w:ascii="Times New Roman" w:hAnsi="Times New Roman" w:cs="Times New Roman"/>
          <w:sz w:val="24"/>
          <w:szCs w:val="24"/>
        </w:rPr>
        <w:t>Obok wielu innych funkcji, ikona pełni także funkcję anamnestyczno - pedagogiczną, która dzisiaj doskonale pasuje do ba</w:t>
      </w:r>
      <w:r w:rsidR="0007219E" w:rsidRPr="0007219E">
        <w:rPr>
          <w:rFonts w:ascii="Times New Roman" w:hAnsi="Times New Roman" w:cs="Times New Roman"/>
          <w:sz w:val="24"/>
          <w:szCs w:val="24"/>
        </w:rPr>
        <w:t xml:space="preserve">dań </w:t>
      </w:r>
      <w:r w:rsidR="0007219E" w:rsidRPr="0007219E">
        <w:rPr>
          <w:rFonts w:ascii="Times New Roman" w:hAnsi="Times New Roman" w:cs="Times New Roman"/>
          <w:sz w:val="24"/>
          <w:szCs w:val="24"/>
        </w:rPr>
        <w:lastRenderedPageBreak/>
        <w:t>narratologicznych</w:t>
      </w:r>
      <w:r w:rsidR="00C00686" w:rsidRPr="0007219E">
        <w:rPr>
          <w:rFonts w:ascii="Times New Roman" w:hAnsi="Times New Roman" w:cs="Times New Roman"/>
          <w:sz w:val="24"/>
          <w:szCs w:val="24"/>
        </w:rPr>
        <w:t xml:space="preserve">. Ikonodule bronią obrazowej </w:t>
      </w:r>
      <w:r w:rsidR="0007219E" w:rsidRPr="0007219E">
        <w:rPr>
          <w:rFonts w:ascii="Times New Roman" w:hAnsi="Times New Roman" w:cs="Times New Roman"/>
          <w:sz w:val="24"/>
          <w:szCs w:val="24"/>
        </w:rPr>
        <w:t xml:space="preserve">narracyjności </w:t>
      </w:r>
      <w:r w:rsidR="00C00686" w:rsidRPr="0007219E">
        <w:rPr>
          <w:rFonts w:ascii="Times New Roman" w:hAnsi="Times New Roman" w:cs="Times New Roman"/>
          <w:sz w:val="24"/>
          <w:szCs w:val="24"/>
        </w:rPr>
        <w:t xml:space="preserve"> Boga i historii zbawienia, podczas gdy ikonoklaści są przeciwni narratywności. Ikona jest medium narracyjnym, które aktualizuje wielką opowieść o zbawieniu, oczywiście jako część wydarzenia liturgicznego, które oferuje więcej niż tylko anamnezę przeszłości. Tak jak sam kult jest partycypacyjną ikoną Królestwa Niebieskiego, tak i ikony są obrazami opowiadającymi, które nie są tylko oglądane, ale wciągają i integrują wiernych w dynamikę historii zbawienia. Narracyjny charakt</w:t>
      </w:r>
      <w:r w:rsidR="00AC68F2">
        <w:rPr>
          <w:rFonts w:ascii="Times New Roman" w:hAnsi="Times New Roman" w:cs="Times New Roman"/>
          <w:sz w:val="24"/>
          <w:szCs w:val="24"/>
        </w:rPr>
        <w:t>er programu obrazów w Kościele p</w:t>
      </w:r>
      <w:r w:rsidR="00C00686" w:rsidRPr="0007219E">
        <w:rPr>
          <w:rFonts w:ascii="Times New Roman" w:hAnsi="Times New Roman" w:cs="Times New Roman"/>
          <w:sz w:val="24"/>
          <w:szCs w:val="24"/>
        </w:rPr>
        <w:t xml:space="preserve">rawosławnym obejmuje wydarzenia od Księgi Rodzaju aż do Eschatonu, przy czym pierwszą rzeczą, którą odwiedzający kościół w tradycyjnie malowanej cerkwi zauważy, jest Sąd Ostateczny: historia </w:t>
      </w:r>
      <w:r w:rsidR="0007219E">
        <w:rPr>
          <w:rFonts w:ascii="Times New Roman" w:hAnsi="Times New Roman" w:cs="Times New Roman"/>
          <w:sz w:val="24"/>
          <w:szCs w:val="24"/>
        </w:rPr>
        <w:t>zbawienia jest więc czytana od „końca”</w:t>
      </w:r>
      <w:r w:rsidR="00C00686" w:rsidRPr="0007219E">
        <w:rPr>
          <w:rFonts w:ascii="Times New Roman" w:hAnsi="Times New Roman" w:cs="Times New Roman"/>
          <w:sz w:val="24"/>
          <w:szCs w:val="24"/>
        </w:rPr>
        <w:t>, od spełnienia. Odwrócona chronologia zbawienia.</w:t>
      </w:r>
    </w:p>
    <w:p w14:paraId="71928623" w14:textId="77777777" w:rsidR="008D34AE" w:rsidRDefault="0007219E" w:rsidP="008D34AE">
      <w:pPr>
        <w:spacing w:after="0"/>
        <w:ind w:firstLine="708"/>
        <w:jc w:val="both"/>
        <w:rPr>
          <w:rFonts w:ascii="Times New Roman" w:hAnsi="Times New Roman" w:cs="Times New Roman"/>
          <w:sz w:val="24"/>
          <w:szCs w:val="24"/>
        </w:rPr>
      </w:pPr>
      <w:r w:rsidRPr="009F7BB2">
        <w:rPr>
          <w:rFonts w:ascii="Times New Roman" w:hAnsi="Times New Roman" w:cs="Times New Roman"/>
          <w:sz w:val="24"/>
          <w:szCs w:val="24"/>
        </w:rPr>
        <w:t>Jeśli się to wie, nie jest zaskakujące, że w Narteksie</w:t>
      </w:r>
      <w:r w:rsidRPr="009F7BB2">
        <w:rPr>
          <w:rStyle w:val="FootnoteReference"/>
          <w:rFonts w:ascii="Times New Roman" w:hAnsi="Times New Roman" w:cs="Times New Roman"/>
          <w:sz w:val="24"/>
          <w:szCs w:val="24"/>
        </w:rPr>
        <w:footnoteReference w:id="16"/>
      </w:r>
      <w:r w:rsidRPr="009F7BB2">
        <w:rPr>
          <w:rFonts w:ascii="Times New Roman" w:hAnsi="Times New Roman" w:cs="Times New Roman"/>
          <w:sz w:val="24"/>
          <w:szCs w:val="24"/>
        </w:rPr>
        <w:t xml:space="preserve"> wielu bizantyjskich kościołów – a także w wielu współczesnych, nowo wznoszonych i malowanych kościołach prawosławnych XXI wieku – przedstawionych jest między innymi siedem soborów ekumenicznych. Z perspektywy narratologicznej: do przedłużonej i przeżywanej opowieści o zbawieniu Kościoła należy również zwycięstwo prawdziwej wiary nad herezjami. Inaczej mówiąc, bycie Kościołem oznacza także teologiczną czujność i synodalne działanie.</w:t>
      </w:r>
      <w:r w:rsidR="008D34AE">
        <w:rPr>
          <w:rFonts w:ascii="Times New Roman" w:hAnsi="Times New Roman" w:cs="Times New Roman"/>
          <w:sz w:val="24"/>
          <w:szCs w:val="24"/>
        </w:rPr>
        <w:t xml:space="preserve"> </w:t>
      </w:r>
    </w:p>
    <w:p w14:paraId="1D30EA4C" w14:textId="77777777" w:rsidR="007A4538" w:rsidRPr="008D34AE" w:rsidRDefault="007A4538" w:rsidP="008D34AE">
      <w:pPr>
        <w:spacing w:after="0"/>
        <w:ind w:firstLine="708"/>
        <w:jc w:val="both"/>
        <w:rPr>
          <w:rFonts w:ascii="Times New Roman" w:hAnsi="Times New Roman" w:cs="Times New Roman"/>
          <w:sz w:val="24"/>
          <w:szCs w:val="24"/>
        </w:rPr>
      </w:pPr>
      <w:r w:rsidRPr="008D34AE">
        <w:rPr>
          <w:rFonts w:ascii="Times New Roman" w:hAnsi="Times New Roman" w:cs="Times New Roman"/>
          <w:sz w:val="24"/>
          <w:szCs w:val="24"/>
        </w:rPr>
        <w:t>Chronologicznie rzecz biorąc, chrześcijańska sztuka na</w:t>
      </w:r>
      <w:r w:rsidR="008D45E0">
        <w:rPr>
          <w:rFonts w:ascii="Times New Roman" w:hAnsi="Times New Roman" w:cs="Times New Roman"/>
          <w:sz w:val="24"/>
          <w:szCs w:val="24"/>
        </w:rPr>
        <w:t>jpierw zareagowała na teologię Soboru N</w:t>
      </w:r>
      <w:r w:rsidRPr="008D34AE">
        <w:rPr>
          <w:rFonts w:ascii="Times New Roman" w:hAnsi="Times New Roman" w:cs="Times New Roman"/>
          <w:sz w:val="24"/>
          <w:szCs w:val="24"/>
        </w:rPr>
        <w:t>icejskiego, ilustrując ją, a dopiero później, od XI–XII wieku, zaczęła przedstawiać same sobory. To jest istotna różnica: najpierw dogmat nicejski jest artystycznie przyjęty i wykorzystywany w sensie obrazowo - kerygmatycznym, dopiero potem samo wydarzenie soborowe staje się ikoną. Reiner Sörries już w 1983 roku zbadał ikonograficzne przyjęcie nicejs</w:t>
      </w:r>
      <w:r w:rsidR="008D34AE" w:rsidRPr="008D34AE">
        <w:rPr>
          <w:rFonts w:ascii="Times New Roman" w:hAnsi="Times New Roman" w:cs="Times New Roman"/>
          <w:sz w:val="24"/>
          <w:szCs w:val="24"/>
        </w:rPr>
        <w:t>kiej, tzn. antyariański</w:t>
      </w:r>
      <w:r w:rsidRPr="008D34AE">
        <w:rPr>
          <w:rFonts w:ascii="Times New Roman" w:hAnsi="Times New Roman" w:cs="Times New Roman"/>
          <w:sz w:val="24"/>
          <w:szCs w:val="24"/>
        </w:rPr>
        <w:t>ej teologii trynitarnej w sztuce chrześcijańskiej (głównie w Rawennie) i podkreślił jej apologetyczny wymiar. Motywy, które z tego wynikają – jak na przykład Chrystus Wywyższony – stanowią dla niego naturalną konsekwencję tej apologetycznej orientacji</w:t>
      </w:r>
      <w:r w:rsidR="008D34AE">
        <w:rPr>
          <w:rStyle w:val="FootnoteReference"/>
          <w:rFonts w:ascii="Times New Roman" w:hAnsi="Times New Roman" w:cs="Times New Roman"/>
          <w:sz w:val="24"/>
          <w:szCs w:val="24"/>
        </w:rPr>
        <w:footnoteReference w:id="17"/>
      </w:r>
      <w:r w:rsidRPr="008D34AE">
        <w:rPr>
          <w:rFonts w:ascii="Times New Roman" w:hAnsi="Times New Roman" w:cs="Times New Roman"/>
          <w:sz w:val="24"/>
          <w:szCs w:val="24"/>
        </w:rPr>
        <w:t>.</w:t>
      </w:r>
    </w:p>
    <w:p w14:paraId="78992991" w14:textId="77777777" w:rsidR="00E46504" w:rsidRDefault="00A6462D" w:rsidP="00E46504">
      <w:pPr>
        <w:pStyle w:val="NormalWeb"/>
        <w:spacing w:before="0" w:beforeAutospacing="0" w:after="0" w:afterAutospacing="0"/>
        <w:ind w:firstLine="708"/>
        <w:jc w:val="both"/>
      </w:pPr>
      <w:r w:rsidRPr="00A6462D">
        <w:t>Obrazowe przedstawienie soborów (w miniaturach lub w kośc</w:t>
      </w:r>
      <w:r w:rsidR="00AC68F2">
        <w:t>iołach – jako mozaiki lub fresku</w:t>
      </w:r>
      <w:r w:rsidRPr="00A6462D">
        <w:t xml:space="preserve">) </w:t>
      </w:r>
      <w:r w:rsidRPr="00A6462D">
        <w:rPr>
          <w:rFonts w:cs="Lato Light"/>
          <w:color w:val="000000"/>
        </w:rPr>
        <w:t>rozpowszechniło się dopiero po ikonoklazmie i stopniowo zyskało stałe miejsce w obrazowym programie narteksu</w:t>
      </w:r>
      <w:r>
        <w:rPr>
          <w:rStyle w:val="FootnoteReference"/>
          <w:rFonts w:cs="Lato Light"/>
          <w:color w:val="000000"/>
        </w:rPr>
        <w:footnoteReference w:id="18"/>
      </w:r>
      <w:r w:rsidRPr="00A6462D">
        <w:t>.</w:t>
      </w:r>
      <w:r w:rsidR="004319F6">
        <w:t xml:space="preserve"> Ten późniejszy</w:t>
      </w:r>
      <w:r>
        <w:t xml:space="preserve"> rozwój pokazuje pewne auto-refleksyjne podejście Kościoła jako </w:t>
      </w:r>
      <w:r w:rsidR="004319F6">
        <w:t>episkopalno</w:t>
      </w:r>
      <w:r>
        <w:t xml:space="preserve">-synodalnej instancji sądowniczej i decyzyjnej: ważne jest nie tylko ikoniczne ogłoszenie chrystologii, ale także ukazanie widocznej </w:t>
      </w:r>
      <w:r w:rsidR="004319F6">
        <w:t>władzy kościelnej</w:t>
      </w:r>
      <w:r>
        <w:t>. Christopher Walter bada różne wariacje przedstawień soborów – do których tutaj nie mogę się odwołać. Typowy układ – przynajmniej w przypad</w:t>
      </w:r>
      <w:r w:rsidR="004319F6">
        <w:t xml:space="preserve">ku przedstawienia </w:t>
      </w:r>
      <w:r w:rsidR="00AC68F2">
        <w:t>S</w:t>
      </w:r>
      <w:r w:rsidR="004319F6">
        <w:t>oboru w Nicei</w:t>
      </w:r>
      <w:r>
        <w:t xml:space="preserve"> – wygląda następująco: Biskupi są zebrani w półokręgu (osoby w pierwszym rzędzie często są </w:t>
      </w:r>
      <w:r w:rsidR="004319F6">
        <w:t>identyfikowane z</w:t>
      </w:r>
      <w:r>
        <w:t xml:space="preserve"> imionami), a w ich centrum znajduje się cesarz Konstantyn. W innych, rzadziej spotykanych wersjach, w centrum znajduje się Ewangelia, a cesarz Konstantyn znajduje się po lewej stronie</w:t>
      </w:r>
      <w:r w:rsidR="004319F6">
        <w:rPr>
          <w:rStyle w:val="FootnoteReference"/>
        </w:rPr>
        <w:footnoteReference w:id="19"/>
      </w:r>
      <w:r>
        <w:t>.</w:t>
      </w:r>
      <w:r w:rsidR="00071F74">
        <w:t xml:space="preserve"> Pod episkopalnym półokręgiem klęczy lub leży Ariusz, pokonany i silnie pochylony w ciemności. W górnej części ikony często pojawia się także scena wizji św. Piotra z Aleksandrii, w której widzi on Jezusa jako małego chłopca w rozdartej szacie – scena mocno tematyzowana w Bizancjum, mająca na </w:t>
      </w:r>
      <w:r w:rsidR="00E46504">
        <w:t>celu przedstawienie chrystofanii</w:t>
      </w:r>
      <w:r w:rsidR="00071F74">
        <w:t xml:space="preserve"> z 311 roku, która już wtedy ujawnia Ariusza jako heretyka i dzielącego Kościół. </w:t>
      </w:r>
      <w:r w:rsidR="00071F74">
        <w:lastRenderedPageBreak/>
        <w:t>Na ikonie często znajdują się także pierwsze słowa credo nicejskiego</w:t>
      </w:r>
      <w:r w:rsidR="00071F74">
        <w:rPr>
          <w:rStyle w:val="FootnoteReference"/>
        </w:rPr>
        <w:footnoteReference w:id="20"/>
      </w:r>
      <w:r w:rsidR="00071F74">
        <w:t>, co podkreśla jej katechetyczną funkcję.</w:t>
      </w:r>
    </w:p>
    <w:p w14:paraId="26DC9637" w14:textId="77777777" w:rsidR="007F0CE4" w:rsidRDefault="00E46504" w:rsidP="007F0CE4">
      <w:pPr>
        <w:pStyle w:val="NormalWeb"/>
        <w:spacing w:before="0" w:beforeAutospacing="0" w:after="0" w:afterAutospacing="0"/>
        <w:ind w:firstLine="708"/>
        <w:jc w:val="both"/>
      </w:pPr>
      <w:r>
        <w:t>Oczywiście, te subtelne różnice niosą ze sobą duży potencjał do teologicznych dyskusji: Przedstawienie z intronizowaną Ewangelią w centrum (Chrystus jako Słowo Boże) przekazuje inną eklezjologiczną i kościelno-polityczną wiadomość niż wersja, która jest skoncentrowana na świeckiej postaci cesarza. Ponadto, fakt, że na ikonie często pojawiają się biskupi, którzy nie brali udziału w soborze, również nie jest przejawem ignorancji historycznej, lecz częścią programu eklezjologicznego.</w:t>
      </w:r>
      <w:r w:rsidR="00314697">
        <w:t xml:space="preserve"> </w:t>
      </w:r>
      <w:r>
        <w:t xml:space="preserve">Pentarchia powinna być już zakorzeniona w Nicei (325). </w:t>
      </w:r>
      <w:r w:rsidR="00150EA9" w:rsidRPr="00150EA9">
        <w:rPr>
          <w:rFonts w:cs="Lato Light"/>
          <w:color w:val="000000"/>
        </w:rPr>
        <w:t>To, czy pokłon Ariusza jest gestem porażki, czy też „proskynesis”</w:t>
      </w:r>
      <w:r w:rsidR="00150EA9" w:rsidRPr="00E46504">
        <w:rPr>
          <w:rFonts w:cs="Lato Light"/>
          <w:color w:val="000000"/>
          <w:sz w:val="19"/>
          <w:szCs w:val="19"/>
        </w:rPr>
        <w:t>,</w:t>
      </w:r>
      <w:r w:rsidR="00314697">
        <w:rPr>
          <w:rFonts w:cs="Lato Light"/>
          <w:color w:val="000000"/>
          <w:sz w:val="19"/>
          <w:szCs w:val="19"/>
        </w:rPr>
        <w:t xml:space="preserve"> </w:t>
      </w:r>
      <w:r>
        <w:t>oddaniem czci wobec prawdy soboru, jest kwestią do dyskusji: Mogłoby to sugerować albo ba</w:t>
      </w:r>
      <w:r w:rsidR="00314697">
        <w:t>rdziej duchowy, albo polityczny</w:t>
      </w:r>
      <w:r>
        <w:t xml:space="preserve"> autorytet soboru</w:t>
      </w:r>
      <w:r w:rsidR="00B16E99">
        <w:rPr>
          <w:rStyle w:val="FootnoteReference"/>
        </w:rPr>
        <w:footnoteReference w:id="21"/>
      </w:r>
      <w:r>
        <w:t>.</w:t>
      </w:r>
      <w:r w:rsidR="00B16E99">
        <w:t xml:space="preserve"> - </w:t>
      </w:r>
      <w:r w:rsidR="00E0076A">
        <w:t>Niestety, na tak zaawansowane</w:t>
      </w:r>
      <w:r w:rsidR="00B16E99">
        <w:t xml:space="preserve"> tematy nie można tutaj szczegółowo się wypowiedzieć.</w:t>
      </w:r>
    </w:p>
    <w:p w14:paraId="777B7D3D" w14:textId="77777777" w:rsidR="003E562C" w:rsidRDefault="00704192" w:rsidP="003E562C">
      <w:pPr>
        <w:pStyle w:val="NormalWeb"/>
        <w:spacing w:before="0" w:beforeAutospacing="0" w:after="0" w:afterAutospacing="0"/>
        <w:ind w:firstLine="708"/>
        <w:jc w:val="both"/>
      </w:pPr>
      <w:r>
        <w:t>Jedne z najpiękniejszych i najlepiej zachowanych przedstawień siedmiu soborów ekumenicznych znajdują się w cerkwi klasztornej Moldovița (XVI w., Rumunia)</w:t>
      </w:r>
      <w:r>
        <w:rPr>
          <w:rStyle w:val="FootnoteReference"/>
        </w:rPr>
        <w:footnoteReference w:id="22"/>
      </w:r>
      <w:r>
        <w:t xml:space="preserve">. Są one przedstawione w narteksie, </w:t>
      </w:r>
      <w:r w:rsidR="007F0CE4">
        <w:t xml:space="preserve"> </w:t>
      </w:r>
      <w:r w:rsidRPr="00704192">
        <w:t>nad 365-dniowym programem Synaxarion, pod czterema okrągłymi łukami</w:t>
      </w:r>
      <w:r w:rsidR="007F0CE4">
        <w:t>.</w:t>
      </w:r>
      <w:r>
        <w:t xml:space="preserve"> Ponieważ ikonograficznie trudno</w:t>
      </w:r>
      <w:r w:rsidR="007F0CE4">
        <w:t xml:space="preserve"> podzielić 7 na 4, Sobór w Nicei</w:t>
      </w:r>
      <w:r>
        <w:t xml:space="preserve"> otrzymuje większe znaczenie (wypełnia zachodnią lunetę), a pozostałe 6 soborów dzieli jedną lunetę. Credo jest zapisane na długiej roli, którą trzymają biskupi w p</w:t>
      </w:r>
      <w:r w:rsidR="00AC68F2">
        <w:t>ierwszym rzędzie i Konstantyn I</w:t>
      </w:r>
      <w:r>
        <w:t xml:space="preserve"> umieszczony pośrodku. Podkreśla to eklezjalną więź jedyn</w:t>
      </w:r>
      <w:r w:rsidR="007F0CE4">
        <w:t>ego Credo. Bliskość kopuły nart</w:t>
      </w:r>
      <w:r>
        <w:t>eksu, zorientowanej na Maryję (razem z przedstawieniami hymnografów na pendentywac</w:t>
      </w:r>
      <w:r w:rsidR="00AC68F2">
        <w:t>h), zwraca uwagę na inkarnacyjny</w:t>
      </w:r>
      <w:r>
        <w:t xml:space="preserve"> </w:t>
      </w:r>
      <w:r w:rsidR="007F0CE4">
        <w:t>wymiar historii</w:t>
      </w:r>
      <w:r>
        <w:t xml:space="preserve"> Kościoła. Władza świecka (cesarz i za nim żołnie</w:t>
      </w:r>
      <w:r w:rsidR="007F0CE4">
        <w:t>rze) oraz synod</w:t>
      </w:r>
      <w:r>
        <w:t xml:space="preserve"> biskupów nie mają ze sobą żadnego kontaktu, poza rolą Credo – czy jest to wskazówka na świadome rozróżnienie Kościoła i państwa?</w:t>
      </w:r>
    </w:p>
    <w:p w14:paraId="57809561" w14:textId="77777777" w:rsidR="00A850D5" w:rsidRDefault="003E562C" w:rsidP="00A850D5">
      <w:pPr>
        <w:pStyle w:val="NormalWeb"/>
        <w:spacing w:before="0" w:beforeAutospacing="0" w:after="0" w:afterAutospacing="0"/>
        <w:ind w:firstLine="708"/>
        <w:jc w:val="both"/>
      </w:pPr>
      <w:r>
        <w:t xml:space="preserve">Warto podkreślić, co dotyczy również hymnografii: Ikona Soboru w Nicei ma silną wielofunkcyjność, przy czym moim zdaniem, mimo elementów nieteologicznych, centralne pozostaje przesłanie teologiczne. Synod biskupów ukazuje Kościół czuwający w wierze, starający się bronić prawdy. Ponieważ mamy do czynienia z półokręgiem, jest jasne, że widz, liturgiczna wspólnota, ma stać się częścią tego wydarzenia. Ikona stanowi wyzwanie, nie jest statycznym obrazem. Postawa soborowa czujności, „wspólnego bycia na drodze” (gr. </w:t>
      </w:r>
      <w:r w:rsidRPr="003E562C">
        <w:rPr>
          <w:i/>
        </w:rPr>
        <w:t>syn-odos</w:t>
      </w:r>
      <w:r>
        <w:t>) jest stanem trwającym w Kościele, „otwartą przestrzenią” i jednocześnie „pracą w toku”.</w:t>
      </w:r>
      <w:r w:rsidR="00A850D5">
        <w:t xml:space="preserve"> Wizja św. Piotra z Aleksandrii podkreśla duchowy wymiar kryteriów prawdy: Bóg objawia się, jest obecny, a Jego prawda nie jest po prostu wynikiem synodalnych negocjacji. Nie jest przypadkiem, że – jak zauważa Sörries – jednym z powiązanych typów ikonowych jest ikona Pięćdziesiątnicy: Apostołowie również siedzą w półokręgu; oczywiście brakuje cesarza, a zamiast pokonanego Ariusza, przedstawiony jest świat (gr. kosmos), personifikowany przez ukoronowanego starca, który przez Apostołów przyjmuje dary Ducha Świętego – znacznie bardziej pozytywny obraz. W porównaniu z </w:t>
      </w:r>
      <w:r w:rsidR="007F7CE4">
        <w:t>tym, ikona Soboru N</w:t>
      </w:r>
      <w:r w:rsidR="00A850D5">
        <w:t>icejskiego ma również coś dramatycznego. Pokazuje, że Kościół jest nieustannie wystawiany na wyzwania. Z drugiej strony, należy podkreślić pneumatologiczny komponent obrazu soborowego.</w:t>
      </w:r>
    </w:p>
    <w:p w14:paraId="7AEF8CC4" w14:textId="77777777" w:rsidR="007F7CE4" w:rsidRDefault="007F7CE4" w:rsidP="00A850D5">
      <w:pPr>
        <w:pStyle w:val="NormalWeb"/>
        <w:spacing w:before="0" w:beforeAutospacing="0" w:after="0" w:afterAutospacing="0"/>
        <w:ind w:firstLine="708"/>
        <w:jc w:val="both"/>
      </w:pPr>
    </w:p>
    <w:p w14:paraId="52F835EF" w14:textId="77777777" w:rsidR="00E0466D" w:rsidRPr="007F7CE4" w:rsidRDefault="00E0466D" w:rsidP="007F7CE4">
      <w:pPr>
        <w:pStyle w:val="ListParagraph"/>
        <w:numPr>
          <w:ilvl w:val="0"/>
          <w:numId w:val="1"/>
        </w:numPr>
        <w:ind w:hanging="11"/>
        <w:jc w:val="both"/>
        <w:rPr>
          <w:rFonts w:ascii="Times New Roman" w:hAnsi="Times New Roman" w:cs="Times New Roman"/>
          <w:b/>
          <w:bCs/>
          <w:iCs/>
          <w:color w:val="000000"/>
          <w:sz w:val="24"/>
          <w:szCs w:val="24"/>
        </w:rPr>
      </w:pPr>
      <w:r w:rsidRPr="007F7CE4">
        <w:rPr>
          <w:rFonts w:ascii="Times New Roman" w:hAnsi="Times New Roman" w:cs="Times New Roman"/>
          <w:b/>
          <w:bCs/>
          <w:iCs/>
          <w:sz w:val="24"/>
          <w:szCs w:val="24"/>
        </w:rPr>
        <w:t xml:space="preserve">Perspektywy: Jubileusz szuka </w:t>
      </w:r>
      <w:r w:rsidRPr="007F7CE4">
        <w:rPr>
          <w:rFonts w:ascii="Times New Roman" w:hAnsi="Times New Roman" w:cs="Times New Roman"/>
          <w:b/>
          <w:bCs/>
          <w:iCs/>
          <w:color w:val="000000"/>
          <w:sz w:val="24"/>
          <w:szCs w:val="24"/>
        </w:rPr>
        <w:t>tematu przewodniego</w:t>
      </w:r>
    </w:p>
    <w:p w14:paraId="173A000C" w14:textId="77777777" w:rsidR="00810503" w:rsidRDefault="007F0BAA" w:rsidP="007F7CE4">
      <w:pPr>
        <w:pStyle w:val="NormalWeb"/>
        <w:spacing w:before="0" w:beforeAutospacing="0" w:after="0" w:afterAutospacing="0"/>
        <w:ind w:firstLine="708"/>
        <w:jc w:val="both"/>
      </w:pPr>
      <w:r>
        <w:t>Kościół prawosławny nadal przekazuje bizantyńską hymnografię i ikonografię, w tym temat p</w:t>
      </w:r>
      <w:r w:rsidR="00AC68F2">
        <w:t>ierwszego S</w:t>
      </w:r>
      <w:r>
        <w:t xml:space="preserve">oboru ekumenicznego w Nicei (325). Świadczy to m.in. o zachowaniu </w:t>
      </w:r>
      <w:r>
        <w:lastRenderedPageBreak/>
        <w:t>silnej wrażliwości na kwestie wiary oraz ich duchowe znaczenie, o pewnej świadomości kruchości (prawdziwej) wiary oraz zabezpieczeniu biskupiej-synodalnej struktury działania i podejmowania decyzji w Kościele. To, co ta hymnograficzno-ikonograficzna tradycja wnosi do kontekstu 1700-lecia, stanowi przede wszystkim przykład żywej, celebrującej i opowiadającej kultury pamięci. Ma to nie tylko duże znaczenie katechetyczne. Można by to uznać za okazję do przemyślenia ekumenicznej roli wprowadzenia takiego święta –</w:t>
      </w:r>
      <w:r w:rsidR="007F7CE4">
        <w:t xml:space="preserve"> dnia upamiętnienia pierwszego Soboru N</w:t>
      </w:r>
      <w:r>
        <w:t>icejskiego. Święto, które mogłoby być obchodzone corocznie przez całą chrześcijańską wspólnotę, tak jak wszystkie inne święta. W odróżnieniu od późniejszych soborów (</w:t>
      </w:r>
      <w:r w:rsidR="007F7CE4">
        <w:t>zwłaszcza od Soboru w Efezie), Sobór N</w:t>
      </w:r>
      <w:r>
        <w:t>icejski jest wiążącym punktem odniesienia dla wszystkich chrześcijan, choć waga tej obowiązkowości może się różnić. Takie święto prowadziłoby synodalną świadomość do rzeczywistego wymiaru heortologicznego i pomogłoby nam interpretować to wydarzenie, mimo jego historyczno-krytycznych, widocznych rozdarć, z perspektywy wspólnego etosu tożsamości.</w:t>
      </w:r>
    </w:p>
    <w:p w14:paraId="27208741" w14:textId="77777777" w:rsidR="002E6926" w:rsidRDefault="008040ED" w:rsidP="002E6926">
      <w:pPr>
        <w:pStyle w:val="NormalWeb"/>
        <w:spacing w:before="0" w:beforeAutospacing="0" w:after="0" w:afterAutospacing="0"/>
        <w:ind w:firstLine="708"/>
        <w:jc w:val="both"/>
      </w:pPr>
      <w:r>
        <w:t>To, co ta bizantyńska, hymnograficzno-ikonograficzna tradycja nie wnosi, to hermeneutyka, którą należy zaktualizować: Co to oznacza dla mnie dzisiaj? Jakie są konsekwencje tego dla mnie i dla Kościoła dzisiaj? Prowadzi to we współczesnej, prawosławnej homiletycznej interpretacji tego święta do ekskluzywistycznych, ironicznych lub czysto historycznych linii interpretacyj</w:t>
      </w:r>
      <w:r w:rsidR="002E6926">
        <w:t>nych. To jest temat sam w sobie.</w:t>
      </w:r>
    </w:p>
    <w:p w14:paraId="25F1999D" w14:textId="77777777" w:rsidR="00042143" w:rsidRDefault="002E6926" w:rsidP="00042143">
      <w:pPr>
        <w:pStyle w:val="NormalWeb"/>
        <w:spacing w:before="0" w:beforeAutospacing="0" w:after="0" w:afterAutospacing="0"/>
        <w:ind w:firstLine="708"/>
        <w:jc w:val="both"/>
      </w:pPr>
      <w:r w:rsidRPr="002E6926">
        <w:rPr>
          <w:rFonts w:cs="Lato Light"/>
          <w:color w:val="000000"/>
        </w:rPr>
        <w:t>Wracając do roku jubileuszowego 2025: najważniejszą rzeczą - jeśli możemy mówić o procesie uczenia się w związku z jubileuszem - jest to, co po nim pozostaje</w:t>
      </w:r>
      <w:r w:rsidR="00810503" w:rsidRPr="002E6926">
        <w:t>.</w:t>
      </w:r>
      <w:r w:rsidR="00810503">
        <w:t xml:space="preserve"> Czy mamy wizję tego, co jako chrześcijanie możemy zabrać z 1700-lec</w:t>
      </w:r>
      <w:r w:rsidR="007F7CE4">
        <w:t>ia Soboru N</w:t>
      </w:r>
      <w:r w:rsidR="00810503">
        <w:t>icejskiego w 2025 roku, na drogę Kościoła na resztę XXI wieku? Bez pewnej wizjonerskie</w:t>
      </w:r>
      <w:r>
        <w:t>j nadziei jubileusze pozostaną „tylko”</w:t>
      </w:r>
      <w:r w:rsidR="00810503">
        <w:t xml:space="preserve"> tematyc</w:t>
      </w:r>
      <w:r>
        <w:t>znymi motywami krystalizacji. W roku 1981 – p</w:t>
      </w:r>
      <w:r w:rsidR="00AC68F2">
        <w:t>rzy 1600-leciu S</w:t>
      </w:r>
      <w:r>
        <w:t>oboru II e</w:t>
      </w:r>
      <w:r w:rsidR="00810503">
        <w:t xml:space="preserve">kumenicznego – mieliśmy taką wizję: ekumeniczne </w:t>
      </w:r>
      <w:r>
        <w:t>przywrócenie</w:t>
      </w:r>
      <w:r w:rsidR="00810503">
        <w:t xml:space="preserve"> jednego brzmienia Nicejsko-Konstantynopolitańskiego Wyznania Wiary. Choć ta wizja ostatecznie nie została zrealizowana, owoce teologicznych prac konwergencyjnych tamtego okresu przyniosły efekty daleko poza rok 1981.</w:t>
      </w:r>
    </w:p>
    <w:p w14:paraId="409EDD13" w14:textId="77777777" w:rsidR="00F845AE" w:rsidRDefault="00042143" w:rsidP="00F845AE">
      <w:pPr>
        <w:pStyle w:val="NormalWeb"/>
        <w:spacing w:before="0" w:beforeAutospacing="0" w:after="0" w:afterAutospacing="0"/>
        <w:ind w:firstLine="708"/>
        <w:jc w:val="both"/>
      </w:pPr>
      <w:r>
        <w:t>Na r</w:t>
      </w:r>
      <w:r w:rsidR="007F7CE4">
        <w:t>ok 2025 związany z jubileuszem Soboru N</w:t>
      </w:r>
      <w:r>
        <w:t>icejskiego wydaje się, że tematem, który może stać się centralnym, będzie kwestia wspólnego obchodu daty Wielkanocy. To byłoby ważne, ale w kon</w:t>
      </w:r>
      <w:r w:rsidR="008D45E0">
        <w:t>tekście teologicznej spójności Soboru N</w:t>
      </w:r>
      <w:r>
        <w:t>icejskiego oraz różnorodnych form współczesnych wyzwań neoariańskich, właściwie byłoby to zb</w:t>
      </w:r>
      <w:r w:rsidR="008D45E0">
        <w:t>yt mało. Redukowanie znaczenia Soboru N</w:t>
      </w:r>
      <w:r>
        <w:t>icejskiego z 325 roku do kwestii daty Wielkanocy stanowiłoby teologiczne świadectwo ubóstwa.</w:t>
      </w:r>
    </w:p>
    <w:p w14:paraId="2993EEDB" w14:textId="77777777" w:rsidR="00E0466D" w:rsidRPr="001067C4" w:rsidRDefault="00F845AE" w:rsidP="001067C4">
      <w:pPr>
        <w:pStyle w:val="NormalWeb"/>
        <w:spacing w:before="0" w:beforeAutospacing="0" w:after="0" w:afterAutospacing="0"/>
        <w:ind w:firstLine="708"/>
        <w:jc w:val="both"/>
      </w:pPr>
      <w:r>
        <w:t>Najprostsze, co mogłoby być tematem w kontekście współczesności, to ekumeniczność naszych chrześcijańskich dyskursów, przekraczających granice wyznaniowe. Chodzi o „ekumeniczność” w pierw</w:t>
      </w:r>
      <w:r w:rsidR="007F7CE4">
        <w:t>otnym sensie tego słowa. Sobór N</w:t>
      </w:r>
      <w:r>
        <w:t>icejski był soborem (zarówno w swoich aspiracjach, jak i w recepcji) dla całej „oikumeny”, ponieważ wyzwanie ariańskie dotyczyło całej „oikumeny” – całego chrześcijańskiego świata.</w:t>
      </w:r>
    </w:p>
    <w:p w14:paraId="2B3F0FF1" w14:textId="77777777" w:rsidR="008D41ED" w:rsidRDefault="008D41ED" w:rsidP="001067C4">
      <w:pPr>
        <w:pStyle w:val="NormalWeb"/>
        <w:spacing w:before="0" w:beforeAutospacing="0" w:after="0" w:afterAutospacing="0"/>
        <w:ind w:firstLine="708"/>
        <w:jc w:val="both"/>
      </w:pPr>
      <w:r>
        <w:t>Dziś żyjemy i rozumiemy – jednocześnie wyzwania i odpowiedzi – najczęściej w konfesyjnych lub kulturowych fragmentacjach. Współczesne znaczenie kwestii religijnych w chrześcijaństwie jest oceniane bardzo kontekstowo. Jest to nieuniknione, ale także niewybaczalne. Moje wezwanie zmierza ku świadomości „oikumeny” w pierwotnym sensie t</w:t>
      </w:r>
      <w:r w:rsidR="007F7CE4">
        <w:t>ego słowa: Obchodzić Sobór N</w:t>
      </w:r>
      <w:r>
        <w:t xml:space="preserve">icejski w 2025 roku to także podjąć wysiłek wyrażenia wspólnych wyzwań i wspólnych hermeneutyk wiary. Dla nas dzisiaj. Takich, które przemawiają do chrześcijan niezależnie od ich wyznaniowej formacji czy socjalizacji. Czy istnieją takie wspólne wyzwania? Czy mamy jeszcze siłę </w:t>
      </w:r>
      <w:r w:rsidR="007F7CE4">
        <w:t>na wspólne wizje – jak ojcowie Soboru N</w:t>
      </w:r>
      <w:r>
        <w:t>icejskiego 1700 lat temu (nawet jeśli historyczno-krytycznie może to być częściowo konstrukt)?</w:t>
      </w:r>
    </w:p>
    <w:p w14:paraId="2D5355DC" w14:textId="77777777" w:rsidR="008D41ED" w:rsidRDefault="008D41ED" w:rsidP="008D41ED">
      <w:pPr>
        <w:pStyle w:val="NormalWeb"/>
        <w:spacing w:before="0" w:beforeAutospacing="0" w:after="0" w:afterAutospacing="0"/>
        <w:ind w:firstLine="708"/>
        <w:jc w:val="both"/>
      </w:pPr>
      <w:r>
        <w:t>Nie tylko z wierności wobec Nicei, ale także z powodu centralności chrześcijańskiej wiary, nie wolno zapominać o teologii Trójc</w:t>
      </w:r>
      <w:r w:rsidR="00AC68F2">
        <w:t>y Świętej i Chrystologii. Eklez</w:t>
      </w:r>
      <w:r>
        <w:t xml:space="preserve">jologia nadal </w:t>
      </w:r>
      <w:r>
        <w:lastRenderedPageBreak/>
        <w:t>będzie nas zajmować, antropologia, w dialogu interdyscyplinarnym, staje się coraz gorętszym tematem, etyka, bioetyka i etyka społeczna pozostaną ciągłymi tematami. Jednak tym, co spaja wszystko, aby mówić o „chrześcijaństwie” we wszystkich tych perspektywach i dziedzinach, jest wyznanie wiary w jednego Trójjedynego Boga i w Logosa, który stał się człowiekiem. Tym, co pozostaje wyzwaniem, jest serce chrześcijańskiej prawdy wiary: tajemnica trynitarna i mowa o Zbawicielu, który jest „prawdziwym Bogiem i prawdziwym człowiekiem”.</w:t>
      </w:r>
    </w:p>
    <w:p w14:paraId="7111B36F" w14:textId="77777777" w:rsidR="008D41ED" w:rsidRDefault="008D41ED" w:rsidP="008D41ED">
      <w:pPr>
        <w:pStyle w:val="NormalWeb"/>
        <w:spacing w:before="0" w:beforeAutospacing="0" w:after="0" w:afterAutospacing="0"/>
        <w:ind w:firstLine="708"/>
        <w:jc w:val="both"/>
      </w:pPr>
      <w:r>
        <w:t>Nicea wyzwala nas dzisiaj. Dlatego warto obchodzić to jubileusz. Ponieważ poprzez uroczyste wspomnienie ćwiczymy również czujność. A czujność to ostatecznie „eros do Boga</w:t>
      </w:r>
      <w:r w:rsidR="00AC68F2">
        <w:t>”</w:t>
      </w:r>
      <w:r w:rsidR="00E11A99">
        <w:rPr>
          <w:rStyle w:val="FootnoteReference"/>
        </w:rPr>
        <w:footnoteReference w:id="23"/>
      </w:r>
      <w:r>
        <w:t>. O to właśnie chodzi.</w:t>
      </w:r>
    </w:p>
    <w:p w14:paraId="4F1D9359" w14:textId="77777777" w:rsidR="00F845AE" w:rsidRDefault="00F845AE" w:rsidP="0070608D">
      <w:pPr>
        <w:jc w:val="both"/>
        <w:rPr>
          <w:rFonts w:cs="Lato Light"/>
          <w:color w:val="000000"/>
          <w:sz w:val="19"/>
          <w:szCs w:val="19"/>
        </w:rPr>
      </w:pPr>
    </w:p>
    <w:p w14:paraId="3CAA9812" w14:textId="77777777" w:rsidR="00F845AE" w:rsidRPr="003C5F50" w:rsidRDefault="003C5F50" w:rsidP="00AD6A3A">
      <w:pPr>
        <w:spacing w:line="240" w:lineRule="auto"/>
        <w:ind w:firstLine="708"/>
        <w:jc w:val="both"/>
        <w:rPr>
          <w:rFonts w:ascii="Times New Roman" w:hAnsi="Times New Roman" w:cs="Times New Roman"/>
          <w:color w:val="000000"/>
          <w:sz w:val="24"/>
          <w:szCs w:val="24"/>
        </w:rPr>
      </w:pPr>
      <w:r w:rsidRPr="003C5F50">
        <w:rPr>
          <w:rFonts w:ascii="Times New Roman" w:hAnsi="Times New Roman" w:cs="Times New Roman"/>
          <w:b/>
          <w:bCs/>
          <w:color w:val="000000"/>
          <w:sz w:val="24"/>
          <w:szCs w:val="24"/>
        </w:rPr>
        <w:t>Nota o Autorze: Ioan Moga</w:t>
      </w:r>
      <w:r>
        <w:rPr>
          <w:rFonts w:ascii="Times New Roman" w:hAnsi="Times New Roman" w:cs="Times New Roman"/>
          <w:color w:val="000000"/>
          <w:sz w:val="24"/>
          <w:szCs w:val="24"/>
        </w:rPr>
        <w:t xml:space="preserve"> urodzony 18 czerwca 1979 w Făgăraș w Rumunii. R</w:t>
      </w:r>
      <w:r w:rsidRPr="003C5F50">
        <w:rPr>
          <w:rFonts w:ascii="Times New Roman" w:hAnsi="Times New Roman" w:cs="Times New Roman"/>
          <w:color w:val="000000"/>
          <w:sz w:val="24"/>
          <w:szCs w:val="24"/>
        </w:rPr>
        <w:t>umuński teolog prawosławny, który od 2021 roku jest profesorem nadzwyczajnym na Wydziale Teologii Katolickiej Uniwersytetu Wiedeńskiego.</w:t>
      </w:r>
      <w:r>
        <w:rPr>
          <w:rFonts w:ascii="Times New Roman" w:hAnsi="Times New Roman" w:cs="Times New Roman"/>
          <w:color w:val="000000"/>
          <w:sz w:val="24"/>
          <w:szCs w:val="24"/>
        </w:rPr>
        <w:t xml:space="preserve"> D</w:t>
      </w:r>
      <w:r w:rsidRPr="003C5F50">
        <w:rPr>
          <w:rFonts w:ascii="Times New Roman" w:hAnsi="Times New Roman" w:cs="Times New Roman"/>
          <w:color w:val="000000"/>
          <w:sz w:val="24"/>
          <w:szCs w:val="24"/>
        </w:rPr>
        <w:t xml:space="preserve">zieciństwo i młodość </w:t>
      </w:r>
      <w:r>
        <w:rPr>
          <w:rFonts w:ascii="Times New Roman" w:hAnsi="Times New Roman" w:cs="Times New Roman"/>
          <w:color w:val="000000"/>
          <w:sz w:val="24"/>
          <w:szCs w:val="24"/>
        </w:rPr>
        <w:t xml:space="preserve">spędził </w:t>
      </w:r>
      <w:r w:rsidRPr="003C5F50">
        <w:rPr>
          <w:rFonts w:ascii="Times New Roman" w:hAnsi="Times New Roman" w:cs="Times New Roman"/>
          <w:color w:val="000000"/>
          <w:sz w:val="24"/>
          <w:szCs w:val="24"/>
        </w:rPr>
        <w:t>w Rumunii. W latach 2000-2004 studiował teologię prawosławną na Uniwersytecie w Monachium</w:t>
      </w:r>
      <w:r w:rsidR="00AC68F2">
        <w:rPr>
          <w:rFonts w:ascii="Times New Roman" w:hAnsi="Times New Roman" w:cs="Times New Roman"/>
          <w:color w:val="000000"/>
          <w:sz w:val="24"/>
          <w:szCs w:val="24"/>
        </w:rPr>
        <w:t>,</w:t>
      </w:r>
      <w:r>
        <w:rPr>
          <w:rFonts w:ascii="Times New Roman" w:hAnsi="Times New Roman" w:cs="Times New Roman"/>
          <w:color w:val="000000"/>
          <w:sz w:val="24"/>
          <w:szCs w:val="24"/>
        </w:rPr>
        <w:t xml:space="preserve"> gdzie obronił doktorat. </w:t>
      </w:r>
      <w:r w:rsidRPr="003C5F50">
        <w:rPr>
          <w:rFonts w:ascii="Times New Roman" w:hAnsi="Times New Roman" w:cs="Times New Roman"/>
          <w:color w:val="000000"/>
          <w:sz w:val="24"/>
          <w:szCs w:val="24"/>
        </w:rPr>
        <w:t xml:space="preserve">W latach 2004-2010 pracował jako pracownik naukowy w </w:t>
      </w:r>
      <w:r>
        <w:rPr>
          <w:rFonts w:ascii="Times New Roman" w:hAnsi="Times New Roman" w:cs="Times New Roman"/>
          <w:color w:val="000000"/>
          <w:sz w:val="24"/>
          <w:szCs w:val="24"/>
        </w:rPr>
        <w:t xml:space="preserve">Instytucie </w:t>
      </w:r>
      <w:r w:rsidRPr="003C5F50">
        <w:rPr>
          <w:rFonts w:ascii="Times New Roman" w:hAnsi="Times New Roman" w:cs="Times New Roman"/>
          <w:color w:val="000000"/>
          <w:sz w:val="24"/>
          <w:szCs w:val="24"/>
        </w:rPr>
        <w:t>Teologii Prawosławnej Uniwersytetu w Monachium. W 2010 roku przeniósł się na Uniwersytet Wiedeński, gdzie w latach 20</w:t>
      </w:r>
      <w:r>
        <w:rPr>
          <w:rFonts w:ascii="Times New Roman" w:hAnsi="Times New Roman" w:cs="Times New Roman"/>
          <w:color w:val="000000"/>
          <w:sz w:val="24"/>
          <w:szCs w:val="24"/>
        </w:rPr>
        <w:t xml:space="preserve">10-2016 pracował jako asystent przy </w:t>
      </w:r>
      <w:r w:rsidRPr="003C5F50">
        <w:rPr>
          <w:rFonts w:ascii="Times New Roman" w:hAnsi="Times New Roman" w:cs="Times New Roman"/>
          <w:color w:val="000000"/>
          <w:sz w:val="24"/>
          <w:szCs w:val="24"/>
        </w:rPr>
        <w:t>Katedrze Wiedzy o Kościołach Wschodnich na Wydziale Teolog</w:t>
      </w:r>
      <w:r>
        <w:rPr>
          <w:rFonts w:ascii="Times New Roman" w:hAnsi="Times New Roman" w:cs="Times New Roman"/>
          <w:color w:val="000000"/>
          <w:sz w:val="24"/>
          <w:szCs w:val="24"/>
        </w:rPr>
        <w:t>ii Katolickiej</w:t>
      </w:r>
      <w:r w:rsidRPr="003C5F50">
        <w:rPr>
          <w:rFonts w:ascii="Times New Roman" w:hAnsi="Times New Roman" w:cs="Times New Roman"/>
          <w:color w:val="000000"/>
          <w:sz w:val="24"/>
          <w:szCs w:val="24"/>
        </w:rPr>
        <w:t>.</w:t>
      </w:r>
      <w:r>
        <w:rPr>
          <w:rFonts w:ascii="Times New Roman" w:hAnsi="Times New Roman" w:cs="Times New Roman"/>
          <w:color w:val="000000"/>
          <w:sz w:val="24"/>
          <w:szCs w:val="24"/>
        </w:rPr>
        <w:t xml:space="preserve"> Tam też uzyskał habilitację. </w:t>
      </w:r>
      <w:r w:rsidRPr="003C5F50">
        <w:rPr>
          <w:rFonts w:ascii="Times New Roman" w:hAnsi="Times New Roman" w:cs="Times New Roman"/>
          <w:color w:val="000000"/>
          <w:sz w:val="24"/>
          <w:szCs w:val="24"/>
        </w:rPr>
        <w:t>Od 1 czerwca 2021 jest profesorem nadzwyczajnym teologii prawosławnej na Wydziale Teologii Katolickiej Uniwersytetu Wiedeńskiego</w:t>
      </w:r>
      <w:r>
        <w:rPr>
          <w:rFonts w:ascii="Times New Roman" w:hAnsi="Times New Roman" w:cs="Times New Roman"/>
          <w:color w:val="000000"/>
          <w:sz w:val="24"/>
          <w:szCs w:val="24"/>
        </w:rPr>
        <w:t>. J</w:t>
      </w:r>
      <w:r w:rsidRPr="003C5F50">
        <w:rPr>
          <w:rFonts w:ascii="Times New Roman" w:hAnsi="Times New Roman" w:cs="Times New Roman"/>
          <w:color w:val="000000"/>
          <w:sz w:val="24"/>
          <w:szCs w:val="24"/>
        </w:rPr>
        <w:t>est żonaty od 2003 roku i ma czworo dzieci.</w:t>
      </w:r>
      <w:r>
        <w:rPr>
          <w:rFonts w:ascii="Times New Roman" w:hAnsi="Times New Roman" w:cs="Times New Roman"/>
          <w:color w:val="000000"/>
          <w:sz w:val="24"/>
          <w:szCs w:val="24"/>
        </w:rPr>
        <w:t xml:space="preserve"> W 2005 roku przyjął </w:t>
      </w:r>
      <w:r w:rsidRPr="003C5F50">
        <w:rPr>
          <w:rFonts w:ascii="Times New Roman" w:hAnsi="Times New Roman" w:cs="Times New Roman"/>
          <w:color w:val="000000"/>
          <w:sz w:val="24"/>
          <w:szCs w:val="24"/>
        </w:rPr>
        <w:t xml:space="preserve"> </w:t>
      </w:r>
      <w:r>
        <w:rPr>
          <w:rFonts w:ascii="Times New Roman" w:hAnsi="Times New Roman" w:cs="Times New Roman"/>
          <w:color w:val="000000"/>
          <w:sz w:val="24"/>
          <w:szCs w:val="24"/>
        </w:rPr>
        <w:t>świecenia kapłańskie w Rumuńskim Kościele Prawosławnym</w:t>
      </w:r>
      <w:r w:rsidRPr="003C5F50">
        <w:rPr>
          <w:rFonts w:ascii="Times New Roman" w:hAnsi="Times New Roman" w:cs="Times New Roman"/>
          <w:color w:val="000000"/>
          <w:sz w:val="24"/>
          <w:szCs w:val="24"/>
        </w:rPr>
        <w:t>.</w:t>
      </w:r>
    </w:p>
    <w:p w14:paraId="7798C31A" w14:textId="77777777" w:rsidR="007F7CE4" w:rsidRPr="006D49D6" w:rsidRDefault="006D49D6" w:rsidP="006D49D6">
      <w:pPr>
        <w:pStyle w:val="NoSpacing"/>
        <w:rPr>
          <w:rFonts w:ascii="Times New Roman" w:hAnsi="Times New Roman" w:cs="Times New Roman"/>
          <w:b/>
          <w:bCs/>
          <w:sz w:val="24"/>
          <w:szCs w:val="24"/>
        </w:rPr>
      </w:pPr>
      <w:r w:rsidRPr="006D49D6">
        <w:rPr>
          <w:rFonts w:ascii="Times New Roman" w:hAnsi="Times New Roman" w:cs="Times New Roman"/>
          <w:b/>
          <w:bCs/>
          <w:sz w:val="24"/>
          <w:szCs w:val="24"/>
        </w:rPr>
        <w:t>Bibliografia:</w:t>
      </w:r>
    </w:p>
    <w:p w14:paraId="3A81B11C" w14:textId="77777777" w:rsidR="006D49D6" w:rsidRPr="006D49D6" w:rsidRDefault="006D49D6" w:rsidP="006D49D6">
      <w:pPr>
        <w:pStyle w:val="FootnoteText"/>
        <w:ind w:left="1134" w:hanging="1134"/>
        <w:jc w:val="both"/>
        <w:rPr>
          <w:rFonts w:ascii="Times New Roman" w:hAnsi="Times New Roman" w:cs="Times New Roman"/>
          <w:sz w:val="24"/>
          <w:szCs w:val="24"/>
          <w:lang w:val="fr-FR"/>
        </w:rPr>
      </w:pPr>
      <w:r w:rsidRPr="006D49D6">
        <w:rPr>
          <w:rFonts w:ascii="Times New Roman" w:hAnsi="Times New Roman" w:cs="Times New Roman"/>
          <w:sz w:val="24"/>
          <w:szCs w:val="24"/>
          <w:lang w:val="en-US"/>
        </w:rPr>
        <w:t>Goiana</w:t>
      </w:r>
      <w:r>
        <w:rPr>
          <w:rFonts w:ascii="Times New Roman" w:hAnsi="Times New Roman" w:cs="Times New Roman"/>
          <w:sz w:val="24"/>
          <w:szCs w:val="24"/>
          <w:lang w:val="en-US"/>
        </w:rPr>
        <w:t xml:space="preserve"> </w:t>
      </w:r>
      <w:r w:rsidRPr="006D49D6">
        <w:rPr>
          <w:rFonts w:ascii="Times New Roman" w:hAnsi="Times New Roman" w:cs="Times New Roman"/>
          <w:sz w:val="24"/>
          <w:szCs w:val="24"/>
          <w:lang w:val="en-US"/>
        </w:rPr>
        <w:t xml:space="preserve">M.L., </w:t>
      </w:r>
      <w:r w:rsidRPr="006D49D6">
        <w:rPr>
          <w:rFonts w:ascii="Times New Roman" w:hAnsi="Times New Roman" w:cs="Times New Roman"/>
          <w:i/>
          <w:iCs/>
          <w:color w:val="000000"/>
          <w:sz w:val="24"/>
          <w:szCs w:val="24"/>
          <w:lang w:val="en-US"/>
        </w:rPr>
        <w:t xml:space="preserve">Theology of the Icon in Hymnographic Form: A Kanon and Four Stichera for the Second Council of Nicaea Attributed to (Theodore?) </w:t>
      </w:r>
      <w:r w:rsidRPr="006D49D6">
        <w:rPr>
          <w:rFonts w:ascii="Times New Roman" w:hAnsi="Times New Roman" w:cs="Times New Roman"/>
          <w:i/>
          <w:iCs/>
          <w:color w:val="000000"/>
          <w:sz w:val="24"/>
          <w:szCs w:val="24"/>
          <w:lang w:val="fr-FR"/>
        </w:rPr>
        <w:t>Stoudites</w:t>
      </w:r>
      <w:r w:rsidRPr="006D49D6">
        <w:rPr>
          <w:rFonts w:ascii="Times New Roman" w:hAnsi="Times New Roman" w:cs="Times New Roman"/>
          <w:color w:val="000000"/>
          <w:sz w:val="24"/>
          <w:szCs w:val="24"/>
          <w:lang w:val="fr-FR"/>
        </w:rPr>
        <w:t xml:space="preserve">, w: </w:t>
      </w:r>
      <w:r w:rsidRPr="006D49D6">
        <w:rPr>
          <w:rFonts w:ascii="Times New Roman" w:hAnsi="Times New Roman" w:cs="Times New Roman"/>
          <w:i/>
          <w:iCs/>
          <w:color w:val="000000"/>
          <w:sz w:val="24"/>
          <w:szCs w:val="24"/>
          <w:lang w:val="fr-FR"/>
        </w:rPr>
        <w:t>Journal of Byzantine Studies</w:t>
      </w:r>
      <w:r w:rsidRPr="006D49D6">
        <w:rPr>
          <w:rFonts w:ascii="Times New Roman" w:hAnsi="Times New Roman" w:cs="Times New Roman"/>
          <w:color w:val="000000"/>
          <w:sz w:val="24"/>
          <w:szCs w:val="24"/>
          <w:lang w:val="fr-FR"/>
        </w:rPr>
        <w:t xml:space="preserve"> 72(2022), s. 275–316.</w:t>
      </w:r>
    </w:p>
    <w:p w14:paraId="1C7451F8" w14:textId="77777777" w:rsidR="006D49D6" w:rsidRPr="006D49D6" w:rsidRDefault="006D49D6" w:rsidP="006D49D6">
      <w:pPr>
        <w:pStyle w:val="FootnoteText"/>
        <w:ind w:left="1134" w:hanging="1134"/>
        <w:jc w:val="both"/>
        <w:rPr>
          <w:rFonts w:ascii="Times New Roman" w:hAnsi="Times New Roman" w:cs="Times New Roman"/>
          <w:sz w:val="24"/>
          <w:szCs w:val="24"/>
        </w:rPr>
      </w:pPr>
      <w:r w:rsidRPr="006D49D6">
        <w:rPr>
          <w:rFonts w:ascii="Times New Roman" w:hAnsi="Times New Roman" w:cs="Times New Roman"/>
          <w:color w:val="000000"/>
          <w:sz w:val="24"/>
          <w:szCs w:val="24"/>
          <w:lang w:val="de-AT"/>
        </w:rPr>
        <w:t xml:space="preserve">Johannes von Damaskus, </w:t>
      </w:r>
      <w:r w:rsidRPr="006D49D6">
        <w:rPr>
          <w:rFonts w:ascii="Times New Roman" w:hAnsi="Times New Roman" w:cs="Times New Roman"/>
          <w:i/>
          <w:iCs/>
          <w:color w:val="000000"/>
          <w:sz w:val="24"/>
          <w:szCs w:val="24"/>
          <w:lang w:val="de-AT"/>
        </w:rPr>
        <w:t>Zweite Verteidigungsschrift gegen die Bilderfeinde</w:t>
      </w:r>
      <w:r w:rsidRPr="006D49D6">
        <w:rPr>
          <w:rFonts w:ascii="Times New Roman" w:hAnsi="Times New Roman" w:cs="Times New Roman"/>
          <w:color w:val="000000"/>
          <w:sz w:val="24"/>
          <w:szCs w:val="24"/>
          <w:lang w:val="de-AT"/>
        </w:rPr>
        <w:t>,</w:t>
      </w:r>
      <w:r w:rsidRPr="006D49D6">
        <w:rPr>
          <w:rFonts w:ascii="Times New Roman" w:hAnsi="Times New Roman" w:cs="Times New Roman"/>
          <w:i/>
          <w:iCs/>
          <w:color w:val="000000"/>
          <w:sz w:val="24"/>
          <w:szCs w:val="24"/>
          <w:lang w:val="de-AT"/>
        </w:rPr>
        <w:t xml:space="preserve"> </w:t>
      </w:r>
      <w:r w:rsidRPr="006D49D6">
        <w:rPr>
          <w:rFonts w:ascii="Times New Roman" w:hAnsi="Times New Roman" w:cs="Times New Roman"/>
          <w:color w:val="000000"/>
          <w:sz w:val="24"/>
          <w:szCs w:val="24"/>
          <w:lang w:val="de-AT"/>
        </w:rPr>
        <w:t xml:space="preserve">10, cyt. za: T. Bremer, </w:t>
      </w:r>
      <w:r w:rsidRPr="006D49D6">
        <w:rPr>
          <w:rFonts w:ascii="Times New Roman" w:hAnsi="Times New Roman" w:cs="Times New Roman"/>
          <w:i/>
          <w:iCs/>
          <w:color w:val="000000"/>
          <w:sz w:val="24"/>
          <w:szCs w:val="24"/>
          <w:lang w:val="de-AT"/>
        </w:rPr>
        <w:t xml:space="preserve">„Verehrt wird Er in Seinem Bilde…”. </w:t>
      </w:r>
      <w:r w:rsidRPr="006D49D6">
        <w:rPr>
          <w:rFonts w:ascii="Times New Roman" w:hAnsi="Times New Roman" w:cs="Times New Roman"/>
          <w:i/>
          <w:iCs/>
          <w:color w:val="000000"/>
          <w:sz w:val="24"/>
          <w:szCs w:val="24"/>
        </w:rPr>
        <w:t>Quellenbuch zur Geschichte der Ikonentheologie</w:t>
      </w:r>
      <w:r w:rsidRPr="006D49D6">
        <w:rPr>
          <w:rFonts w:ascii="Times New Roman" w:hAnsi="Times New Roman" w:cs="Times New Roman"/>
          <w:color w:val="000000"/>
          <w:sz w:val="24"/>
          <w:szCs w:val="24"/>
        </w:rPr>
        <w:t>, Trier 2014, s. 132.</w:t>
      </w:r>
    </w:p>
    <w:p w14:paraId="357965EB" w14:textId="77777777" w:rsidR="006D49D6" w:rsidRPr="006D49D6" w:rsidRDefault="006D49D6" w:rsidP="006D49D6">
      <w:pPr>
        <w:pStyle w:val="FootnoteText"/>
        <w:ind w:left="1134" w:hanging="1134"/>
        <w:jc w:val="both"/>
        <w:rPr>
          <w:rFonts w:ascii="Times New Roman" w:hAnsi="Times New Roman" w:cs="Times New Roman"/>
          <w:sz w:val="24"/>
          <w:szCs w:val="24"/>
          <w:lang w:val="en-US"/>
        </w:rPr>
      </w:pPr>
      <w:r w:rsidRPr="006D49D6">
        <w:rPr>
          <w:rFonts w:ascii="Times New Roman" w:hAnsi="Times New Roman" w:cs="Times New Roman"/>
          <w:sz w:val="24"/>
          <w:szCs w:val="24"/>
          <w:lang w:val="en-US"/>
        </w:rPr>
        <w:t>Kazamía-Tsérnou</w:t>
      </w:r>
      <w:r>
        <w:rPr>
          <w:rFonts w:ascii="Times New Roman" w:hAnsi="Times New Roman" w:cs="Times New Roman"/>
          <w:sz w:val="24"/>
          <w:szCs w:val="24"/>
          <w:lang w:val="en-US"/>
        </w:rPr>
        <w:t xml:space="preserve"> </w:t>
      </w:r>
      <w:r w:rsidRPr="006D49D6">
        <w:rPr>
          <w:rFonts w:ascii="Times New Roman" w:hAnsi="Times New Roman" w:cs="Times New Roman"/>
          <w:sz w:val="24"/>
          <w:szCs w:val="24"/>
          <w:lang w:val="en-US"/>
        </w:rPr>
        <w:t xml:space="preserve">M., </w:t>
      </w:r>
      <w:r w:rsidRPr="006D49D6">
        <w:rPr>
          <w:rFonts w:ascii="Times New Roman" w:hAnsi="Times New Roman" w:cs="Times New Roman"/>
          <w:i/>
          <w:sz w:val="24"/>
          <w:szCs w:val="24"/>
          <w:lang w:val="en-US"/>
        </w:rPr>
        <w:t>The ecumenical synods in the eastern Byzantine and post Byzantine iconographic tradition,</w:t>
      </w:r>
      <w:r w:rsidRPr="006D49D6">
        <w:rPr>
          <w:rFonts w:ascii="Times New Roman" w:hAnsi="Times New Roman" w:cs="Times New Roman"/>
          <w:sz w:val="24"/>
          <w:szCs w:val="24"/>
          <w:lang w:val="en-US"/>
        </w:rPr>
        <w:t xml:space="preserve"> w: </w:t>
      </w:r>
      <w:r w:rsidRPr="006D49D6">
        <w:rPr>
          <w:rFonts w:ascii="Times New Roman" w:hAnsi="Times New Roman" w:cs="Times New Roman"/>
          <w:i/>
          <w:iCs/>
          <w:sz w:val="24"/>
          <w:szCs w:val="24"/>
          <w:lang w:val="en-US"/>
        </w:rPr>
        <w:t>Rivista di Storia e Letteratura Religiosa</w:t>
      </w:r>
      <w:r w:rsidRPr="006D49D6">
        <w:rPr>
          <w:rFonts w:ascii="Times New Roman" w:hAnsi="Times New Roman" w:cs="Times New Roman"/>
          <w:sz w:val="24"/>
          <w:szCs w:val="24"/>
          <w:lang w:val="en-US"/>
        </w:rPr>
        <w:t xml:space="preserve"> 52(2016), s. 517-536.</w:t>
      </w:r>
    </w:p>
    <w:p w14:paraId="0D47C583" w14:textId="77777777" w:rsidR="006D49D6" w:rsidRPr="006D49D6" w:rsidRDefault="006D49D6" w:rsidP="006D49D6">
      <w:pPr>
        <w:pStyle w:val="FootnoteText"/>
        <w:ind w:left="1134" w:hanging="1134"/>
        <w:jc w:val="both"/>
        <w:rPr>
          <w:rFonts w:ascii="Times New Roman" w:hAnsi="Times New Roman" w:cs="Times New Roman"/>
          <w:sz w:val="24"/>
          <w:szCs w:val="24"/>
          <w:lang w:val="en-US"/>
        </w:rPr>
      </w:pPr>
      <w:r w:rsidRPr="006D49D6">
        <w:rPr>
          <w:rFonts w:ascii="Times New Roman" w:hAnsi="Times New Roman" w:cs="Times New Roman"/>
          <w:i/>
          <w:iCs/>
          <w:sz w:val="24"/>
          <w:szCs w:val="24"/>
        </w:rPr>
        <w:t>Πεντηκοστάριον</w:t>
      </w:r>
      <w:r w:rsidRPr="006D49D6">
        <w:rPr>
          <w:rFonts w:ascii="Times New Roman" w:hAnsi="Times New Roman" w:cs="Times New Roman"/>
          <w:i/>
          <w:iCs/>
          <w:sz w:val="24"/>
          <w:szCs w:val="24"/>
          <w:lang w:val="en-US"/>
        </w:rPr>
        <w:t xml:space="preserve"> </w:t>
      </w:r>
      <w:r w:rsidRPr="006D49D6">
        <w:rPr>
          <w:rFonts w:ascii="Times New Roman" w:hAnsi="Times New Roman" w:cs="Times New Roman"/>
          <w:i/>
          <w:iCs/>
          <w:sz w:val="24"/>
          <w:szCs w:val="24"/>
        </w:rPr>
        <w:t>Χαρμόσυννον</w:t>
      </w:r>
      <w:r w:rsidRPr="006D49D6">
        <w:rPr>
          <w:rFonts w:ascii="Times New Roman" w:hAnsi="Times New Roman" w:cs="Times New Roman"/>
          <w:sz w:val="24"/>
          <w:szCs w:val="24"/>
          <w:lang w:val="en-US"/>
        </w:rPr>
        <w:t xml:space="preserve">, Apostoliki Diakonia: Athens 2000. </w:t>
      </w:r>
    </w:p>
    <w:p w14:paraId="1570DD9A" w14:textId="77777777" w:rsidR="006D49D6" w:rsidRDefault="006D49D6" w:rsidP="006D49D6">
      <w:pPr>
        <w:pStyle w:val="FootnoteText"/>
        <w:ind w:left="1134" w:hanging="1134"/>
        <w:jc w:val="both"/>
        <w:rPr>
          <w:rFonts w:ascii="Times New Roman" w:hAnsi="Times New Roman" w:cs="Times New Roman"/>
          <w:sz w:val="24"/>
          <w:szCs w:val="24"/>
          <w:lang w:val="de-AT"/>
        </w:rPr>
      </w:pPr>
      <w:r w:rsidRPr="006D49D6">
        <w:rPr>
          <w:rFonts w:ascii="Times New Roman" w:hAnsi="Times New Roman" w:cs="Times New Roman"/>
          <w:sz w:val="24"/>
          <w:szCs w:val="24"/>
          <w:lang w:val="en-US"/>
        </w:rPr>
        <w:t>Rigo</w:t>
      </w:r>
      <w:r>
        <w:rPr>
          <w:rFonts w:ascii="Times New Roman" w:hAnsi="Times New Roman" w:cs="Times New Roman"/>
          <w:sz w:val="24"/>
          <w:szCs w:val="24"/>
          <w:lang w:val="en-US"/>
        </w:rPr>
        <w:t xml:space="preserve"> </w:t>
      </w:r>
      <w:r w:rsidRPr="006D49D6">
        <w:rPr>
          <w:rFonts w:ascii="Times New Roman" w:hAnsi="Times New Roman" w:cs="Times New Roman"/>
          <w:sz w:val="24"/>
          <w:szCs w:val="24"/>
          <w:lang w:val="en-US"/>
        </w:rPr>
        <w:t xml:space="preserve">A., </w:t>
      </w:r>
      <w:r w:rsidRPr="006D49D6">
        <w:rPr>
          <w:rStyle w:val="Emphasis"/>
          <w:rFonts w:ascii="Times New Roman" w:hAnsi="Times New Roman" w:cs="Times New Roman"/>
          <w:sz w:val="24"/>
          <w:szCs w:val="24"/>
          <w:lang w:val="en-US"/>
        </w:rPr>
        <w:t xml:space="preserve">Triklinium Aleksiosa Komnenosa (Alexiakos) </w:t>
      </w:r>
      <w:r w:rsidRPr="006D49D6">
        <w:rPr>
          <w:rFonts w:ascii="Times New Roman" w:hAnsi="Times New Roman" w:cs="Times New Roman"/>
          <w:i/>
          <w:iCs/>
          <w:color w:val="000000"/>
          <w:sz w:val="24"/>
          <w:szCs w:val="24"/>
          <w:lang w:val="en-US"/>
        </w:rPr>
        <w:t>in the Palace of the Blachernai, the Synod of 1351 and the Fresco of the Ecumenical Councils</w:t>
      </w:r>
      <w:r w:rsidRPr="006D49D6">
        <w:rPr>
          <w:rFonts w:ascii="Times New Roman" w:hAnsi="Times New Roman" w:cs="Times New Roman"/>
          <w:color w:val="000000"/>
          <w:sz w:val="24"/>
          <w:szCs w:val="24"/>
          <w:lang w:val="en-US"/>
        </w:rPr>
        <w:t xml:space="preserve">, </w:t>
      </w:r>
      <w:r w:rsidRPr="006D49D6">
        <w:rPr>
          <w:rFonts w:ascii="Times New Roman" w:hAnsi="Times New Roman" w:cs="Times New Roman"/>
          <w:sz w:val="24"/>
          <w:szCs w:val="24"/>
          <w:lang w:val="en-US"/>
        </w:rPr>
        <w:t xml:space="preserve">w: I. Grimm-Stadelmann i in. </w:t>
      </w:r>
      <w:r w:rsidRPr="006D49D6">
        <w:rPr>
          <w:rFonts w:ascii="Times New Roman" w:hAnsi="Times New Roman" w:cs="Times New Roman"/>
          <w:sz w:val="24"/>
          <w:szCs w:val="24"/>
          <w:lang w:val="de-AT"/>
        </w:rPr>
        <w:t xml:space="preserve">(red.), </w:t>
      </w:r>
      <w:r w:rsidRPr="006D49D6">
        <w:rPr>
          <w:rStyle w:val="Emphasis"/>
          <w:rFonts w:ascii="Times New Roman" w:hAnsi="Times New Roman" w:cs="Times New Roman"/>
          <w:sz w:val="24"/>
          <w:szCs w:val="24"/>
          <w:lang w:val="de-AT"/>
        </w:rPr>
        <w:t xml:space="preserve">Anekdota Byzantina. </w:t>
      </w:r>
      <w:r w:rsidRPr="006D49D6">
        <w:rPr>
          <w:rFonts w:ascii="Times New Roman" w:hAnsi="Times New Roman" w:cs="Times New Roman"/>
          <w:i/>
          <w:iCs/>
          <w:color w:val="000000"/>
          <w:sz w:val="24"/>
          <w:szCs w:val="24"/>
          <w:lang w:val="de-AT"/>
        </w:rPr>
        <w:t>Studien zur byzantinischen Geschichte und Kultur. FS Albrecht Berger,</w:t>
      </w:r>
      <w:r w:rsidRPr="006D49D6">
        <w:rPr>
          <w:rFonts w:ascii="Times New Roman" w:hAnsi="Times New Roman" w:cs="Times New Roman"/>
          <w:sz w:val="24"/>
          <w:szCs w:val="24"/>
          <w:lang w:val="de-AT"/>
        </w:rPr>
        <w:t xml:space="preserve"> Berlin 2023</w:t>
      </w:r>
      <w:r>
        <w:rPr>
          <w:rFonts w:ascii="Times New Roman" w:hAnsi="Times New Roman" w:cs="Times New Roman"/>
          <w:sz w:val="24"/>
          <w:szCs w:val="24"/>
          <w:lang w:val="de-AT"/>
        </w:rPr>
        <w:t>.</w:t>
      </w:r>
    </w:p>
    <w:p w14:paraId="25F21A77" w14:textId="77777777" w:rsidR="006D49D6" w:rsidRPr="006D49D6" w:rsidRDefault="006D49D6" w:rsidP="006D49D6">
      <w:pPr>
        <w:pStyle w:val="FootnoteText"/>
        <w:ind w:left="1134" w:hanging="1134"/>
        <w:jc w:val="both"/>
        <w:rPr>
          <w:rFonts w:ascii="Times New Roman" w:hAnsi="Times New Roman" w:cs="Times New Roman"/>
          <w:sz w:val="24"/>
          <w:szCs w:val="24"/>
          <w:lang w:val="fr-FR"/>
        </w:rPr>
      </w:pPr>
      <w:r w:rsidRPr="006D49D6">
        <w:rPr>
          <w:rFonts w:ascii="Times New Roman" w:hAnsi="Times New Roman" w:cs="Times New Roman"/>
          <w:sz w:val="24"/>
          <w:szCs w:val="24"/>
          <w:lang w:val="fr-FR"/>
        </w:rPr>
        <w:t>Salaville</w:t>
      </w:r>
      <w:r>
        <w:rPr>
          <w:rFonts w:ascii="Times New Roman" w:hAnsi="Times New Roman" w:cs="Times New Roman"/>
          <w:sz w:val="24"/>
          <w:szCs w:val="24"/>
          <w:lang w:val="fr-FR"/>
        </w:rPr>
        <w:t xml:space="preserve"> </w:t>
      </w:r>
      <w:r w:rsidRPr="006D49D6">
        <w:rPr>
          <w:rFonts w:ascii="Times New Roman" w:hAnsi="Times New Roman" w:cs="Times New Roman"/>
          <w:sz w:val="24"/>
          <w:szCs w:val="24"/>
          <w:lang w:val="fr-FR"/>
        </w:rPr>
        <w:t xml:space="preserve">S., </w:t>
      </w:r>
      <w:r w:rsidRPr="006D49D6">
        <w:rPr>
          <w:rFonts w:ascii="Times New Roman" w:hAnsi="Times New Roman" w:cs="Times New Roman"/>
          <w:i/>
          <w:sz w:val="24"/>
          <w:szCs w:val="24"/>
          <w:lang w:val="fr-FR"/>
        </w:rPr>
        <w:t>La fête du concile de Nicée et les fêtes de conciles dans le rit byzantin</w:t>
      </w:r>
      <w:r w:rsidRPr="006D49D6">
        <w:rPr>
          <w:rFonts w:ascii="Times New Roman" w:hAnsi="Times New Roman" w:cs="Times New Roman"/>
          <w:sz w:val="24"/>
          <w:szCs w:val="24"/>
          <w:lang w:val="fr-FR"/>
        </w:rPr>
        <w:t xml:space="preserve">, w: </w:t>
      </w:r>
      <w:r w:rsidRPr="006D49D6">
        <w:rPr>
          <w:rFonts w:ascii="Times New Roman" w:hAnsi="Times New Roman" w:cs="Times New Roman"/>
          <w:i/>
          <w:iCs/>
          <w:sz w:val="24"/>
          <w:szCs w:val="24"/>
          <w:lang w:val="fr-FR"/>
        </w:rPr>
        <w:t>Echos d'Orient</w:t>
      </w:r>
      <w:r w:rsidRPr="006D49D6">
        <w:rPr>
          <w:rFonts w:ascii="Times New Roman" w:hAnsi="Times New Roman" w:cs="Times New Roman"/>
          <w:sz w:val="24"/>
          <w:szCs w:val="24"/>
          <w:lang w:val="fr-FR"/>
        </w:rPr>
        <w:t xml:space="preserve"> XXIV (1925), s. 445-470.</w:t>
      </w:r>
    </w:p>
    <w:p w14:paraId="53EDFF93" w14:textId="77777777" w:rsidR="006D49D6" w:rsidRPr="006D49D6" w:rsidRDefault="006D49D6" w:rsidP="006D49D6">
      <w:pPr>
        <w:pStyle w:val="FootnoteText"/>
        <w:ind w:left="1134" w:hanging="1134"/>
        <w:jc w:val="both"/>
        <w:rPr>
          <w:rFonts w:ascii="Times New Roman" w:hAnsi="Times New Roman" w:cs="Times New Roman"/>
          <w:sz w:val="24"/>
          <w:szCs w:val="24"/>
          <w:lang w:val="fr-FR"/>
        </w:rPr>
      </w:pPr>
      <w:r w:rsidRPr="006D49D6">
        <w:rPr>
          <w:rStyle w:val="Emphasis"/>
          <w:rFonts w:ascii="Times New Roman" w:hAnsi="Times New Roman" w:cs="Times New Roman"/>
          <w:sz w:val="24"/>
          <w:szCs w:val="24"/>
          <w:lang w:val="fr-FR"/>
        </w:rPr>
        <w:t>Sf. Porfirie Kavsokalivitul, Cuvinte despre viața duhovnicească</w:t>
      </w:r>
      <w:r w:rsidRPr="006D49D6">
        <w:rPr>
          <w:rFonts w:ascii="Times New Roman" w:hAnsi="Times New Roman" w:cs="Times New Roman"/>
          <w:sz w:val="24"/>
          <w:szCs w:val="24"/>
          <w:lang w:val="fr-FR"/>
        </w:rPr>
        <w:t>, Bukareszt 2016.</w:t>
      </w:r>
    </w:p>
    <w:p w14:paraId="6C729B04" w14:textId="77777777" w:rsidR="006D49D6" w:rsidRPr="006D49D6" w:rsidRDefault="006D49D6" w:rsidP="006D49D6">
      <w:pPr>
        <w:pStyle w:val="FootnoteText"/>
        <w:ind w:left="1134" w:hanging="1134"/>
        <w:jc w:val="both"/>
        <w:rPr>
          <w:rFonts w:ascii="Times New Roman" w:hAnsi="Times New Roman" w:cs="Times New Roman"/>
          <w:sz w:val="24"/>
          <w:szCs w:val="24"/>
        </w:rPr>
      </w:pPr>
      <w:r w:rsidRPr="006D49D6">
        <w:rPr>
          <w:rFonts w:ascii="Times New Roman" w:hAnsi="Times New Roman" w:cs="Times New Roman"/>
          <w:sz w:val="24"/>
          <w:szCs w:val="24"/>
          <w:lang w:val="fr-FR"/>
        </w:rPr>
        <w:t xml:space="preserve">Sofragiu P., </w:t>
      </w:r>
      <w:r w:rsidRPr="006D49D6">
        <w:rPr>
          <w:rFonts w:ascii="Times New Roman" w:hAnsi="Times New Roman" w:cs="Times New Roman"/>
          <w:i/>
          <w:sz w:val="24"/>
          <w:szCs w:val="24"/>
          <w:lang w:val="fr-FR"/>
        </w:rPr>
        <w:t>Sinoadele ecumenice în iconografia pronaosurilor bisericilor medievale din Moldova</w:t>
      </w:r>
      <w:r w:rsidRPr="006D49D6">
        <w:rPr>
          <w:rFonts w:ascii="Times New Roman" w:hAnsi="Times New Roman" w:cs="Times New Roman"/>
          <w:sz w:val="24"/>
          <w:szCs w:val="24"/>
          <w:lang w:val="fr-FR"/>
        </w:rPr>
        <w:t xml:space="preserve">, w: G. Herea (red.), </w:t>
      </w:r>
      <w:r w:rsidRPr="006D49D6">
        <w:rPr>
          <w:rFonts w:ascii="Times New Roman" w:hAnsi="Times New Roman" w:cs="Times New Roman"/>
          <w:i/>
          <w:sz w:val="24"/>
          <w:szCs w:val="24"/>
          <w:lang w:val="fr-FR"/>
        </w:rPr>
        <w:t xml:space="preserve">Schola. </w:t>
      </w:r>
      <w:r w:rsidRPr="006D49D6">
        <w:rPr>
          <w:rFonts w:ascii="Times New Roman" w:hAnsi="Times New Roman" w:cs="Times New Roman"/>
          <w:i/>
          <w:sz w:val="24"/>
          <w:szCs w:val="24"/>
        </w:rPr>
        <w:t>Ars. historia. FS Tereza Sinigalia,</w:t>
      </w:r>
      <w:r w:rsidRPr="006D49D6">
        <w:rPr>
          <w:rFonts w:ascii="Times New Roman" w:hAnsi="Times New Roman" w:cs="Times New Roman"/>
          <w:sz w:val="24"/>
          <w:szCs w:val="24"/>
        </w:rPr>
        <w:t xml:space="preserve"> Pătrăuți 2014, s. 277-294</w:t>
      </w:r>
      <w:r>
        <w:rPr>
          <w:rFonts w:ascii="Times New Roman" w:hAnsi="Times New Roman" w:cs="Times New Roman"/>
          <w:sz w:val="24"/>
          <w:szCs w:val="24"/>
        </w:rPr>
        <w:t>.</w:t>
      </w:r>
    </w:p>
    <w:p w14:paraId="03B1E8E2" w14:textId="77777777" w:rsidR="006D49D6" w:rsidRDefault="006D49D6" w:rsidP="006D49D6">
      <w:pPr>
        <w:pStyle w:val="FootnoteText"/>
        <w:ind w:left="1134" w:hanging="1134"/>
        <w:jc w:val="both"/>
        <w:rPr>
          <w:rFonts w:ascii="Times New Roman" w:hAnsi="Times New Roman" w:cs="Times New Roman"/>
          <w:sz w:val="24"/>
          <w:szCs w:val="24"/>
          <w:lang w:val="de-AT"/>
        </w:rPr>
      </w:pPr>
      <w:r w:rsidRPr="006D49D6">
        <w:rPr>
          <w:rFonts w:ascii="Times New Roman" w:hAnsi="Times New Roman" w:cs="Times New Roman"/>
          <w:sz w:val="24"/>
          <w:szCs w:val="24"/>
          <w:lang w:val="de-AT"/>
        </w:rPr>
        <w:t>Sörries</w:t>
      </w:r>
      <w:r>
        <w:rPr>
          <w:rFonts w:ascii="Times New Roman" w:hAnsi="Times New Roman" w:cs="Times New Roman"/>
          <w:sz w:val="24"/>
          <w:szCs w:val="24"/>
          <w:lang w:val="de-AT"/>
        </w:rPr>
        <w:t xml:space="preserve"> </w:t>
      </w:r>
      <w:r w:rsidRPr="006D49D6">
        <w:rPr>
          <w:rFonts w:ascii="Times New Roman" w:hAnsi="Times New Roman" w:cs="Times New Roman"/>
          <w:sz w:val="24"/>
          <w:szCs w:val="24"/>
          <w:lang w:val="de-AT"/>
        </w:rPr>
        <w:t xml:space="preserve">R., </w:t>
      </w:r>
      <w:r w:rsidRPr="006D49D6">
        <w:rPr>
          <w:rFonts w:ascii="Times New Roman" w:hAnsi="Times New Roman" w:cs="Times New Roman"/>
          <w:i/>
          <w:sz w:val="24"/>
          <w:szCs w:val="24"/>
          <w:lang w:val="de-AT"/>
        </w:rPr>
        <w:t>Die Bilder der Orthodoxen im Kampf gegen den Arianismus</w:t>
      </w:r>
      <w:r w:rsidRPr="006D49D6">
        <w:rPr>
          <w:rFonts w:ascii="Times New Roman" w:hAnsi="Times New Roman" w:cs="Times New Roman"/>
          <w:sz w:val="24"/>
          <w:szCs w:val="24"/>
          <w:lang w:val="de-AT"/>
        </w:rPr>
        <w:t>, Frankfurt/M. - Berlin 1983</w:t>
      </w:r>
      <w:r>
        <w:rPr>
          <w:rFonts w:ascii="Times New Roman" w:hAnsi="Times New Roman" w:cs="Times New Roman"/>
          <w:sz w:val="24"/>
          <w:szCs w:val="24"/>
          <w:lang w:val="de-AT"/>
        </w:rPr>
        <w:t>.</w:t>
      </w:r>
    </w:p>
    <w:p w14:paraId="5B3FE677" w14:textId="77777777" w:rsidR="006D49D6" w:rsidRPr="006D49D6" w:rsidRDefault="006D49D6" w:rsidP="006D49D6">
      <w:pPr>
        <w:pStyle w:val="FootnoteText"/>
        <w:ind w:left="1134" w:hanging="1134"/>
        <w:jc w:val="both"/>
        <w:rPr>
          <w:rFonts w:ascii="Times New Roman" w:hAnsi="Times New Roman" w:cs="Times New Roman"/>
          <w:sz w:val="24"/>
          <w:szCs w:val="24"/>
          <w:lang w:val="fr-FR"/>
        </w:rPr>
      </w:pPr>
      <w:r w:rsidRPr="006D49D6">
        <w:rPr>
          <w:rFonts w:ascii="Times New Roman" w:hAnsi="Times New Roman" w:cs="Times New Roman"/>
          <w:color w:val="000000"/>
          <w:sz w:val="24"/>
          <w:szCs w:val="24"/>
          <w:lang w:val="fr-FR"/>
        </w:rPr>
        <w:lastRenderedPageBreak/>
        <w:t>Walter</w:t>
      </w:r>
      <w:r>
        <w:rPr>
          <w:rFonts w:ascii="Times New Roman" w:hAnsi="Times New Roman" w:cs="Times New Roman"/>
          <w:color w:val="000000"/>
          <w:sz w:val="24"/>
          <w:szCs w:val="24"/>
          <w:lang w:val="fr-FR"/>
        </w:rPr>
        <w:t xml:space="preserve"> </w:t>
      </w:r>
      <w:r w:rsidRPr="006D49D6">
        <w:rPr>
          <w:rFonts w:ascii="Times New Roman" w:hAnsi="Times New Roman" w:cs="Times New Roman"/>
          <w:color w:val="000000"/>
          <w:sz w:val="24"/>
          <w:szCs w:val="24"/>
          <w:lang w:val="fr-FR"/>
        </w:rPr>
        <w:t>C.</w:t>
      </w:r>
      <w:r>
        <w:rPr>
          <w:rFonts w:ascii="Times New Roman" w:hAnsi="Times New Roman" w:cs="Times New Roman"/>
          <w:color w:val="000000"/>
          <w:sz w:val="24"/>
          <w:szCs w:val="24"/>
          <w:lang w:val="fr-FR"/>
        </w:rPr>
        <w:t>.</w:t>
      </w:r>
      <w:r w:rsidRPr="006D49D6">
        <w:rPr>
          <w:rFonts w:ascii="Times New Roman" w:hAnsi="Times New Roman" w:cs="Times New Roman"/>
          <w:color w:val="000000"/>
          <w:sz w:val="24"/>
          <w:szCs w:val="24"/>
          <w:lang w:val="fr-FR"/>
        </w:rPr>
        <w:t xml:space="preserve">, </w:t>
      </w:r>
      <w:r w:rsidRPr="006D49D6">
        <w:rPr>
          <w:rFonts w:ascii="Times New Roman" w:hAnsi="Times New Roman" w:cs="Times New Roman"/>
          <w:i/>
          <w:iCs/>
          <w:color w:val="000000"/>
          <w:sz w:val="24"/>
          <w:szCs w:val="24"/>
          <w:lang w:val="fr-FR"/>
        </w:rPr>
        <w:t>L’iconographie des conciles dans la tradition byzantine</w:t>
      </w:r>
      <w:r w:rsidRPr="006D49D6">
        <w:rPr>
          <w:rFonts w:ascii="Times New Roman" w:hAnsi="Times New Roman" w:cs="Times New Roman"/>
          <w:color w:val="000000"/>
          <w:sz w:val="24"/>
          <w:szCs w:val="24"/>
          <w:lang w:val="fr-FR"/>
        </w:rPr>
        <w:t>, Paryż</w:t>
      </w:r>
      <w:r>
        <w:rPr>
          <w:rFonts w:ascii="Times New Roman" w:hAnsi="Times New Roman" w:cs="Times New Roman"/>
          <w:color w:val="000000"/>
          <w:sz w:val="24"/>
          <w:szCs w:val="24"/>
          <w:lang w:val="fr-FR"/>
        </w:rPr>
        <w:t xml:space="preserve"> 1970</w:t>
      </w:r>
      <w:r w:rsidRPr="006D49D6">
        <w:rPr>
          <w:rFonts w:ascii="Times New Roman" w:hAnsi="Times New Roman" w:cs="Times New Roman"/>
          <w:color w:val="000000"/>
          <w:sz w:val="24"/>
          <w:szCs w:val="24"/>
          <w:lang w:val="fr-FR"/>
        </w:rPr>
        <w:t>.</w:t>
      </w:r>
    </w:p>
    <w:p w14:paraId="3D793E32" w14:textId="77777777" w:rsidR="006D49D6" w:rsidRPr="006D49D6" w:rsidRDefault="006D49D6" w:rsidP="006D49D6">
      <w:pPr>
        <w:pStyle w:val="NoSpacing"/>
        <w:rPr>
          <w:rFonts w:ascii="Times New Roman" w:hAnsi="Times New Roman" w:cs="Times New Roman"/>
          <w:sz w:val="24"/>
          <w:szCs w:val="24"/>
          <w:lang w:val="fr-FR"/>
        </w:rPr>
      </w:pPr>
    </w:p>
    <w:sectPr w:rsidR="006D49D6" w:rsidRPr="006D49D6" w:rsidSect="00AD29D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E7310" w14:textId="77777777" w:rsidR="000915C9" w:rsidRDefault="000915C9" w:rsidP="0070608D">
      <w:pPr>
        <w:spacing w:after="0" w:line="240" w:lineRule="auto"/>
      </w:pPr>
      <w:r>
        <w:separator/>
      </w:r>
    </w:p>
  </w:endnote>
  <w:endnote w:type="continuationSeparator" w:id="0">
    <w:p w14:paraId="46500FB5" w14:textId="77777777" w:rsidR="000915C9" w:rsidRDefault="000915C9" w:rsidP="00706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ato Light">
    <w:panose1 w:val="020F0502020204030203"/>
    <w:charset w:val="00"/>
    <w:family w:val="swiss"/>
    <w:notTrueType/>
    <w:pitch w:val="variable"/>
    <w:sig w:usb0="E10002FF" w:usb1="5000ECFF" w:usb2="0000002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C6F4" w14:textId="77777777" w:rsidR="000915C9" w:rsidRDefault="000915C9" w:rsidP="0070608D">
      <w:pPr>
        <w:spacing w:after="0" w:line="240" w:lineRule="auto"/>
      </w:pPr>
      <w:r>
        <w:separator/>
      </w:r>
    </w:p>
  </w:footnote>
  <w:footnote w:type="continuationSeparator" w:id="0">
    <w:p w14:paraId="37D6671A" w14:textId="77777777" w:rsidR="000915C9" w:rsidRDefault="000915C9" w:rsidP="0070608D">
      <w:pPr>
        <w:spacing w:after="0" w:line="240" w:lineRule="auto"/>
      </w:pPr>
      <w:r>
        <w:continuationSeparator/>
      </w:r>
    </w:p>
  </w:footnote>
  <w:footnote w:id="1">
    <w:p w14:paraId="2C470DA3" w14:textId="77777777" w:rsidR="0070608D" w:rsidRPr="00C10141" w:rsidRDefault="0070608D" w:rsidP="005433D3">
      <w:pPr>
        <w:pStyle w:val="FootnoteText"/>
        <w:jc w:val="both"/>
        <w:rPr>
          <w:rFonts w:ascii="Times New Roman" w:hAnsi="Times New Roman" w:cs="Times New Roman"/>
          <w:lang w:val="fr-FR"/>
        </w:rPr>
      </w:pPr>
      <w:r w:rsidRPr="00C10141">
        <w:rPr>
          <w:rStyle w:val="FootnoteReference"/>
          <w:rFonts w:ascii="Times New Roman" w:hAnsi="Times New Roman" w:cs="Times New Roman"/>
        </w:rPr>
        <w:footnoteRef/>
      </w:r>
      <w:r w:rsidRPr="00C10141">
        <w:rPr>
          <w:rFonts w:ascii="Times New Roman" w:hAnsi="Times New Roman" w:cs="Times New Roman"/>
          <w:lang w:val="fr-FR"/>
        </w:rPr>
        <w:t xml:space="preserve"> </w:t>
      </w:r>
      <w:r w:rsidR="00C10141" w:rsidRPr="00C10141">
        <w:rPr>
          <w:rFonts w:ascii="Times New Roman" w:hAnsi="Times New Roman" w:cs="Times New Roman"/>
          <w:lang w:val="fr-FR"/>
        </w:rPr>
        <w:t>S.</w:t>
      </w:r>
      <w:r w:rsidR="005433D3" w:rsidRPr="00C10141">
        <w:rPr>
          <w:rFonts w:ascii="Times New Roman" w:hAnsi="Times New Roman" w:cs="Times New Roman"/>
          <w:lang w:val="fr-FR"/>
        </w:rPr>
        <w:t xml:space="preserve"> Salaville, </w:t>
      </w:r>
      <w:r w:rsidR="005433D3" w:rsidRPr="00C10141">
        <w:rPr>
          <w:rFonts w:ascii="Times New Roman" w:hAnsi="Times New Roman" w:cs="Times New Roman"/>
          <w:i/>
          <w:lang w:val="fr-FR"/>
        </w:rPr>
        <w:t>La fête du concile de Nicée et les fêtes de conciles dans le rit byzantin</w:t>
      </w:r>
      <w:r w:rsidR="005433D3" w:rsidRPr="00C10141">
        <w:rPr>
          <w:rFonts w:ascii="Times New Roman" w:hAnsi="Times New Roman" w:cs="Times New Roman"/>
          <w:lang w:val="fr-FR"/>
        </w:rPr>
        <w:t xml:space="preserve">, w: </w:t>
      </w:r>
      <w:r w:rsidR="005433D3" w:rsidRPr="00C10141">
        <w:rPr>
          <w:rFonts w:ascii="Times New Roman" w:hAnsi="Times New Roman" w:cs="Times New Roman"/>
          <w:i/>
          <w:iCs/>
          <w:lang w:val="fr-FR"/>
        </w:rPr>
        <w:t>Echos d'Orient</w:t>
      </w:r>
      <w:r w:rsidR="005433D3" w:rsidRPr="00C10141">
        <w:rPr>
          <w:rFonts w:ascii="Times New Roman" w:hAnsi="Times New Roman" w:cs="Times New Roman"/>
          <w:lang w:val="fr-FR"/>
        </w:rPr>
        <w:t xml:space="preserve"> XXIV (1925), </w:t>
      </w:r>
      <w:r w:rsidR="00C10141" w:rsidRPr="00C10141">
        <w:rPr>
          <w:rFonts w:ascii="Times New Roman" w:hAnsi="Times New Roman" w:cs="Times New Roman"/>
          <w:lang w:val="fr-FR"/>
        </w:rPr>
        <w:t xml:space="preserve">s. </w:t>
      </w:r>
      <w:r w:rsidR="005433D3" w:rsidRPr="00C10141">
        <w:rPr>
          <w:rFonts w:ascii="Times New Roman" w:hAnsi="Times New Roman" w:cs="Times New Roman"/>
          <w:lang w:val="fr-FR"/>
        </w:rPr>
        <w:t>445-470.</w:t>
      </w:r>
    </w:p>
  </w:footnote>
  <w:footnote w:id="2">
    <w:p w14:paraId="3CE2F758" w14:textId="77777777" w:rsidR="00B36A2A" w:rsidRPr="00C10141" w:rsidRDefault="00B36A2A" w:rsidP="00C10141">
      <w:pPr>
        <w:pStyle w:val="FootnoteText"/>
        <w:jc w:val="both"/>
        <w:rPr>
          <w:rFonts w:ascii="Times New Roman" w:hAnsi="Times New Roman" w:cs="Times New Roman"/>
          <w:lang w:val="en-US"/>
        </w:rPr>
      </w:pPr>
      <w:r w:rsidRPr="00C10141">
        <w:rPr>
          <w:rStyle w:val="FootnoteReference"/>
          <w:rFonts w:ascii="Times New Roman" w:hAnsi="Times New Roman" w:cs="Times New Roman"/>
        </w:rPr>
        <w:footnoteRef/>
      </w:r>
      <w:r w:rsidRPr="00C10141">
        <w:rPr>
          <w:rFonts w:ascii="Times New Roman" w:hAnsi="Times New Roman" w:cs="Times New Roman"/>
          <w:lang w:val="en-US"/>
        </w:rPr>
        <w:t xml:space="preserve"> </w:t>
      </w:r>
      <w:r w:rsidR="005433D3" w:rsidRPr="00C10141">
        <w:rPr>
          <w:rFonts w:ascii="Times New Roman" w:hAnsi="Times New Roman" w:cs="Times New Roman"/>
          <w:lang w:val="en-US"/>
        </w:rPr>
        <w:t xml:space="preserve">Por. </w:t>
      </w:r>
      <w:r w:rsidR="00C10141" w:rsidRPr="00C10141">
        <w:rPr>
          <w:rFonts w:ascii="Times New Roman" w:hAnsi="Times New Roman" w:cs="Times New Roman"/>
          <w:lang w:val="en-US"/>
        </w:rPr>
        <w:t>M.L.</w:t>
      </w:r>
      <w:r w:rsidR="005433D3" w:rsidRPr="00C10141">
        <w:rPr>
          <w:rFonts w:ascii="Times New Roman" w:hAnsi="Times New Roman" w:cs="Times New Roman"/>
          <w:lang w:val="en-US"/>
        </w:rPr>
        <w:t xml:space="preserve"> Goiana, </w:t>
      </w:r>
      <w:r w:rsidR="005433D3" w:rsidRPr="00C10141">
        <w:rPr>
          <w:rFonts w:ascii="Times New Roman" w:hAnsi="Times New Roman" w:cs="Times New Roman"/>
          <w:i/>
          <w:iCs/>
          <w:color w:val="000000"/>
          <w:lang w:val="en-US"/>
        </w:rPr>
        <w:t>Theology of the Icon in Hymnographic Form: A Kanon and Four Stichera for the Second Council of Nicaea Attributed to (Theodore?) Stoudites</w:t>
      </w:r>
      <w:r w:rsidR="005433D3" w:rsidRPr="00C10141">
        <w:rPr>
          <w:rFonts w:ascii="Times New Roman" w:hAnsi="Times New Roman" w:cs="Times New Roman"/>
          <w:color w:val="000000"/>
          <w:lang w:val="en-US"/>
        </w:rPr>
        <w:t xml:space="preserve">, w: </w:t>
      </w:r>
      <w:r w:rsidR="005433D3" w:rsidRPr="00C10141">
        <w:rPr>
          <w:rFonts w:ascii="Times New Roman" w:hAnsi="Times New Roman" w:cs="Times New Roman"/>
          <w:i/>
          <w:iCs/>
          <w:color w:val="000000"/>
          <w:lang w:val="en-US"/>
        </w:rPr>
        <w:t>Journal of Byzantine Studies</w:t>
      </w:r>
      <w:r w:rsidR="00C10141" w:rsidRPr="00C10141">
        <w:rPr>
          <w:rFonts w:ascii="Times New Roman" w:hAnsi="Times New Roman" w:cs="Times New Roman"/>
          <w:color w:val="000000"/>
          <w:lang w:val="en-US"/>
        </w:rPr>
        <w:t xml:space="preserve"> 72</w:t>
      </w:r>
      <w:r w:rsidR="005433D3" w:rsidRPr="00C10141">
        <w:rPr>
          <w:rFonts w:ascii="Times New Roman" w:hAnsi="Times New Roman" w:cs="Times New Roman"/>
          <w:color w:val="000000"/>
          <w:lang w:val="en-US"/>
        </w:rPr>
        <w:t xml:space="preserve">(2022), </w:t>
      </w:r>
      <w:r w:rsidR="00C10141" w:rsidRPr="00C10141">
        <w:rPr>
          <w:rFonts w:ascii="Times New Roman" w:hAnsi="Times New Roman" w:cs="Times New Roman"/>
          <w:color w:val="000000"/>
          <w:lang w:val="en-US"/>
        </w:rPr>
        <w:t xml:space="preserve">s. </w:t>
      </w:r>
      <w:r w:rsidR="005433D3" w:rsidRPr="00C10141">
        <w:rPr>
          <w:rFonts w:ascii="Times New Roman" w:hAnsi="Times New Roman" w:cs="Times New Roman"/>
          <w:color w:val="000000"/>
          <w:lang w:val="en-US"/>
        </w:rPr>
        <w:t>275–316.</w:t>
      </w:r>
    </w:p>
  </w:footnote>
  <w:footnote w:id="3">
    <w:p w14:paraId="6A37C1CF" w14:textId="77777777" w:rsidR="00C81E5B" w:rsidRPr="00C10141" w:rsidRDefault="00C81E5B" w:rsidP="00C10141">
      <w:pPr>
        <w:pStyle w:val="FootnoteText"/>
        <w:jc w:val="both"/>
        <w:rPr>
          <w:rFonts w:ascii="Times New Roman" w:hAnsi="Times New Roman" w:cs="Times New Roman"/>
          <w:lang w:val="en-US"/>
        </w:rPr>
      </w:pPr>
      <w:r w:rsidRPr="00C10141">
        <w:rPr>
          <w:rStyle w:val="FootnoteReference"/>
          <w:rFonts w:ascii="Times New Roman" w:hAnsi="Times New Roman" w:cs="Times New Roman"/>
        </w:rPr>
        <w:footnoteRef/>
      </w:r>
      <w:r w:rsidRPr="00C10141">
        <w:rPr>
          <w:rFonts w:ascii="Times New Roman" w:hAnsi="Times New Roman" w:cs="Times New Roman"/>
          <w:lang w:val="en-US"/>
        </w:rPr>
        <w:t xml:space="preserve"> </w:t>
      </w:r>
      <w:r w:rsidR="00C10141" w:rsidRPr="00C10141">
        <w:rPr>
          <w:rFonts w:ascii="Times New Roman" w:hAnsi="Times New Roman" w:cs="Times New Roman"/>
          <w:lang w:val="en-US"/>
        </w:rPr>
        <w:t>S.</w:t>
      </w:r>
      <w:r w:rsidR="005433D3" w:rsidRPr="00C10141">
        <w:rPr>
          <w:rFonts w:ascii="Times New Roman" w:hAnsi="Times New Roman" w:cs="Times New Roman"/>
          <w:lang w:val="en-US"/>
        </w:rPr>
        <w:t xml:space="preserve"> Salaville, </w:t>
      </w:r>
      <w:r w:rsidR="005433D3" w:rsidRPr="00C10141">
        <w:rPr>
          <w:rFonts w:ascii="Times New Roman" w:hAnsi="Times New Roman" w:cs="Times New Roman"/>
          <w:i/>
          <w:iCs/>
          <w:lang w:val="en-US"/>
        </w:rPr>
        <w:t>La fête du concile</w:t>
      </w:r>
      <w:r w:rsidR="00C10141" w:rsidRPr="00C10141">
        <w:rPr>
          <w:rFonts w:ascii="Times New Roman" w:hAnsi="Times New Roman" w:cs="Times New Roman"/>
          <w:lang w:val="en-US"/>
        </w:rPr>
        <w:t>...</w:t>
      </w:r>
      <w:r w:rsidR="005433D3" w:rsidRPr="00C10141">
        <w:rPr>
          <w:rFonts w:ascii="Times New Roman" w:hAnsi="Times New Roman" w:cs="Times New Roman"/>
          <w:lang w:val="en-US"/>
        </w:rPr>
        <w:t xml:space="preserve">, </w:t>
      </w:r>
      <w:r w:rsidR="00C10141" w:rsidRPr="00C10141">
        <w:rPr>
          <w:rFonts w:ascii="Times New Roman" w:hAnsi="Times New Roman" w:cs="Times New Roman"/>
          <w:lang w:val="en-US"/>
        </w:rPr>
        <w:t xml:space="preserve">s. </w:t>
      </w:r>
      <w:r w:rsidR="005433D3" w:rsidRPr="00C10141">
        <w:rPr>
          <w:rFonts w:ascii="Times New Roman" w:hAnsi="Times New Roman" w:cs="Times New Roman"/>
          <w:lang w:val="en-US"/>
        </w:rPr>
        <w:t>466.</w:t>
      </w:r>
    </w:p>
  </w:footnote>
  <w:footnote w:id="4">
    <w:p w14:paraId="7813100A" w14:textId="77777777" w:rsidR="00F56EEA" w:rsidRPr="00C10141" w:rsidRDefault="00F56EEA" w:rsidP="005433D3">
      <w:pPr>
        <w:pStyle w:val="FootnoteText"/>
        <w:jc w:val="both"/>
        <w:rPr>
          <w:rFonts w:ascii="Times New Roman" w:hAnsi="Times New Roman" w:cs="Times New Roman"/>
        </w:rPr>
      </w:pPr>
      <w:r w:rsidRPr="00C10141">
        <w:rPr>
          <w:rStyle w:val="FootnoteReference"/>
          <w:rFonts w:ascii="Times New Roman" w:hAnsi="Times New Roman" w:cs="Times New Roman"/>
        </w:rPr>
        <w:footnoteRef/>
      </w:r>
      <w:r w:rsidRPr="00C10141">
        <w:rPr>
          <w:rFonts w:ascii="Times New Roman" w:hAnsi="Times New Roman" w:cs="Times New Roman"/>
          <w:lang w:val="en-US"/>
        </w:rPr>
        <w:t xml:space="preserve"> </w:t>
      </w:r>
      <w:r w:rsidR="005433D3" w:rsidRPr="00C10141">
        <w:rPr>
          <w:rFonts w:ascii="Times New Roman" w:hAnsi="Times New Roman" w:cs="Times New Roman"/>
          <w:lang w:val="en-US"/>
        </w:rPr>
        <w:t xml:space="preserve">Por. </w:t>
      </w:r>
      <w:r w:rsidR="005433D3" w:rsidRPr="00C10141">
        <w:rPr>
          <w:rFonts w:ascii="Times New Roman" w:hAnsi="Times New Roman" w:cs="Times New Roman"/>
          <w:i/>
          <w:iCs/>
        </w:rPr>
        <w:t>Πεντηκοστάριον</w:t>
      </w:r>
      <w:r w:rsidR="005433D3" w:rsidRPr="00C10141">
        <w:rPr>
          <w:rFonts w:ascii="Times New Roman" w:hAnsi="Times New Roman" w:cs="Times New Roman"/>
          <w:i/>
          <w:iCs/>
          <w:lang w:val="en-US"/>
        </w:rPr>
        <w:t xml:space="preserve"> </w:t>
      </w:r>
      <w:r w:rsidR="005433D3" w:rsidRPr="00C10141">
        <w:rPr>
          <w:rFonts w:ascii="Times New Roman" w:hAnsi="Times New Roman" w:cs="Times New Roman"/>
          <w:i/>
          <w:iCs/>
        </w:rPr>
        <w:t>Χαρμόσυννον</w:t>
      </w:r>
      <w:r w:rsidR="006D49D6">
        <w:rPr>
          <w:rFonts w:ascii="Times New Roman" w:hAnsi="Times New Roman" w:cs="Times New Roman"/>
          <w:lang w:val="en-US"/>
        </w:rPr>
        <w:t xml:space="preserve">, Apostoliki Diakonia: Athens </w:t>
      </w:r>
      <w:r w:rsidR="005433D3" w:rsidRPr="00C10141">
        <w:rPr>
          <w:rFonts w:ascii="Times New Roman" w:hAnsi="Times New Roman" w:cs="Times New Roman"/>
          <w:lang w:val="en-US"/>
        </w:rPr>
        <w:t>2000. Tłumaczenie tekstów hymnograficznych dokonane przez auto</w:t>
      </w:r>
      <w:r w:rsidR="005433D3" w:rsidRPr="00C10141">
        <w:rPr>
          <w:rFonts w:ascii="Times New Roman" w:hAnsi="Times New Roman" w:cs="Times New Roman"/>
        </w:rPr>
        <w:t>ra. Chciałbym podziękować bizantyniście Mihailowi Mitrea za jego filologiczne porady</w:t>
      </w:r>
      <w:r w:rsidR="00CC4499" w:rsidRPr="00C10141">
        <w:rPr>
          <w:rFonts w:ascii="Times New Roman" w:hAnsi="Times New Roman" w:cs="Times New Roman"/>
        </w:rPr>
        <w:t>.</w:t>
      </w:r>
    </w:p>
  </w:footnote>
  <w:footnote w:id="5">
    <w:p w14:paraId="0E5B5AC7" w14:textId="77777777" w:rsidR="00991173" w:rsidRPr="00C10141" w:rsidRDefault="00991173" w:rsidP="00E43652">
      <w:pPr>
        <w:pStyle w:val="FootnoteText"/>
        <w:jc w:val="both"/>
        <w:rPr>
          <w:rFonts w:ascii="Times New Roman" w:hAnsi="Times New Roman" w:cs="Times New Roman"/>
        </w:rPr>
      </w:pPr>
      <w:r w:rsidRPr="00C10141">
        <w:rPr>
          <w:rStyle w:val="FootnoteReference"/>
          <w:rFonts w:ascii="Times New Roman" w:hAnsi="Times New Roman" w:cs="Times New Roman"/>
        </w:rPr>
        <w:footnoteRef/>
      </w:r>
      <w:r w:rsidRPr="00C10141">
        <w:rPr>
          <w:rFonts w:ascii="Times New Roman" w:hAnsi="Times New Roman" w:cs="Times New Roman"/>
        </w:rPr>
        <w:t xml:space="preserve"> </w:t>
      </w:r>
      <w:r w:rsidR="00E43652" w:rsidRPr="00C10141">
        <w:rPr>
          <w:rFonts w:ascii="Times New Roman" w:hAnsi="Times New Roman" w:cs="Times New Roman"/>
        </w:rPr>
        <w:t xml:space="preserve">Tamże, </w:t>
      </w:r>
      <w:r w:rsidR="00C10141">
        <w:rPr>
          <w:rFonts w:ascii="Times New Roman" w:hAnsi="Times New Roman" w:cs="Times New Roman"/>
        </w:rPr>
        <w:t xml:space="preserve">s. </w:t>
      </w:r>
      <w:r w:rsidR="00E43652" w:rsidRPr="00C10141">
        <w:rPr>
          <w:rFonts w:ascii="Times New Roman" w:hAnsi="Times New Roman" w:cs="Times New Roman"/>
        </w:rPr>
        <w:t>203.</w:t>
      </w:r>
    </w:p>
  </w:footnote>
  <w:footnote w:id="6">
    <w:p w14:paraId="61B6439B" w14:textId="77777777" w:rsidR="00E41C83" w:rsidRPr="00C10141" w:rsidRDefault="00E41C83" w:rsidP="00E43652">
      <w:pPr>
        <w:pStyle w:val="FootnoteText"/>
        <w:jc w:val="both"/>
      </w:pPr>
      <w:r w:rsidRPr="00C10141">
        <w:rPr>
          <w:rStyle w:val="FootnoteReference"/>
          <w:rFonts w:ascii="Times New Roman" w:hAnsi="Times New Roman" w:cs="Times New Roman"/>
        </w:rPr>
        <w:footnoteRef/>
      </w:r>
      <w:r w:rsidRPr="00C10141">
        <w:rPr>
          <w:rFonts w:ascii="Times New Roman" w:hAnsi="Times New Roman" w:cs="Times New Roman"/>
        </w:rPr>
        <w:t xml:space="preserve"> </w:t>
      </w:r>
      <w:r w:rsidR="00C10141">
        <w:rPr>
          <w:rFonts w:ascii="Times New Roman" w:hAnsi="Times New Roman" w:cs="Times New Roman"/>
        </w:rPr>
        <w:t>Por. T</w:t>
      </w:r>
      <w:r w:rsidR="00E43652" w:rsidRPr="00C10141">
        <w:rPr>
          <w:rFonts w:ascii="Times New Roman" w:hAnsi="Times New Roman" w:cs="Times New Roman"/>
        </w:rPr>
        <w:t xml:space="preserve">amże, </w:t>
      </w:r>
      <w:r w:rsidR="00C10141">
        <w:rPr>
          <w:rFonts w:ascii="Times New Roman" w:hAnsi="Times New Roman" w:cs="Times New Roman"/>
        </w:rPr>
        <w:t xml:space="preserve">s. </w:t>
      </w:r>
      <w:r w:rsidR="00E43652" w:rsidRPr="00C10141">
        <w:rPr>
          <w:rFonts w:ascii="Times New Roman" w:hAnsi="Times New Roman" w:cs="Times New Roman"/>
        </w:rPr>
        <w:t>202.</w:t>
      </w:r>
    </w:p>
  </w:footnote>
  <w:footnote w:id="7">
    <w:p w14:paraId="284C7DCE" w14:textId="77777777" w:rsidR="00E41C83" w:rsidRPr="00C10141" w:rsidRDefault="00E41C83" w:rsidP="00E43652">
      <w:pPr>
        <w:pStyle w:val="FootnoteText"/>
        <w:jc w:val="both"/>
        <w:rPr>
          <w:rFonts w:ascii="Times New Roman" w:hAnsi="Times New Roman" w:cs="Times New Roman"/>
        </w:rPr>
      </w:pPr>
      <w:r w:rsidRPr="00C10141">
        <w:rPr>
          <w:rStyle w:val="FootnoteReference"/>
          <w:rFonts w:ascii="Times New Roman" w:hAnsi="Times New Roman" w:cs="Times New Roman"/>
        </w:rPr>
        <w:footnoteRef/>
      </w:r>
      <w:r w:rsidRPr="00C10141">
        <w:rPr>
          <w:rFonts w:ascii="Times New Roman" w:hAnsi="Times New Roman" w:cs="Times New Roman"/>
        </w:rPr>
        <w:t xml:space="preserve"> </w:t>
      </w:r>
      <w:r w:rsidR="00C10141">
        <w:rPr>
          <w:rFonts w:ascii="Times New Roman" w:hAnsi="Times New Roman" w:cs="Times New Roman"/>
        </w:rPr>
        <w:t>Por. Tamże</w:t>
      </w:r>
      <w:r w:rsidR="00E43652" w:rsidRPr="00C10141">
        <w:rPr>
          <w:rFonts w:ascii="Times New Roman" w:hAnsi="Times New Roman" w:cs="Times New Roman"/>
        </w:rPr>
        <w:t>.</w:t>
      </w:r>
    </w:p>
  </w:footnote>
  <w:footnote w:id="8">
    <w:p w14:paraId="19832247" w14:textId="77777777" w:rsidR="00074EDC" w:rsidRPr="00C10141" w:rsidRDefault="00074EDC" w:rsidP="00E43652">
      <w:pPr>
        <w:pStyle w:val="FootnoteText"/>
        <w:jc w:val="both"/>
        <w:rPr>
          <w:rFonts w:ascii="Times New Roman" w:hAnsi="Times New Roman" w:cs="Times New Roman"/>
          <w:lang w:val="de-AT"/>
        </w:rPr>
      </w:pPr>
      <w:r w:rsidRPr="00C10141">
        <w:rPr>
          <w:rStyle w:val="FootnoteReference"/>
          <w:rFonts w:ascii="Times New Roman" w:hAnsi="Times New Roman" w:cs="Times New Roman"/>
        </w:rPr>
        <w:footnoteRef/>
      </w:r>
      <w:r w:rsidRPr="00C10141">
        <w:rPr>
          <w:rFonts w:ascii="Times New Roman" w:hAnsi="Times New Roman" w:cs="Times New Roman"/>
        </w:rPr>
        <w:t xml:space="preserve"> </w:t>
      </w:r>
      <w:r w:rsidR="00E43652" w:rsidRPr="00C10141">
        <w:rPr>
          <w:rFonts w:ascii="Times New Roman" w:hAnsi="Times New Roman" w:cs="Times New Roman"/>
        </w:rPr>
        <w:t xml:space="preserve">Pozostaje to toposem w całej teologii bizantyjskiej. Przykład: W sporach XIV wieku Filoteusz Kokkinos nazywa swoich przeciwników Barlaama i Akindynego następcami „starej kohorty heretyków” (tłumaczenie autora), na czele z Ariuszem. </w:t>
      </w:r>
      <w:r w:rsidR="00C10141">
        <w:rPr>
          <w:rFonts w:ascii="Times New Roman" w:hAnsi="Times New Roman" w:cs="Times New Roman"/>
          <w:lang w:val="en-US"/>
        </w:rPr>
        <w:t>Por. A.</w:t>
      </w:r>
      <w:r w:rsidR="00E43652" w:rsidRPr="00C10141">
        <w:rPr>
          <w:rFonts w:ascii="Times New Roman" w:hAnsi="Times New Roman" w:cs="Times New Roman"/>
          <w:lang w:val="en-US"/>
        </w:rPr>
        <w:t xml:space="preserve"> Rigo, </w:t>
      </w:r>
      <w:r w:rsidR="00E43652" w:rsidRPr="00C10141">
        <w:rPr>
          <w:rStyle w:val="Emphasis"/>
          <w:rFonts w:ascii="Times New Roman" w:hAnsi="Times New Roman" w:cs="Times New Roman"/>
          <w:lang w:val="en-US"/>
        </w:rPr>
        <w:t xml:space="preserve">Triklinium Aleksiosa Komnenosa (Alexiakos) </w:t>
      </w:r>
      <w:r w:rsidR="00E43652" w:rsidRPr="00C10141">
        <w:rPr>
          <w:rFonts w:ascii="Times New Roman" w:hAnsi="Times New Roman" w:cs="Times New Roman"/>
          <w:i/>
          <w:iCs/>
          <w:color w:val="000000"/>
          <w:lang w:val="en-US"/>
        </w:rPr>
        <w:t>in the Palace of the Blachernai, the Synod of 1351 and the Fresco of the Ecumenical Councils</w:t>
      </w:r>
      <w:r w:rsidR="00E43652" w:rsidRPr="00C10141">
        <w:rPr>
          <w:rFonts w:ascii="Times New Roman" w:hAnsi="Times New Roman" w:cs="Times New Roman"/>
          <w:color w:val="000000"/>
          <w:lang w:val="en-US"/>
        </w:rPr>
        <w:t xml:space="preserve">, </w:t>
      </w:r>
      <w:r w:rsidR="00C10141">
        <w:rPr>
          <w:rFonts w:ascii="Times New Roman" w:hAnsi="Times New Roman" w:cs="Times New Roman"/>
          <w:lang w:val="en-US"/>
        </w:rPr>
        <w:t>w: I.</w:t>
      </w:r>
      <w:r w:rsidR="00E43652" w:rsidRPr="00C10141">
        <w:rPr>
          <w:rFonts w:ascii="Times New Roman" w:hAnsi="Times New Roman" w:cs="Times New Roman"/>
          <w:lang w:val="en-US"/>
        </w:rPr>
        <w:t xml:space="preserve"> Grimm-Stadelmann i in. </w:t>
      </w:r>
      <w:r w:rsidR="00E43652" w:rsidRPr="00C10141">
        <w:rPr>
          <w:rFonts w:ascii="Times New Roman" w:hAnsi="Times New Roman" w:cs="Times New Roman"/>
          <w:lang w:val="de-AT"/>
        </w:rPr>
        <w:t xml:space="preserve">(red.), </w:t>
      </w:r>
      <w:r w:rsidR="00E43652" w:rsidRPr="00C10141">
        <w:rPr>
          <w:rStyle w:val="Emphasis"/>
          <w:rFonts w:ascii="Times New Roman" w:hAnsi="Times New Roman" w:cs="Times New Roman"/>
          <w:lang w:val="de-AT"/>
        </w:rPr>
        <w:t xml:space="preserve">Anekdota Byzantina. </w:t>
      </w:r>
      <w:r w:rsidR="00E43652" w:rsidRPr="00C10141">
        <w:rPr>
          <w:rFonts w:ascii="Times New Roman" w:hAnsi="Times New Roman" w:cs="Times New Roman"/>
          <w:i/>
          <w:iCs/>
          <w:color w:val="000000"/>
          <w:lang w:val="de-AT"/>
        </w:rPr>
        <w:t>Studien zur byzantinischen Geschichte und Kultur. FS Albrecht Berger,</w:t>
      </w:r>
      <w:r w:rsidR="00E43652" w:rsidRPr="00C10141">
        <w:rPr>
          <w:rFonts w:ascii="Times New Roman" w:hAnsi="Times New Roman" w:cs="Times New Roman"/>
          <w:lang w:val="de-AT"/>
        </w:rPr>
        <w:t xml:space="preserve"> Berlin 2023, s. 612</w:t>
      </w:r>
    </w:p>
  </w:footnote>
  <w:footnote w:id="9">
    <w:p w14:paraId="56C6BA7C" w14:textId="77777777" w:rsidR="000775AE" w:rsidRPr="00C10141" w:rsidRDefault="000775AE" w:rsidP="00C10141">
      <w:pPr>
        <w:pStyle w:val="FootnoteText"/>
        <w:jc w:val="both"/>
        <w:rPr>
          <w:rFonts w:ascii="Times New Roman" w:hAnsi="Times New Roman" w:cs="Times New Roman"/>
          <w:lang w:val="fr-FR"/>
        </w:rPr>
      </w:pPr>
      <w:r w:rsidRPr="00C10141">
        <w:rPr>
          <w:rStyle w:val="FootnoteReference"/>
          <w:rFonts w:ascii="Times New Roman" w:hAnsi="Times New Roman" w:cs="Times New Roman"/>
        </w:rPr>
        <w:footnoteRef/>
      </w:r>
      <w:r w:rsidRPr="00C10141">
        <w:rPr>
          <w:rFonts w:ascii="Times New Roman" w:hAnsi="Times New Roman" w:cs="Times New Roman"/>
          <w:lang w:val="fr-FR"/>
        </w:rPr>
        <w:t xml:space="preserve"> </w:t>
      </w:r>
      <w:r w:rsidR="00765155" w:rsidRPr="00C10141">
        <w:rPr>
          <w:rFonts w:ascii="Times New Roman" w:hAnsi="Times New Roman" w:cs="Times New Roman"/>
          <w:i/>
          <w:iCs/>
          <w:color w:val="000000"/>
        </w:rPr>
        <w:t>Πεντηκοστάριον</w:t>
      </w:r>
      <w:r w:rsidR="00C10141" w:rsidRPr="00C10141">
        <w:rPr>
          <w:rFonts w:ascii="Times New Roman" w:hAnsi="Times New Roman" w:cs="Times New Roman"/>
          <w:color w:val="000000"/>
          <w:lang w:val="fr-FR"/>
        </w:rPr>
        <w:t>.</w:t>
      </w:r>
      <w:r w:rsidR="00C10141">
        <w:rPr>
          <w:rFonts w:ascii="Times New Roman" w:hAnsi="Times New Roman" w:cs="Times New Roman"/>
          <w:color w:val="000000"/>
          <w:lang w:val="fr-FR"/>
        </w:rPr>
        <w:t>..</w:t>
      </w:r>
      <w:r w:rsidR="00765155" w:rsidRPr="00C10141">
        <w:rPr>
          <w:rFonts w:ascii="Times New Roman" w:hAnsi="Times New Roman" w:cs="Times New Roman"/>
          <w:color w:val="000000"/>
          <w:lang w:val="fr-FR"/>
        </w:rPr>
        <w:t xml:space="preserve">, </w:t>
      </w:r>
      <w:r w:rsidR="00C10141" w:rsidRPr="00C10141">
        <w:rPr>
          <w:rFonts w:ascii="Times New Roman" w:hAnsi="Times New Roman" w:cs="Times New Roman"/>
          <w:color w:val="000000"/>
          <w:lang w:val="fr-FR"/>
        </w:rPr>
        <w:t xml:space="preserve">s. </w:t>
      </w:r>
      <w:r w:rsidR="00765155" w:rsidRPr="00C10141">
        <w:rPr>
          <w:rFonts w:ascii="Times New Roman" w:hAnsi="Times New Roman" w:cs="Times New Roman"/>
          <w:color w:val="000000"/>
          <w:lang w:val="fr-FR"/>
        </w:rPr>
        <w:t>202.</w:t>
      </w:r>
    </w:p>
  </w:footnote>
  <w:footnote w:id="10">
    <w:p w14:paraId="20ED05D5" w14:textId="77777777" w:rsidR="00B4354E" w:rsidRPr="00C10141" w:rsidRDefault="00B4354E" w:rsidP="00385EF0">
      <w:pPr>
        <w:pStyle w:val="FootnoteText"/>
        <w:jc w:val="both"/>
        <w:rPr>
          <w:rFonts w:ascii="Times New Roman" w:hAnsi="Times New Roman" w:cs="Times New Roman"/>
          <w:lang w:val="fr-FR"/>
        </w:rPr>
      </w:pPr>
      <w:r w:rsidRPr="00C10141">
        <w:rPr>
          <w:rStyle w:val="FootnoteReference"/>
          <w:rFonts w:ascii="Times New Roman" w:hAnsi="Times New Roman" w:cs="Times New Roman"/>
        </w:rPr>
        <w:footnoteRef/>
      </w:r>
      <w:r w:rsidRPr="00C10141">
        <w:rPr>
          <w:rFonts w:ascii="Times New Roman" w:hAnsi="Times New Roman" w:cs="Times New Roman"/>
          <w:lang w:val="fr-FR"/>
        </w:rPr>
        <w:t xml:space="preserve"> </w:t>
      </w:r>
      <w:r w:rsidR="00765155" w:rsidRPr="00C10141">
        <w:rPr>
          <w:rFonts w:ascii="Times New Roman" w:hAnsi="Times New Roman" w:cs="Times New Roman"/>
          <w:lang w:val="fr-FR"/>
        </w:rPr>
        <w:t xml:space="preserve">Tamże, </w:t>
      </w:r>
      <w:r w:rsidR="00C10141">
        <w:rPr>
          <w:rFonts w:ascii="Times New Roman" w:hAnsi="Times New Roman" w:cs="Times New Roman"/>
          <w:lang w:val="fr-FR"/>
        </w:rPr>
        <w:t xml:space="preserve">s. </w:t>
      </w:r>
      <w:r w:rsidR="00765155" w:rsidRPr="00C10141">
        <w:rPr>
          <w:rFonts w:ascii="Times New Roman" w:hAnsi="Times New Roman" w:cs="Times New Roman"/>
          <w:lang w:val="fr-FR"/>
        </w:rPr>
        <w:t>214.</w:t>
      </w:r>
    </w:p>
  </w:footnote>
  <w:footnote w:id="11">
    <w:p w14:paraId="40058D9A" w14:textId="77777777" w:rsidR="006B7BA9" w:rsidRPr="006D49D6" w:rsidRDefault="006B7BA9" w:rsidP="00385EF0">
      <w:pPr>
        <w:pStyle w:val="FootnoteText"/>
        <w:jc w:val="both"/>
        <w:rPr>
          <w:rFonts w:ascii="Times New Roman" w:hAnsi="Times New Roman" w:cs="Times New Roman"/>
          <w:lang w:val="de-AT"/>
        </w:rPr>
      </w:pPr>
      <w:r w:rsidRPr="00C10141">
        <w:rPr>
          <w:rStyle w:val="FootnoteReference"/>
          <w:rFonts w:ascii="Times New Roman" w:hAnsi="Times New Roman" w:cs="Times New Roman"/>
        </w:rPr>
        <w:footnoteRef/>
      </w:r>
      <w:r w:rsidRPr="006D49D6">
        <w:rPr>
          <w:rFonts w:ascii="Times New Roman" w:hAnsi="Times New Roman" w:cs="Times New Roman"/>
          <w:lang w:val="de-AT"/>
        </w:rPr>
        <w:t xml:space="preserve"> </w:t>
      </w:r>
      <w:r w:rsidR="00C10141" w:rsidRPr="006D49D6">
        <w:rPr>
          <w:rFonts w:ascii="Times New Roman" w:hAnsi="Times New Roman" w:cs="Times New Roman"/>
          <w:lang w:val="de-AT"/>
        </w:rPr>
        <w:t>Tamże</w:t>
      </w:r>
      <w:r w:rsidR="00765155" w:rsidRPr="006D49D6">
        <w:rPr>
          <w:rFonts w:ascii="Times New Roman" w:hAnsi="Times New Roman" w:cs="Times New Roman"/>
          <w:lang w:val="de-AT"/>
        </w:rPr>
        <w:t>.</w:t>
      </w:r>
    </w:p>
  </w:footnote>
  <w:footnote w:id="12">
    <w:p w14:paraId="301622E4" w14:textId="77777777" w:rsidR="00384402" w:rsidRPr="006D49D6" w:rsidRDefault="00384402" w:rsidP="00385EF0">
      <w:pPr>
        <w:pStyle w:val="FootnoteText"/>
        <w:jc w:val="both"/>
        <w:rPr>
          <w:rFonts w:ascii="Times New Roman" w:hAnsi="Times New Roman" w:cs="Times New Roman"/>
          <w:lang w:val="de-AT"/>
        </w:rPr>
      </w:pPr>
      <w:r w:rsidRPr="00C10141">
        <w:rPr>
          <w:rStyle w:val="FootnoteReference"/>
          <w:rFonts w:ascii="Times New Roman" w:hAnsi="Times New Roman" w:cs="Times New Roman"/>
        </w:rPr>
        <w:footnoteRef/>
      </w:r>
      <w:r w:rsidRPr="006D49D6">
        <w:rPr>
          <w:rFonts w:ascii="Times New Roman" w:hAnsi="Times New Roman" w:cs="Times New Roman"/>
          <w:lang w:val="de-AT"/>
        </w:rPr>
        <w:t xml:space="preserve"> </w:t>
      </w:r>
      <w:r w:rsidR="00C10141" w:rsidRPr="006D49D6">
        <w:rPr>
          <w:rFonts w:ascii="Times New Roman" w:hAnsi="Times New Roman" w:cs="Times New Roman"/>
          <w:lang w:val="de-AT"/>
        </w:rPr>
        <w:t>Tamże</w:t>
      </w:r>
      <w:r w:rsidR="00385EF0" w:rsidRPr="006D49D6">
        <w:rPr>
          <w:rFonts w:ascii="Times New Roman" w:hAnsi="Times New Roman" w:cs="Times New Roman"/>
          <w:lang w:val="de-AT"/>
        </w:rPr>
        <w:t>.</w:t>
      </w:r>
    </w:p>
  </w:footnote>
  <w:footnote w:id="13">
    <w:p w14:paraId="5C45456A" w14:textId="77777777" w:rsidR="00384402" w:rsidRPr="006D49D6" w:rsidRDefault="00384402" w:rsidP="00385EF0">
      <w:pPr>
        <w:pStyle w:val="FootnoteText"/>
        <w:jc w:val="both"/>
        <w:rPr>
          <w:rFonts w:ascii="Times New Roman" w:hAnsi="Times New Roman" w:cs="Times New Roman"/>
          <w:lang w:val="de-AT"/>
        </w:rPr>
      </w:pPr>
      <w:r w:rsidRPr="00C10141">
        <w:rPr>
          <w:rStyle w:val="FootnoteReference"/>
          <w:rFonts w:ascii="Times New Roman" w:hAnsi="Times New Roman" w:cs="Times New Roman"/>
        </w:rPr>
        <w:footnoteRef/>
      </w:r>
      <w:r w:rsidRPr="006D49D6">
        <w:rPr>
          <w:rFonts w:ascii="Times New Roman" w:hAnsi="Times New Roman" w:cs="Times New Roman"/>
          <w:lang w:val="de-AT"/>
        </w:rPr>
        <w:t xml:space="preserve"> </w:t>
      </w:r>
      <w:r w:rsidR="00C10141" w:rsidRPr="006D49D6">
        <w:rPr>
          <w:rFonts w:ascii="Times New Roman" w:hAnsi="Times New Roman" w:cs="Times New Roman"/>
          <w:lang w:val="de-AT"/>
        </w:rPr>
        <w:t>Tamże</w:t>
      </w:r>
      <w:r w:rsidR="00385EF0" w:rsidRPr="006D49D6">
        <w:rPr>
          <w:rFonts w:ascii="Times New Roman" w:hAnsi="Times New Roman" w:cs="Times New Roman"/>
          <w:lang w:val="de-AT"/>
        </w:rPr>
        <w:t>.</w:t>
      </w:r>
    </w:p>
  </w:footnote>
  <w:footnote w:id="14">
    <w:p w14:paraId="6884E360" w14:textId="77777777" w:rsidR="00497109" w:rsidRPr="006D49D6" w:rsidRDefault="00497109" w:rsidP="00205500">
      <w:pPr>
        <w:pStyle w:val="FootnoteText"/>
        <w:jc w:val="both"/>
        <w:rPr>
          <w:rFonts w:ascii="Times New Roman" w:hAnsi="Times New Roman" w:cs="Times New Roman"/>
          <w:lang w:val="de-AT"/>
        </w:rPr>
      </w:pPr>
      <w:r w:rsidRPr="00C10141">
        <w:rPr>
          <w:rStyle w:val="FootnoteReference"/>
          <w:rFonts w:ascii="Times New Roman" w:hAnsi="Times New Roman" w:cs="Times New Roman"/>
        </w:rPr>
        <w:footnoteRef/>
      </w:r>
      <w:r w:rsidRPr="006D49D6">
        <w:rPr>
          <w:rFonts w:ascii="Times New Roman" w:hAnsi="Times New Roman" w:cs="Times New Roman"/>
          <w:lang w:val="de-AT"/>
        </w:rPr>
        <w:t xml:space="preserve"> </w:t>
      </w:r>
      <w:r w:rsidR="00C10141" w:rsidRPr="006D49D6">
        <w:rPr>
          <w:rFonts w:ascii="Times New Roman" w:hAnsi="Times New Roman" w:cs="Times New Roman"/>
          <w:color w:val="000000"/>
          <w:lang w:val="de-AT"/>
        </w:rPr>
        <w:t>C.</w:t>
      </w:r>
      <w:r w:rsidR="00205500" w:rsidRPr="006D49D6">
        <w:rPr>
          <w:rFonts w:ascii="Times New Roman" w:hAnsi="Times New Roman" w:cs="Times New Roman"/>
          <w:color w:val="000000"/>
          <w:lang w:val="de-AT"/>
        </w:rPr>
        <w:t xml:space="preserve"> Walter, </w:t>
      </w:r>
      <w:r w:rsidR="00205500" w:rsidRPr="006D49D6">
        <w:rPr>
          <w:rFonts w:ascii="Times New Roman" w:hAnsi="Times New Roman" w:cs="Times New Roman"/>
          <w:i/>
          <w:iCs/>
          <w:color w:val="000000"/>
          <w:lang w:val="de-AT"/>
        </w:rPr>
        <w:t>L’iconographie des conciles dans la tradition byzantine</w:t>
      </w:r>
      <w:r w:rsidR="00205500" w:rsidRPr="006D49D6">
        <w:rPr>
          <w:rFonts w:ascii="Times New Roman" w:hAnsi="Times New Roman" w:cs="Times New Roman"/>
          <w:color w:val="000000"/>
          <w:lang w:val="de-AT"/>
        </w:rPr>
        <w:t xml:space="preserve">, Paryż 1970, </w:t>
      </w:r>
      <w:r w:rsidR="006D49D6" w:rsidRPr="006D49D6">
        <w:rPr>
          <w:rFonts w:ascii="Times New Roman" w:hAnsi="Times New Roman" w:cs="Times New Roman"/>
          <w:color w:val="000000"/>
          <w:lang w:val="de-AT"/>
        </w:rPr>
        <w:t xml:space="preserve">s. </w:t>
      </w:r>
      <w:r w:rsidR="00205500" w:rsidRPr="006D49D6">
        <w:rPr>
          <w:rFonts w:ascii="Times New Roman" w:hAnsi="Times New Roman" w:cs="Times New Roman"/>
          <w:color w:val="000000"/>
          <w:lang w:val="de-AT"/>
        </w:rPr>
        <w:t>123.</w:t>
      </w:r>
    </w:p>
  </w:footnote>
  <w:footnote w:id="15">
    <w:p w14:paraId="4D13BAFB" w14:textId="77777777" w:rsidR="00A12F80" w:rsidRPr="00C10141" w:rsidRDefault="00A12F80" w:rsidP="00205500">
      <w:pPr>
        <w:pStyle w:val="FootnoteText"/>
        <w:jc w:val="both"/>
        <w:rPr>
          <w:rFonts w:ascii="Times New Roman" w:hAnsi="Times New Roman" w:cs="Times New Roman"/>
        </w:rPr>
      </w:pPr>
      <w:r w:rsidRPr="00C10141">
        <w:rPr>
          <w:rStyle w:val="FootnoteReference"/>
          <w:rFonts w:ascii="Times New Roman" w:hAnsi="Times New Roman" w:cs="Times New Roman"/>
        </w:rPr>
        <w:footnoteRef/>
      </w:r>
      <w:r w:rsidRPr="00C10141">
        <w:rPr>
          <w:rFonts w:ascii="Times New Roman" w:hAnsi="Times New Roman" w:cs="Times New Roman"/>
          <w:lang w:val="de-AT"/>
        </w:rPr>
        <w:t xml:space="preserve"> </w:t>
      </w:r>
      <w:r w:rsidR="00205500" w:rsidRPr="00C10141">
        <w:rPr>
          <w:rFonts w:ascii="Times New Roman" w:hAnsi="Times New Roman" w:cs="Times New Roman"/>
          <w:color w:val="000000"/>
          <w:lang w:val="de-AT"/>
        </w:rPr>
        <w:t xml:space="preserve">Johannes von Damaskus, </w:t>
      </w:r>
      <w:r w:rsidR="00205500" w:rsidRPr="00C10141">
        <w:rPr>
          <w:rFonts w:ascii="Times New Roman" w:hAnsi="Times New Roman" w:cs="Times New Roman"/>
          <w:i/>
          <w:iCs/>
          <w:color w:val="000000"/>
          <w:lang w:val="de-AT"/>
        </w:rPr>
        <w:t>Zweite Verteidigungsschrift gegen die Bilderfeinde</w:t>
      </w:r>
      <w:r w:rsidR="00C10141">
        <w:rPr>
          <w:rFonts w:ascii="Times New Roman" w:hAnsi="Times New Roman" w:cs="Times New Roman"/>
          <w:color w:val="000000"/>
          <w:lang w:val="de-AT"/>
        </w:rPr>
        <w:t>,</w:t>
      </w:r>
      <w:r w:rsidR="00205500" w:rsidRPr="00C10141">
        <w:rPr>
          <w:rFonts w:ascii="Times New Roman" w:hAnsi="Times New Roman" w:cs="Times New Roman"/>
          <w:i/>
          <w:iCs/>
          <w:color w:val="000000"/>
          <w:lang w:val="de-AT"/>
        </w:rPr>
        <w:t xml:space="preserve"> </w:t>
      </w:r>
      <w:r w:rsidR="00C10141">
        <w:rPr>
          <w:rFonts w:ascii="Times New Roman" w:hAnsi="Times New Roman" w:cs="Times New Roman"/>
          <w:color w:val="000000"/>
          <w:lang w:val="de-AT"/>
        </w:rPr>
        <w:t>10, cyt. za: T.</w:t>
      </w:r>
      <w:r w:rsidR="00205500" w:rsidRPr="00C10141">
        <w:rPr>
          <w:rFonts w:ascii="Times New Roman" w:hAnsi="Times New Roman" w:cs="Times New Roman"/>
          <w:color w:val="000000"/>
          <w:lang w:val="de-AT"/>
        </w:rPr>
        <w:t xml:space="preserve"> Bremer, </w:t>
      </w:r>
      <w:r w:rsidR="00205500" w:rsidRPr="00C10141">
        <w:rPr>
          <w:rFonts w:ascii="Times New Roman" w:hAnsi="Times New Roman" w:cs="Times New Roman"/>
          <w:i/>
          <w:iCs/>
          <w:color w:val="000000"/>
          <w:lang w:val="de-AT"/>
        </w:rPr>
        <w:t xml:space="preserve">„Verehrt wird Er in Seinem Bilde…”. </w:t>
      </w:r>
      <w:r w:rsidR="00205500" w:rsidRPr="00C10141">
        <w:rPr>
          <w:rFonts w:ascii="Times New Roman" w:hAnsi="Times New Roman" w:cs="Times New Roman"/>
          <w:i/>
          <w:iCs/>
          <w:color w:val="000000"/>
        </w:rPr>
        <w:t>Quellenbuch zur Geschichte der Ikonentheologie</w:t>
      </w:r>
      <w:r w:rsidR="00205500" w:rsidRPr="00C10141">
        <w:rPr>
          <w:rFonts w:ascii="Times New Roman" w:hAnsi="Times New Roman" w:cs="Times New Roman"/>
          <w:color w:val="000000"/>
        </w:rPr>
        <w:t xml:space="preserve">, Trier 2014, </w:t>
      </w:r>
      <w:r w:rsidR="00C10141">
        <w:rPr>
          <w:rFonts w:ascii="Times New Roman" w:hAnsi="Times New Roman" w:cs="Times New Roman"/>
          <w:color w:val="000000"/>
        </w:rPr>
        <w:t xml:space="preserve">s. </w:t>
      </w:r>
      <w:r w:rsidR="00205500" w:rsidRPr="00C10141">
        <w:rPr>
          <w:rFonts w:ascii="Times New Roman" w:hAnsi="Times New Roman" w:cs="Times New Roman"/>
          <w:color w:val="000000"/>
        </w:rPr>
        <w:t>132.</w:t>
      </w:r>
    </w:p>
  </w:footnote>
  <w:footnote w:id="16">
    <w:p w14:paraId="08F9189D" w14:textId="77777777" w:rsidR="0007219E" w:rsidRPr="00C10141" w:rsidRDefault="0007219E" w:rsidP="00C10141">
      <w:pPr>
        <w:pStyle w:val="FootnoteText"/>
        <w:jc w:val="both"/>
        <w:rPr>
          <w:rFonts w:ascii="Times New Roman" w:hAnsi="Times New Roman" w:cs="Times New Roman"/>
          <w:lang w:val="de-AT"/>
        </w:rPr>
      </w:pPr>
      <w:r w:rsidRPr="00C10141">
        <w:rPr>
          <w:rStyle w:val="FootnoteReference"/>
          <w:rFonts w:ascii="Times New Roman" w:hAnsi="Times New Roman" w:cs="Times New Roman"/>
        </w:rPr>
        <w:footnoteRef/>
      </w:r>
      <w:r w:rsidRPr="00C10141">
        <w:rPr>
          <w:rFonts w:ascii="Times New Roman" w:hAnsi="Times New Roman" w:cs="Times New Roman"/>
        </w:rPr>
        <w:t xml:space="preserve"> </w:t>
      </w:r>
      <w:r w:rsidR="00205500" w:rsidRPr="00C10141">
        <w:rPr>
          <w:rFonts w:ascii="Times New Roman" w:hAnsi="Times New Roman" w:cs="Times New Roman"/>
        </w:rPr>
        <w:t xml:space="preserve">W Konstantynopolu sobory ekumeniczne były również przedstawiane w jednej z sal („triklinium”) Pałacu Blachernai, gdzie odbywały się ważne sobory XIV wieku. </w:t>
      </w:r>
      <w:r w:rsidR="00C10141">
        <w:rPr>
          <w:rFonts w:ascii="Times New Roman" w:hAnsi="Times New Roman" w:cs="Times New Roman"/>
          <w:lang w:val="de-AT"/>
        </w:rPr>
        <w:t>Por. A.</w:t>
      </w:r>
      <w:r w:rsidR="00205500" w:rsidRPr="00C10141">
        <w:rPr>
          <w:rFonts w:ascii="Times New Roman" w:hAnsi="Times New Roman" w:cs="Times New Roman"/>
          <w:lang w:val="de-AT"/>
        </w:rPr>
        <w:t xml:space="preserve"> Rigo, </w:t>
      </w:r>
      <w:r w:rsidR="00205500" w:rsidRPr="00C10141">
        <w:rPr>
          <w:rStyle w:val="Emphasis"/>
          <w:rFonts w:ascii="Times New Roman" w:hAnsi="Times New Roman" w:cs="Times New Roman"/>
          <w:lang w:val="de-AT"/>
        </w:rPr>
        <w:t>The Triclinium</w:t>
      </w:r>
      <w:r w:rsidR="00C10141">
        <w:rPr>
          <w:rStyle w:val="Emphasis"/>
          <w:rFonts w:ascii="Times New Roman" w:hAnsi="Times New Roman" w:cs="Times New Roman"/>
          <w:lang w:val="de-AT"/>
        </w:rPr>
        <w:t>…</w:t>
      </w:r>
      <w:r w:rsidR="00205500" w:rsidRPr="00C10141">
        <w:rPr>
          <w:rFonts w:ascii="Times New Roman" w:hAnsi="Times New Roman" w:cs="Times New Roman"/>
          <w:lang w:val="de-AT"/>
        </w:rPr>
        <w:t xml:space="preserve">, </w:t>
      </w:r>
      <w:r w:rsidR="00C10141">
        <w:rPr>
          <w:rFonts w:ascii="Times New Roman" w:hAnsi="Times New Roman" w:cs="Times New Roman"/>
          <w:lang w:val="de-AT"/>
        </w:rPr>
        <w:t xml:space="preserve">s. </w:t>
      </w:r>
      <w:r w:rsidR="00205500" w:rsidRPr="00C10141">
        <w:rPr>
          <w:rFonts w:ascii="Times New Roman" w:hAnsi="Times New Roman" w:cs="Times New Roman"/>
          <w:lang w:val="de-AT"/>
        </w:rPr>
        <w:t>614n.</w:t>
      </w:r>
    </w:p>
  </w:footnote>
  <w:footnote w:id="17">
    <w:p w14:paraId="5731E1F3" w14:textId="77777777" w:rsidR="008D34AE" w:rsidRPr="00C10141" w:rsidRDefault="008D34AE" w:rsidP="005E3BF2">
      <w:pPr>
        <w:pStyle w:val="FootnoteText"/>
        <w:jc w:val="both"/>
        <w:rPr>
          <w:rFonts w:ascii="Times New Roman" w:hAnsi="Times New Roman" w:cs="Times New Roman"/>
          <w:lang w:val="de-AT"/>
        </w:rPr>
      </w:pPr>
      <w:r w:rsidRPr="00C10141">
        <w:rPr>
          <w:rStyle w:val="FootnoteReference"/>
          <w:rFonts w:ascii="Times New Roman" w:hAnsi="Times New Roman" w:cs="Times New Roman"/>
        </w:rPr>
        <w:footnoteRef/>
      </w:r>
      <w:r w:rsidRPr="00C10141">
        <w:rPr>
          <w:rFonts w:ascii="Times New Roman" w:hAnsi="Times New Roman" w:cs="Times New Roman"/>
          <w:lang w:val="de-AT"/>
        </w:rPr>
        <w:t xml:space="preserve"> </w:t>
      </w:r>
      <w:r w:rsidR="00C10141">
        <w:rPr>
          <w:rFonts w:ascii="Times New Roman" w:hAnsi="Times New Roman" w:cs="Times New Roman"/>
          <w:lang w:val="de-AT"/>
        </w:rPr>
        <w:t>Por. R.</w:t>
      </w:r>
      <w:r w:rsidR="005E3BF2" w:rsidRPr="00C10141">
        <w:rPr>
          <w:rFonts w:ascii="Times New Roman" w:hAnsi="Times New Roman" w:cs="Times New Roman"/>
          <w:lang w:val="de-AT"/>
        </w:rPr>
        <w:t xml:space="preserve"> Sörries, </w:t>
      </w:r>
      <w:r w:rsidR="005E3BF2" w:rsidRPr="00C10141">
        <w:rPr>
          <w:rFonts w:ascii="Times New Roman" w:hAnsi="Times New Roman" w:cs="Times New Roman"/>
          <w:i/>
          <w:lang w:val="de-AT"/>
        </w:rPr>
        <w:t>Die Bilder der Orthodoxen im Kampf gegen den Arianismus</w:t>
      </w:r>
      <w:r w:rsidR="005E3BF2" w:rsidRPr="00C10141">
        <w:rPr>
          <w:rFonts w:ascii="Times New Roman" w:hAnsi="Times New Roman" w:cs="Times New Roman"/>
          <w:lang w:val="de-AT"/>
        </w:rPr>
        <w:t xml:space="preserve">, Frankfurt/M. - Berlin 1983, </w:t>
      </w:r>
      <w:r w:rsidR="00C10141">
        <w:rPr>
          <w:rFonts w:ascii="Times New Roman" w:hAnsi="Times New Roman" w:cs="Times New Roman"/>
          <w:lang w:val="de-AT"/>
        </w:rPr>
        <w:t xml:space="preserve">s. </w:t>
      </w:r>
      <w:r w:rsidR="005E3BF2" w:rsidRPr="00C10141">
        <w:rPr>
          <w:rFonts w:ascii="Times New Roman" w:hAnsi="Times New Roman" w:cs="Times New Roman"/>
          <w:lang w:val="de-AT"/>
        </w:rPr>
        <w:t>295-296.</w:t>
      </w:r>
    </w:p>
  </w:footnote>
  <w:footnote w:id="18">
    <w:p w14:paraId="2FB619D8" w14:textId="77777777" w:rsidR="00A6462D" w:rsidRPr="00C10141" w:rsidRDefault="00A6462D" w:rsidP="005E3BF2">
      <w:pPr>
        <w:pStyle w:val="FootnoteText"/>
        <w:jc w:val="both"/>
        <w:rPr>
          <w:rFonts w:ascii="Times New Roman" w:hAnsi="Times New Roman" w:cs="Times New Roman"/>
          <w:lang w:val="en-US"/>
        </w:rPr>
      </w:pPr>
      <w:r w:rsidRPr="00C10141">
        <w:rPr>
          <w:rStyle w:val="FootnoteReference"/>
          <w:rFonts w:ascii="Times New Roman" w:hAnsi="Times New Roman" w:cs="Times New Roman"/>
        </w:rPr>
        <w:footnoteRef/>
      </w:r>
      <w:r w:rsidRPr="00C10141">
        <w:rPr>
          <w:rFonts w:ascii="Times New Roman" w:hAnsi="Times New Roman" w:cs="Times New Roman"/>
          <w:lang w:val="en-US"/>
        </w:rPr>
        <w:t xml:space="preserve"> </w:t>
      </w:r>
      <w:r w:rsidR="00C10141">
        <w:rPr>
          <w:rFonts w:ascii="Times New Roman" w:hAnsi="Times New Roman" w:cs="Times New Roman"/>
          <w:lang w:val="en-US"/>
        </w:rPr>
        <w:t>Zob. także: M.</w:t>
      </w:r>
      <w:r w:rsidR="005E3BF2" w:rsidRPr="00C10141">
        <w:rPr>
          <w:rFonts w:ascii="Times New Roman" w:hAnsi="Times New Roman" w:cs="Times New Roman"/>
          <w:lang w:val="en-US"/>
        </w:rPr>
        <w:t xml:space="preserve"> Kazamía-Tsérnou, </w:t>
      </w:r>
      <w:r w:rsidR="005E3BF2" w:rsidRPr="00C10141">
        <w:rPr>
          <w:rFonts w:ascii="Times New Roman" w:hAnsi="Times New Roman" w:cs="Times New Roman"/>
          <w:i/>
          <w:lang w:val="en-US"/>
        </w:rPr>
        <w:t>The ecumenical synods in the eastern Byzantine and post Byzantine iconographic tradition,</w:t>
      </w:r>
      <w:r w:rsidR="005E3BF2" w:rsidRPr="00C10141">
        <w:rPr>
          <w:rFonts w:ascii="Times New Roman" w:hAnsi="Times New Roman" w:cs="Times New Roman"/>
          <w:lang w:val="en-US"/>
        </w:rPr>
        <w:t xml:space="preserve"> w: </w:t>
      </w:r>
      <w:r w:rsidR="005E3BF2" w:rsidRPr="00C10141">
        <w:rPr>
          <w:rFonts w:ascii="Times New Roman" w:hAnsi="Times New Roman" w:cs="Times New Roman"/>
          <w:i/>
          <w:iCs/>
          <w:lang w:val="en-US"/>
        </w:rPr>
        <w:t>Rivista di Storia e Letteratura Religiosa</w:t>
      </w:r>
      <w:r w:rsidR="00C10141">
        <w:rPr>
          <w:rFonts w:ascii="Times New Roman" w:hAnsi="Times New Roman" w:cs="Times New Roman"/>
          <w:lang w:val="en-US"/>
        </w:rPr>
        <w:t xml:space="preserve"> 52</w:t>
      </w:r>
      <w:r w:rsidR="005E3BF2" w:rsidRPr="00C10141">
        <w:rPr>
          <w:rFonts w:ascii="Times New Roman" w:hAnsi="Times New Roman" w:cs="Times New Roman"/>
          <w:lang w:val="en-US"/>
        </w:rPr>
        <w:t xml:space="preserve">(2016), </w:t>
      </w:r>
      <w:r w:rsidR="00C10141">
        <w:rPr>
          <w:rFonts w:ascii="Times New Roman" w:hAnsi="Times New Roman" w:cs="Times New Roman"/>
          <w:lang w:val="en-US"/>
        </w:rPr>
        <w:t xml:space="preserve">s. </w:t>
      </w:r>
      <w:r w:rsidR="005E3BF2" w:rsidRPr="00C10141">
        <w:rPr>
          <w:rFonts w:ascii="Times New Roman" w:hAnsi="Times New Roman" w:cs="Times New Roman"/>
          <w:lang w:val="en-US"/>
        </w:rPr>
        <w:t>517-536.</w:t>
      </w:r>
    </w:p>
  </w:footnote>
  <w:footnote w:id="19">
    <w:p w14:paraId="780A42E4" w14:textId="77777777" w:rsidR="004319F6" w:rsidRPr="006D49D6" w:rsidRDefault="004319F6" w:rsidP="00C10141">
      <w:pPr>
        <w:pStyle w:val="FootnoteText"/>
        <w:jc w:val="both"/>
        <w:rPr>
          <w:rFonts w:ascii="Times New Roman" w:hAnsi="Times New Roman" w:cs="Times New Roman"/>
          <w:lang w:val="en-US"/>
        </w:rPr>
      </w:pPr>
      <w:r w:rsidRPr="00C10141">
        <w:rPr>
          <w:rStyle w:val="FootnoteReference"/>
          <w:rFonts w:ascii="Times New Roman" w:hAnsi="Times New Roman" w:cs="Times New Roman"/>
        </w:rPr>
        <w:footnoteRef/>
      </w:r>
      <w:r w:rsidRPr="006D49D6">
        <w:rPr>
          <w:rFonts w:ascii="Times New Roman" w:hAnsi="Times New Roman" w:cs="Times New Roman"/>
          <w:lang w:val="en-US"/>
        </w:rPr>
        <w:t xml:space="preserve"> </w:t>
      </w:r>
      <w:r w:rsidR="00C10141" w:rsidRPr="006D49D6">
        <w:rPr>
          <w:rFonts w:ascii="Times New Roman" w:hAnsi="Times New Roman" w:cs="Times New Roman"/>
          <w:lang w:val="en-US"/>
        </w:rPr>
        <w:t>Por. C.</w:t>
      </w:r>
      <w:r w:rsidR="005E3BF2" w:rsidRPr="006D49D6">
        <w:rPr>
          <w:rFonts w:ascii="Times New Roman" w:hAnsi="Times New Roman" w:cs="Times New Roman"/>
          <w:lang w:val="en-US"/>
        </w:rPr>
        <w:t xml:space="preserve"> Walter, </w:t>
      </w:r>
      <w:r w:rsidR="005E3BF2" w:rsidRPr="006D49D6">
        <w:rPr>
          <w:rFonts w:ascii="Times New Roman" w:hAnsi="Times New Roman" w:cs="Times New Roman"/>
          <w:i/>
          <w:iCs/>
          <w:lang w:val="en-US"/>
        </w:rPr>
        <w:t>L'iconographie</w:t>
      </w:r>
      <w:r w:rsidR="00C10141" w:rsidRPr="006D49D6">
        <w:rPr>
          <w:rFonts w:ascii="Times New Roman" w:hAnsi="Times New Roman" w:cs="Times New Roman"/>
          <w:lang w:val="en-US"/>
        </w:rPr>
        <w:t>…</w:t>
      </w:r>
      <w:r w:rsidR="005E3BF2" w:rsidRPr="006D49D6">
        <w:rPr>
          <w:rFonts w:ascii="Times New Roman" w:hAnsi="Times New Roman" w:cs="Times New Roman"/>
          <w:lang w:val="en-US"/>
        </w:rPr>
        <w:t xml:space="preserve">, </w:t>
      </w:r>
      <w:r w:rsidR="00C10141" w:rsidRPr="006D49D6">
        <w:rPr>
          <w:rFonts w:ascii="Times New Roman" w:hAnsi="Times New Roman" w:cs="Times New Roman"/>
          <w:lang w:val="en-US"/>
        </w:rPr>
        <w:t xml:space="preserve">s. 88 i </w:t>
      </w:r>
      <w:r w:rsidR="005E3BF2" w:rsidRPr="006D49D6">
        <w:rPr>
          <w:rFonts w:ascii="Times New Roman" w:hAnsi="Times New Roman" w:cs="Times New Roman"/>
          <w:lang w:val="en-US"/>
        </w:rPr>
        <w:t>91.</w:t>
      </w:r>
    </w:p>
  </w:footnote>
  <w:footnote w:id="20">
    <w:p w14:paraId="3CB51359" w14:textId="77777777" w:rsidR="00071F74" w:rsidRPr="006D49D6" w:rsidRDefault="00071F74" w:rsidP="005E3BF2">
      <w:pPr>
        <w:pStyle w:val="FootnoteText"/>
        <w:jc w:val="both"/>
        <w:rPr>
          <w:rFonts w:ascii="Times New Roman" w:hAnsi="Times New Roman" w:cs="Times New Roman"/>
          <w:lang w:val="en-US"/>
        </w:rPr>
      </w:pPr>
      <w:r w:rsidRPr="00C10141">
        <w:rPr>
          <w:rStyle w:val="FootnoteReference"/>
          <w:rFonts w:ascii="Times New Roman" w:hAnsi="Times New Roman" w:cs="Times New Roman"/>
        </w:rPr>
        <w:footnoteRef/>
      </w:r>
      <w:r w:rsidRPr="006D49D6">
        <w:rPr>
          <w:rFonts w:ascii="Times New Roman" w:hAnsi="Times New Roman" w:cs="Times New Roman"/>
          <w:lang w:val="en-US"/>
        </w:rPr>
        <w:t xml:space="preserve"> </w:t>
      </w:r>
      <w:r w:rsidR="006D49D6" w:rsidRPr="006D49D6">
        <w:rPr>
          <w:rFonts w:ascii="Times New Roman" w:hAnsi="Times New Roman" w:cs="Times New Roman"/>
          <w:lang w:val="en-US"/>
        </w:rPr>
        <w:t>Por. T</w:t>
      </w:r>
      <w:r w:rsidR="005E3BF2" w:rsidRPr="006D49D6">
        <w:rPr>
          <w:rFonts w:ascii="Times New Roman" w:hAnsi="Times New Roman" w:cs="Times New Roman"/>
          <w:lang w:val="en-US"/>
        </w:rPr>
        <w:t xml:space="preserve">amże, </w:t>
      </w:r>
      <w:r w:rsidR="006D49D6">
        <w:rPr>
          <w:rFonts w:ascii="Times New Roman" w:hAnsi="Times New Roman" w:cs="Times New Roman"/>
          <w:lang w:val="en-US"/>
        </w:rPr>
        <w:t xml:space="preserve">s. </w:t>
      </w:r>
      <w:r w:rsidR="005E3BF2" w:rsidRPr="006D49D6">
        <w:rPr>
          <w:rFonts w:ascii="Times New Roman" w:hAnsi="Times New Roman" w:cs="Times New Roman"/>
          <w:lang w:val="en-US"/>
        </w:rPr>
        <w:t>80-81</w:t>
      </w:r>
      <w:r w:rsidR="006D49D6">
        <w:rPr>
          <w:rFonts w:ascii="Times New Roman" w:hAnsi="Times New Roman" w:cs="Times New Roman"/>
          <w:lang w:val="en-US"/>
        </w:rPr>
        <w:t>.</w:t>
      </w:r>
    </w:p>
  </w:footnote>
  <w:footnote w:id="21">
    <w:p w14:paraId="09B4142D" w14:textId="77777777" w:rsidR="00B16E99" w:rsidRPr="006D49D6" w:rsidRDefault="00B16E99" w:rsidP="005E3BF2">
      <w:pPr>
        <w:pStyle w:val="FootnoteText"/>
        <w:jc w:val="both"/>
        <w:rPr>
          <w:rFonts w:ascii="Times New Roman" w:hAnsi="Times New Roman" w:cs="Times New Roman"/>
          <w:lang w:val="en-US"/>
        </w:rPr>
      </w:pPr>
      <w:r w:rsidRPr="00C10141">
        <w:rPr>
          <w:rStyle w:val="FootnoteReference"/>
          <w:rFonts w:ascii="Times New Roman" w:hAnsi="Times New Roman" w:cs="Times New Roman"/>
        </w:rPr>
        <w:footnoteRef/>
      </w:r>
      <w:r w:rsidRPr="006D49D6">
        <w:rPr>
          <w:rFonts w:ascii="Times New Roman" w:hAnsi="Times New Roman" w:cs="Times New Roman"/>
          <w:lang w:val="en-US"/>
        </w:rPr>
        <w:t xml:space="preserve"> </w:t>
      </w:r>
      <w:r w:rsidR="006D49D6" w:rsidRPr="006D49D6">
        <w:rPr>
          <w:rFonts w:ascii="Times New Roman" w:hAnsi="Times New Roman" w:cs="Times New Roman"/>
          <w:lang w:val="en-US"/>
        </w:rPr>
        <w:t>Por. T</w:t>
      </w:r>
      <w:r w:rsidR="005E3BF2" w:rsidRPr="006D49D6">
        <w:rPr>
          <w:rFonts w:ascii="Times New Roman" w:hAnsi="Times New Roman" w:cs="Times New Roman"/>
          <w:lang w:val="en-US"/>
        </w:rPr>
        <w:t xml:space="preserve">amże, </w:t>
      </w:r>
      <w:r w:rsidR="006D49D6" w:rsidRPr="006D49D6">
        <w:rPr>
          <w:rFonts w:ascii="Times New Roman" w:hAnsi="Times New Roman" w:cs="Times New Roman"/>
          <w:lang w:val="en-US"/>
        </w:rPr>
        <w:t xml:space="preserve">s. </w:t>
      </w:r>
      <w:r w:rsidR="005E3BF2" w:rsidRPr="006D49D6">
        <w:rPr>
          <w:rFonts w:ascii="Times New Roman" w:hAnsi="Times New Roman" w:cs="Times New Roman"/>
          <w:lang w:val="en-US"/>
        </w:rPr>
        <w:t>252-260.</w:t>
      </w:r>
    </w:p>
  </w:footnote>
  <w:footnote w:id="22">
    <w:p w14:paraId="5C76C9D4" w14:textId="77777777" w:rsidR="00704192" w:rsidRPr="00C10141" w:rsidRDefault="00704192" w:rsidP="005E3BF2">
      <w:pPr>
        <w:pStyle w:val="FootnoteText"/>
        <w:jc w:val="both"/>
        <w:rPr>
          <w:rFonts w:ascii="Times New Roman" w:hAnsi="Times New Roman" w:cs="Times New Roman"/>
        </w:rPr>
      </w:pPr>
      <w:r w:rsidRPr="00C10141">
        <w:rPr>
          <w:rStyle w:val="FootnoteReference"/>
          <w:rFonts w:ascii="Times New Roman" w:hAnsi="Times New Roman" w:cs="Times New Roman"/>
        </w:rPr>
        <w:footnoteRef/>
      </w:r>
      <w:r w:rsidRPr="006D49D6">
        <w:rPr>
          <w:rFonts w:ascii="Times New Roman" w:hAnsi="Times New Roman" w:cs="Times New Roman"/>
          <w:lang w:val="en-US"/>
        </w:rPr>
        <w:t xml:space="preserve"> </w:t>
      </w:r>
      <w:r w:rsidR="005E3BF2" w:rsidRPr="006D49D6">
        <w:rPr>
          <w:rFonts w:ascii="Times New Roman" w:hAnsi="Times New Roman" w:cs="Times New Roman"/>
          <w:lang w:val="en-US"/>
        </w:rPr>
        <w:t xml:space="preserve">Na temat ikonografii synodów ekumenicznych </w:t>
      </w:r>
      <w:r w:rsidR="006D49D6">
        <w:rPr>
          <w:rFonts w:ascii="Times New Roman" w:hAnsi="Times New Roman" w:cs="Times New Roman"/>
          <w:lang w:val="en-US"/>
        </w:rPr>
        <w:t>w kościołach Mołdawii zob. P.</w:t>
      </w:r>
      <w:r w:rsidR="005E3BF2" w:rsidRPr="006D49D6">
        <w:rPr>
          <w:rFonts w:ascii="Times New Roman" w:hAnsi="Times New Roman" w:cs="Times New Roman"/>
          <w:lang w:val="en-US"/>
        </w:rPr>
        <w:t xml:space="preserve"> Sofragiu, </w:t>
      </w:r>
      <w:r w:rsidR="005E3BF2" w:rsidRPr="006D49D6">
        <w:rPr>
          <w:rFonts w:ascii="Times New Roman" w:hAnsi="Times New Roman" w:cs="Times New Roman"/>
          <w:i/>
          <w:lang w:val="en-US"/>
        </w:rPr>
        <w:t>Sinoadele ecumenice în iconografia pronaosurilor bisericilor medievale din Moldova</w:t>
      </w:r>
      <w:r w:rsidR="006D49D6">
        <w:rPr>
          <w:rFonts w:ascii="Times New Roman" w:hAnsi="Times New Roman" w:cs="Times New Roman"/>
          <w:lang w:val="en-US"/>
        </w:rPr>
        <w:t>, w: G.</w:t>
      </w:r>
      <w:r w:rsidR="005E3BF2" w:rsidRPr="006D49D6">
        <w:rPr>
          <w:rFonts w:ascii="Times New Roman" w:hAnsi="Times New Roman" w:cs="Times New Roman"/>
          <w:lang w:val="en-US"/>
        </w:rPr>
        <w:t xml:space="preserve"> Herea (red.), </w:t>
      </w:r>
      <w:r w:rsidR="005E3BF2" w:rsidRPr="006D49D6">
        <w:rPr>
          <w:rFonts w:ascii="Times New Roman" w:hAnsi="Times New Roman" w:cs="Times New Roman"/>
          <w:i/>
          <w:lang w:val="en-US"/>
        </w:rPr>
        <w:t xml:space="preserve">Schola. </w:t>
      </w:r>
      <w:r w:rsidR="005E3BF2" w:rsidRPr="00C10141">
        <w:rPr>
          <w:rFonts w:ascii="Times New Roman" w:hAnsi="Times New Roman" w:cs="Times New Roman"/>
          <w:i/>
        </w:rPr>
        <w:t>Ars. historia. FS Tereza Sinigalia,</w:t>
      </w:r>
      <w:r w:rsidR="005E3BF2" w:rsidRPr="00C10141">
        <w:rPr>
          <w:rFonts w:ascii="Times New Roman" w:hAnsi="Times New Roman" w:cs="Times New Roman"/>
        </w:rPr>
        <w:t xml:space="preserve"> Pătrăuți 2014, </w:t>
      </w:r>
      <w:r w:rsidR="006D49D6">
        <w:rPr>
          <w:rFonts w:ascii="Times New Roman" w:hAnsi="Times New Roman" w:cs="Times New Roman"/>
        </w:rPr>
        <w:t xml:space="preserve">s. </w:t>
      </w:r>
      <w:r w:rsidR="005E3BF2" w:rsidRPr="00C10141">
        <w:rPr>
          <w:rFonts w:ascii="Times New Roman" w:hAnsi="Times New Roman" w:cs="Times New Roman"/>
        </w:rPr>
        <w:t>277-294</w:t>
      </w:r>
      <w:r w:rsidR="006D49D6">
        <w:rPr>
          <w:rFonts w:ascii="Times New Roman" w:hAnsi="Times New Roman" w:cs="Times New Roman"/>
        </w:rPr>
        <w:t>.</w:t>
      </w:r>
    </w:p>
  </w:footnote>
  <w:footnote w:id="23">
    <w:p w14:paraId="5429AECB" w14:textId="77777777" w:rsidR="00E11A99" w:rsidRPr="00C10141" w:rsidRDefault="00E11A99" w:rsidP="00BC1C3D">
      <w:pPr>
        <w:pStyle w:val="FootnoteText"/>
        <w:jc w:val="both"/>
        <w:rPr>
          <w:rFonts w:ascii="Times New Roman" w:hAnsi="Times New Roman" w:cs="Times New Roman"/>
        </w:rPr>
      </w:pPr>
      <w:r w:rsidRPr="00C10141">
        <w:rPr>
          <w:rStyle w:val="FootnoteReference"/>
          <w:rFonts w:ascii="Times New Roman" w:hAnsi="Times New Roman" w:cs="Times New Roman"/>
        </w:rPr>
        <w:footnoteRef/>
      </w:r>
      <w:r w:rsidRPr="00C10141">
        <w:rPr>
          <w:rFonts w:ascii="Times New Roman" w:hAnsi="Times New Roman" w:cs="Times New Roman"/>
        </w:rPr>
        <w:t xml:space="preserve"> </w:t>
      </w:r>
      <w:r w:rsidR="00BC1C3D" w:rsidRPr="00C10141">
        <w:rPr>
          <w:rFonts w:ascii="Times New Roman" w:hAnsi="Times New Roman" w:cs="Times New Roman"/>
        </w:rPr>
        <w:t xml:space="preserve">Takie powiedzenie Świętego Porfiriusza z Kawsokalivii (†1991), por. </w:t>
      </w:r>
      <w:r w:rsidR="00BC1C3D" w:rsidRPr="00C10141">
        <w:rPr>
          <w:rStyle w:val="Emphasis"/>
          <w:rFonts w:ascii="Times New Roman" w:hAnsi="Times New Roman" w:cs="Times New Roman"/>
        </w:rPr>
        <w:t>Sf. Porfirie Kavsokalivitul, Cuvinte despre viața duhovnicească</w:t>
      </w:r>
      <w:r w:rsidR="00BC1C3D" w:rsidRPr="00C10141">
        <w:rPr>
          <w:rFonts w:ascii="Times New Roman" w:hAnsi="Times New Roman" w:cs="Times New Roman"/>
        </w:rPr>
        <w:t>, Bukareszt 2016, s. 43.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44327B"/>
    <w:multiLevelType w:val="hybridMultilevel"/>
    <w:tmpl w:val="156E98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43028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1333"/>
    <w:rsid w:val="00013B36"/>
    <w:rsid w:val="00030B9B"/>
    <w:rsid w:val="00036334"/>
    <w:rsid w:val="00042143"/>
    <w:rsid w:val="00071F74"/>
    <w:rsid w:val="0007219E"/>
    <w:rsid w:val="00074EDC"/>
    <w:rsid w:val="000775AE"/>
    <w:rsid w:val="000915C9"/>
    <w:rsid w:val="00102CBB"/>
    <w:rsid w:val="001067C4"/>
    <w:rsid w:val="00150EA9"/>
    <w:rsid w:val="001764A7"/>
    <w:rsid w:val="001C198F"/>
    <w:rsid w:val="00205500"/>
    <w:rsid w:val="00206A2A"/>
    <w:rsid w:val="00220FDF"/>
    <w:rsid w:val="00221B19"/>
    <w:rsid w:val="00254E72"/>
    <w:rsid w:val="002E6926"/>
    <w:rsid w:val="00314697"/>
    <w:rsid w:val="00336CB2"/>
    <w:rsid w:val="00351A62"/>
    <w:rsid w:val="00384402"/>
    <w:rsid w:val="00385EF0"/>
    <w:rsid w:val="003C5F50"/>
    <w:rsid w:val="003E562C"/>
    <w:rsid w:val="00402301"/>
    <w:rsid w:val="00410965"/>
    <w:rsid w:val="004319F6"/>
    <w:rsid w:val="00436BFE"/>
    <w:rsid w:val="00497109"/>
    <w:rsid w:val="004A370E"/>
    <w:rsid w:val="004B4F1B"/>
    <w:rsid w:val="004F1ED8"/>
    <w:rsid w:val="00541100"/>
    <w:rsid w:val="005433D3"/>
    <w:rsid w:val="005927A8"/>
    <w:rsid w:val="005E3BF2"/>
    <w:rsid w:val="00625613"/>
    <w:rsid w:val="006B7BA9"/>
    <w:rsid w:val="006C11C5"/>
    <w:rsid w:val="006D4894"/>
    <w:rsid w:val="006D49D6"/>
    <w:rsid w:val="006F7CCA"/>
    <w:rsid w:val="00704192"/>
    <w:rsid w:val="0070608D"/>
    <w:rsid w:val="00765155"/>
    <w:rsid w:val="00781333"/>
    <w:rsid w:val="007927D5"/>
    <w:rsid w:val="007A4538"/>
    <w:rsid w:val="007C7F97"/>
    <w:rsid w:val="007E5E9F"/>
    <w:rsid w:val="007F0BAA"/>
    <w:rsid w:val="007F0CE4"/>
    <w:rsid w:val="007F7CE4"/>
    <w:rsid w:val="008040ED"/>
    <w:rsid w:val="00810503"/>
    <w:rsid w:val="00862777"/>
    <w:rsid w:val="0088119B"/>
    <w:rsid w:val="008D34AE"/>
    <w:rsid w:val="008D41ED"/>
    <w:rsid w:val="008D45E0"/>
    <w:rsid w:val="00991173"/>
    <w:rsid w:val="00991FC8"/>
    <w:rsid w:val="009A7B38"/>
    <w:rsid w:val="009E4841"/>
    <w:rsid w:val="009F72DC"/>
    <w:rsid w:val="009F7BB2"/>
    <w:rsid w:val="00A12F80"/>
    <w:rsid w:val="00A35014"/>
    <w:rsid w:val="00A61FB1"/>
    <w:rsid w:val="00A6462D"/>
    <w:rsid w:val="00A850D5"/>
    <w:rsid w:val="00AB1730"/>
    <w:rsid w:val="00AC68F2"/>
    <w:rsid w:val="00AD29D2"/>
    <w:rsid w:val="00AD6A3A"/>
    <w:rsid w:val="00B16E99"/>
    <w:rsid w:val="00B36A2A"/>
    <w:rsid w:val="00B4354E"/>
    <w:rsid w:val="00B93131"/>
    <w:rsid w:val="00BC1C3D"/>
    <w:rsid w:val="00BF7278"/>
    <w:rsid w:val="00C00686"/>
    <w:rsid w:val="00C03CCC"/>
    <w:rsid w:val="00C10141"/>
    <w:rsid w:val="00C21CE9"/>
    <w:rsid w:val="00C81E5B"/>
    <w:rsid w:val="00CC4499"/>
    <w:rsid w:val="00CF07CB"/>
    <w:rsid w:val="00D47E1E"/>
    <w:rsid w:val="00D52120"/>
    <w:rsid w:val="00D8136B"/>
    <w:rsid w:val="00E0076A"/>
    <w:rsid w:val="00E0466D"/>
    <w:rsid w:val="00E11A99"/>
    <w:rsid w:val="00E129A2"/>
    <w:rsid w:val="00E41C83"/>
    <w:rsid w:val="00E43652"/>
    <w:rsid w:val="00E46504"/>
    <w:rsid w:val="00EF3D22"/>
    <w:rsid w:val="00F014AF"/>
    <w:rsid w:val="00F129F3"/>
    <w:rsid w:val="00F3041E"/>
    <w:rsid w:val="00F56EEA"/>
    <w:rsid w:val="00F74E1E"/>
    <w:rsid w:val="00F845AE"/>
    <w:rsid w:val="00FF2001"/>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7447B"/>
  <w15:docId w15:val="{DBF09F03-F53C-334E-922A-032CA9FC0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3CC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61FB1"/>
    <w:pPr>
      <w:ind w:left="720"/>
      <w:contextualSpacing/>
    </w:pPr>
  </w:style>
  <w:style w:type="paragraph" w:styleId="FootnoteText">
    <w:name w:val="footnote text"/>
    <w:basedOn w:val="Normal"/>
    <w:link w:val="FootnoteTextChar"/>
    <w:uiPriority w:val="99"/>
    <w:semiHidden/>
    <w:unhideWhenUsed/>
    <w:rsid w:val="007060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608D"/>
    <w:rPr>
      <w:sz w:val="20"/>
      <w:szCs w:val="20"/>
    </w:rPr>
  </w:style>
  <w:style w:type="character" w:styleId="FootnoteReference">
    <w:name w:val="footnote reference"/>
    <w:basedOn w:val="DefaultParagraphFont"/>
    <w:uiPriority w:val="99"/>
    <w:semiHidden/>
    <w:unhideWhenUsed/>
    <w:rsid w:val="0070608D"/>
    <w:rPr>
      <w:vertAlign w:val="superscript"/>
    </w:rPr>
  </w:style>
  <w:style w:type="character" w:styleId="Emphasis">
    <w:name w:val="Emphasis"/>
    <w:basedOn w:val="DefaultParagraphFont"/>
    <w:uiPriority w:val="20"/>
    <w:qFormat/>
    <w:rsid w:val="00E43652"/>
    <w:rPr>
      <w:i/>
      <w:iCs/>
    </w:rPr>
  </w:style>
  <w:style w:type="paragraph" w:styleId="NoSpacing">
    <w:name w:val="No Spacing"/>
    <w:uiPriority w:val="1"/>
    <w:qFormat/>
    <w:rsid w:val="007F7CE4"/>
    <w:pPr>
      <w:spacing w:after="0" w:line="240" w:lineRule="auto"/>
    </w:pPr>
  </w:style>
  <w:style w:type="character" w:styleId="Hyperlink">
    <w:name w:val="Hyperlink"/>
    <w:basedOn w:val="DefaultParagraphFont"/>
    <w:uiPriority w:val="99"/>
    <w:semiHidden/>
    <w:unhideWhenUsed/>
    <w:rsid w:val="007F7CE4"/>
    <w:rPr>
      <w:rFonts w:cs="Times New Roman"/>
      <w:color w:val="0000FF"/>
      <w:u w:val="single"/>
    </w:rPr>
  </w:style>
  <w:style w:type="character" w:customStyle="1" w:styleId="st">
    <w:name w:val="st"/>
    <w:basedOn w:val="DefaultParagraphFont"/>
    <w:rsid w:val="007F7CE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13395">
      <w:bodyDiv w:val="1"/>
      <w:marLeft w:val="0"/>
      <w:marRight w:val="0"/>
      <w:marTop w:val="0"/>
      <w:marBottom w:val="0"/>
      <w:divBdr>
        <w:top w:val="none" w:sz="0" w:space="0" w:color="auto"/>
        <w:left w:val="none" w:sz="0" w:space="0" w:color="auto"/>
        <w:bottom w:val="none" w:sz="0" w:space="0" w:color="auto"/>
        <w:right w:val="none" w:sz="0" w:space="0" w:color="auto"/>
      </w:divBdr>
    </w:div>
    <w:div w:id="121774522">
      <w:bodyDiv w:val="1"/>
      <w:marLeft w:val="0"/>
      <w:marRight w:val="0"/>
      <w:marTop w:val="0"/>
      <w:marBottom w:val="0"/>
      <w:divBdr>
        <w:top w:val="none" w:sz="0" w:space="0" w:color="auto"/>
        <w:left w:val="none" w:sz="0" w:space="0" w:color="auto"/>
        <w:bottom w:val="none" w:sz="0" w:space="0" w:color="auto"/>
        <w:right w:val="none" w:sz="0" w:space="0" w:color="auto"/>
      </w:divBdr>
    </w:div>
    <w:div w:id="249895441">
      <w:bodyDiv w:val="1"/>
      <w:marLeft w:val="0"/>
      <w:marRight w:val="0"/>
      <w:marTop w:val="0"/>
      <w:marBottom w:val="0"/>
      <w:divBdr>
        <w:top w:val="none" w:sz="0" w:space="0" w:color="auto"/>
        <w:left w:val="none" w:sz="0" w:space="0" w:color="auto"/>
        <w:bottom w:val="none" w:sz="0" w:space="0" w:color="auto"/>
        <w:right w:val="none" w:sz="0" w:space="0" w:color="auto"/>
      </w:divBdr>
    </w:div>
    <w:div w:id="256839177">
      <w:bodyDiv w:val="1"/>
      <w:marLeft w:val="0"/>
      <w:marRight w:val="0"/>
      <w:marTop w:val="0"/>
      <w:marBottom w:val="0"/>
      <w:divBdr>
        <w:top w:val="none" w:sz="0" w:space="0" w:color="auto"/>
        <w:left w:val="none" w:sz="0" w:space="0" w:color="auto"/>
        <w:bottom w:val="none" w:sz="0" w:space="0" w:color="auto"/>
        <w:right w:val="none" w:sz="0" w:space="0" w:color="auto"/>
      </w:divBdr>
    </w:div>
    <w:div w:id="291139279">
      <w:bodyDiv w:val="1"/>
      <w:marLeft w:val="0"/>
      <w:marRight w:val="0"/>
      <w:marTop w:val="0"/>
      <w:marBottom w:val="0"/>
      <w:divBdr>
        <w:top w:val="none" w:sz="0" w:space="0" w:color="auto"/>
        <w:left w:val="none" w:sz="0" w:space="0" w:color="auto"/>
        <w:bottom w:val="none" w:sz="0" w:space="0" w:color="auto"/>
        <w:right w:val="none" w:sz="0" w:space="0" w:color="auto"/>
      </w:divBdr>
    </w:div>
    <w:div w:id="292519416">
      <w:bodyDiv w:val="1"/>
      <w:marLeft w:val="0"/>
      <w:marRight w:val="0"/>
      <w:marTop w:val="0"/>
      <w:marBottom w:val="0"/>
      <w:divBdr>
        <w:top w:val="none" w:sz="0" w:space="0" w:color="auto"/>
        <w:left w:val="none" w:sz="0" w:space="0" w:color="auto"/>
        <w:bottom w:val="none" w:sz="0" w:space="0" w:color="auto"/>
        <w:right w:val="none" w:sz="0" w:space="0" w:color="auto"/>
      </w:divBdr>
    </w:div>
    <w:div w:id="320500526">
      <w:bodyDiv w:val="1"/>
      <w:marLeft w:val="0"/>
      <w:marRight w:val="0"/>
      <w:marTop w:val="0"/>
      <w:marBottom w:val="0"/>
      <w:divBdr>
        <w:top w:val="none" w:sz="0" w:space="0" w:color="auto"/>
        <w:left w:val="none" w:sz="0" w:space="0" w:color="auto"/>
        <w:bottom w:val="none" w:sz="0" w:space="0" w:color="auto"/>
        <w:right w:val="none" w:sz="0" w:space="0" w:color="auto"/>
      </w:divBdr>
    </w:div>
    <w:div w:id="344982352">
      <w:bodyDiv w:val="1"/>
      <w:marLeft w:val="0"/>
      <w:marRight w:val="0"/>
      <w:marTop w:val="0"/>
      <w:marBottom w:val="0"/>
      <w:divBdr>
        <w:top w:val="none" w:sz="0" w:space="0" w:color="auto"/>
        <w:left w:val="none" w:sz="0" w:space="0" w:color="auto"/>
        <w:bottom w:val="none" w:sz="0" w:space="0" w:color="auto"/>
        <w:right w:val="none" w:sz="0" w:space="0" w:color="auto"/>
      </w:divBdr>
    </w:div>
    <w:div w:id="373507861">
      <w:bodyDiv w:val="1"/>
      <w:marLeft w:val="0"/>
      <w:marRight w:val="0"/>
      <w:marTop w:val="0"/>
      <w:marBottom w:val="0"/>
      <w:divBdr>
        <w:top w:val="none" w:sz="0" w:space="0" w:color="auto"/>
        <w:left w:val="none" w:sz="0" w:space="0" w:color="auto"/>
        <w:bottom w:val="none" w:sz="0" w:space="0" w:color="auto"/>
        <w:right w:val="none" w:sz="0" w:space="0" w:color="auto"/>
      </w:divBdr>
    </w:div>
    <w:div w:id="430392649">
      <w:bodyDiv w:val="1"/>
      <w:marLeft w:val="0"/>
      <w:marRight w:val="0"/>
      <w:marTop w:val="0"/>
      <w:marBottom w:val="0"/>
      <w:divBdr>
        <w:top w:val="none" w:sz="0" w:space="0" w:color="auto"/>
        <w:left w:val="none" w:sz="0" w:space="0" w:color="auto"/>
        <w:bottom w:val="none" w:sz="0" w:space="0" w:color="auto"/>
        <w:right w:val="none" w:sz="0" w:space="0" w:color="auto"/>
      </w:divBdr>
    </w:div>
    <w:div w:id="434249095">
      <w:bodyDiv w:val="1"/>
      <w:marLeft w:val="0"/>
      <w:marRight w:val="0"/>
      <w:marTop w:val="0"/>
      <w:marBottom w:val="0"/>
      <w:divBdr>
        <w:top w:val="none" w:sz="0" w:space="0" w:color="auto"/>
        <w:left w:val="none" w:sz="0" w:space="0" w:color="auto"/>
        <w:bottom w:val="none" w:sz="0" w:space="0" w:color="auto"/>
        <w:right w:val="none" w:sz="0" w:space="0" w:color="auto"/>
      </w:divBdr>
    </w:div>
    <w:div w:id="505442265">
      <w:bodyDiv w:val="1"/>
      <w:marLeft w:val="0"/>
      <w:marRight w:val="0"/>
      <w:marTop w:val="0"/>
      <w:marBottom w:val="0"/>
      <w:divBdr>
        <w:top w:val="none" w:sz="0" w:space="0" w:color="auto"/>
        <w:left w:val="none" w:sz="0" w:space="0" w:color="auto"/>
        <w:bottom w:val="none" w:sz="0" w:space="0" w:color="auto"/>
        <w:right w:val="none" w:sz="0" w:space="0" w:color="auto"/>
      </w:divBdr>
    </w:div>
    <w:div w:id="586959902">
      <w:bodyDiv w:val="1"/>
      <w:marLeft w:val="0"/>
      <w:marRight w:val="0"/>
      <w:marTop w:val="0"/>
      <w:marBottom w:val="0"/>
      <w:divBdr>
        <w:top w:val="none" w:sz="0" w:space="0" w:color="auto"/>
        <w:left w:val="none" w:sz="0" w:space="0" w:color="auto"/>
        <w:bottom w:val="none" w:sz="0" w:space="0" w:color="auto"/>
        <w:right w:val="none" w:sz="0" w:space="0" w:color="auto"/>
      </w:divBdr>
    </w:div>
    <w:div w:id="603804718">
      <w:bodyDiv w:val="1"/>
      <w:marLeft w:val="0"/>
      <w:marRight w:val="0"/>
      <w:marTop w:val="0"/>
      <w:marBottom w:val="0"/>
      <w:divBdr>
        <w:top w:val="none" w:sz="0" w:space="0" w:color="auto"/>
        <w:left w:val="none" w:sz="0" w:space="0" w:color="auto"/>
        <w:bottom w:val="none" w:sz="0" w:space="0" w:color="auto"/>
        <w:right w:val="none" w:sz="0" w:space="0" w:color="auto"/>
      </w:divBdr>
    </w:div>
    <w:div w:id="609703554">
      <w:bodyDiv w:val="1"/>
      <w:marLeft w:val="0"/>
      <w:marRight w:val="0"/>
      <w:marTop w:val="0"/>
      <w:marBottom w:val="0"/>
      <w:divBdr>
        <w:top w:val="none" w:sz="0" w:space="0" w:color="auto"/>
        <w:left w:val="none" w:sz="0" w:space="0" w:color="auto"/>
        <w:bottom w:val="none" w:sz="0" w:space="0" w:color="auto"/>
        <w:right w:val="none" w:sz="0" w:space="0" w:color="auto"/>
      </w:divBdr>
    </w:div>
    <w:div w:id="675497230">
      <w:bodyDiv w:val="1"/>
      <w:marLeft w:val="0"/>
      <w:marRight w:val="0"/>
      <w:marTop w:val="0"/>
      <w:marBottom w:val="0"/>
      <w:divBdr>
        <w:top w:val="none" w:sz="0" w:space="0" w:color="auto"/>
        <w:left w:val="none" w:sz="0" w:space="0" w:color="auto"/>
        <w:bottom w:val="none" w:sz="0" w:space="0" w:color="auto"/>
        <w:right w:val="none" w:sz="0" w:space="0" w:color="auto"/>
      </w:divBdr>
    </w:div>
    <w:div w:id="773281984">
      <w:bodyDiv w:val="1"/>
      <w:marLeft w:val="0"/>
      <w:marRight w:val="0"/>
      <w:marTop w:val="0"/>
      <w:marBottom w:val="0"/>
      <w:divBdr>
        <w:top w:val="none" w:sz="0" w:space="0" w:color="auto"/>
        <w:left w:val="none" w:sz="0" w:space="0" w:color="auto"/>
        <w:bottom w:val="none" w:sz="0" w:space="0" w:color="auto"/>
        <w:right w:val="none" w:sz="0" w:space="0" w:color="auto"/>
      </w:divBdr>
    </w:div>
    <w:div w:id="787966054">
      <w:bodyDiv w:val="1"/>
      <w:marLeft w:val="0"/>
      <w:marRight w:val="0"/>
      <w:marTop w:val="0"/>
      <w:marBottom w:val="0"/>
      <w:divBdr>
        <w:top w:val="none" w:sz="0" w:space="0" w:color="auto"/>
        <w:left w:val="none" w:sz="0" w:space="0" w:color="auto"/>
        <w:bottom w:val="none" w:sz="0" w:space="0" w:color="auto"/>
        <w:right w:val="none" w:sz="0" w:space="0" w:color="auto"/>
      </w:divBdr>
    </w:div>
    <w:div w:id="791750900">
      <w:bodyDiv w:val="1"/>
      <w:marLeft w:val="0"/>
      <w:marRight w:val="0"/>
      <w:marTop w:val="0"/>
      <w:marBottom w:val="0"/>
      <w:divBdr>
        <w:top w:val="none" w:sz="0" w:space="0" w:color="auto"/>
        <w:left w:val="none" w:sz="0" w:space="0" w:color="auto"/>
        <w:bottom w:val="none" w:sz="0" w:space="0" w:color="auto"/>
        <w:right w:val="none" w:sz="0" w:space="0" w:color="auto"/>
      </w:divBdr>
    </w:div>
    <w:div w:id="838696048">
      <w:bodyDiv w:val="1"/>
      <w:marLeft w:val="0"/>
      <w:marRight w:val="0"/>
      <w:marTop w:val="0"/>
      <w:marBottom w:val="0"/>
      <w:divBdr>
        <w:top w:val="none" w:sz="0" w:space="0" w:color="auto"/>
        <w:left w:val="none" w:sz="0" w:space="0" w:color="auto"/>
        <w:bottom w:val="none" w:sz="0" w:space="0" w:color="auto"/>
        <w:right w:val="none" w:sz="0" w:space="0" w:color="auto"/>
      </w:divBdr>
    </w:div>
    <w:div w:id="845828348">
      <w:bodyDiv w:val="1"/>
      <w:marLeft w:val="0"/>
      <w:marRight w:val="0"/>
      <w:marTop w:val="0"/>
      <w:marBottom w:val="0"/>
      <w:divBdr>
        <w:top w:val="none" w:sz="0" w:space="0" w:color="auto"/>
        <w:left w:val="none" w:sz="0" w:space="0" w:color="auto"/>
        <w:bottom w:val="none" w:sz="0" w:space="0" w:color="auto"/>
        <w:right w:val="none" w:sz="0" w:space="0" w:color="auto"/>
      </w:divBdr>
    </w:div>
    <w:div w:id="885604039">
      <w:bodyDiv w:val="1"/>
      <w:marLeft w:val="0"/>
      <w:marRight w:val="0"/>
      <w:marTop w:val="0"/>
      <w:marBottom w:val="0"/>
      <w:divBdr>
        <w:top w:val="none" w:sz="0" w:space="0" w:color="auto"/>
        <w:left w:val="none" w:sz="0" w:space="0" w:color="auto"/>
        <w:bottom w:val="none" w:sz="0" w:space="0" w:color="auto"/>
        <w:right w:val="none" w:sz="0" w:space="0" w:color="auto"/>
      </w:divBdr>
    </w:div>
    <w:div w:id="907805779">
      <w:bodyDiv w:val="1"/>
      <w:marLeft w:val="0"/>
      <w:marRight w:val="0"/>
      <w:marTop w:val="0"/>
      <w:marBottom w:val="0"/>
      <w:divBdr>
        <w:top w:val="none" w:sz="0" w:space="0" w:color="auto"/>
        <w:left w:val="none" w:sz="0" w:space="0" w:color="auto"/>
        <w:bottom w:val="none" w:sz="0" w:space="0" w:color="auto"/>
        <w:right w:val="none" w:sz="0" w:space="0" w:color="auto"/>
      </w:divBdr>
    </w:div>
    <w:div w:id="912013159">
      <w:bodyDiv w:val="1"/>
      <w:marLeft w:val="0"/>
      <w:marRight w:val="0"/>
      <w:marTop w:val="0"/>
      <w:marBottom w:val="0"/>
      <w:divBdr>
        <w:top w:val="none" w:sz="0" w:space="0" w:color="auto"/>
        <w:left w:val="none" w:sz="0" w:space="0" w:color="auto"/>
        <w:bottom w:val="none" w:sz="0" w:space="0" w:color="auto"/>
        <w:right w:val="none" w:sz="0" w:space="0" w:color="auto"/>
      </w:divBdr>
    </w:div>
    <w:div w:id="995457687">
      <w:bodyDiv w:val="1"/>
      <w:marLeft w:val="0"/>
      <w:marRight w:val="0"/>
      <w:marTop w:val="0"/>
      <w:marBottom w:val="0"/>
      <w:divBdr>
        <w:top w:val="none" w:sz="0" w:space="0" w:color="auto"/>
        <w:left w:val="none" w:sz="0" w:space="0" w:color="auto"/>
        <w:bottom w:val="none" w:sz="0" w:space="0" w:color="auto"/>
        <w:right w:val="none" w:sz="0" w:space="0" w:color="auto"/>
      </w:divBdr>
    </w:div>
    <w:div w:id="1080642933">
      <w:bodyDiv w:val="1"/>
      <w:marLeft w:val="0"/>
      <w:marRight w:val="0"/>
      <w:marTop w:val="0"/>
      <w:marBottom w:val="0"/>
      <w:divBdr>
        <w:top w:val="none" w:sz="0" w:space="0" w:color="auto"/>
        <w:left w:val="none" w:sz="0" w:space="0" w:color="auto"/>
        <w:bottom w:val="none" w:sz="0" w:space="0" w:color="auto"/>
        <w:right w:val="none" w:sz="0" w:space="0" w:color="auto"/>
      </w:divBdr>
    </w:div>
    <w:div w:id="1187134569">
      <w:bodyDiv w:val="1"/>
      <w:marLeft w:val="0"/>
      <w:marRight w:val="0"/>
      <w:marTop w:val="0"/>
      <w:marBottom w:val="0"/>
      <w:divBdr>
        <w:top w:val="none" w:sz="0" w:space="0" w:color="auto"/>
        <w:left w:val="none" w:sz="0" w:space="0" w:color="auto"/>
        <w:bottom w:val="none" w:sz="0" w:space="0" w:color="auto"/>
        <w:right w:val="none" w:sz="0" w:space="0" w:color="auto"/>
      </w:divBdr>
    </w:div>
    <w:div w:id="1236817529">
      <w:bodyDiv w:val="1"/>
      <w:marLeft w:val="0"/>
      <w:marRight w:val="0"/>
      <w:marTop w:val="0"/>
      <w:marBottom w:val="0"/>
      <w:divBdr>
        <w:top w:val="none" w:sz="0" w:space="0" w:color="auto"/>
        <w:left w:val="none" w:sz="0" w:space="0" w:color="auto"/>
        <w:bottom w:val="none" w:sz="0" w:space="0" w:color="auto"/>
        <w:right w:val="none" w:sz="0" w:space="0" w:color="auto"/>
      </w:divBdr>
    </w:div>
    <w:div w:id="1298678981">
      <w:bodyDiv w:val="1"/>
      <w:marLeft w:val="0"/>
      <w:marRight w:val="0"/>
      <w:marTop w:val="0"/>
      <w:marBottom w:val="0"/>
      <w:divBdr>
        <w:top w:val="none" w:sz="0" w:space="0" w:color="auto"/>
        <w:left w:val="none" w:sz="0" w:space="0" w:color="auto"/>
        <w:bottom w:val="none" w:sz="0" w:space="0" w:color="auto"/>
        <w:right w:val="none" w:sz="0" w:space="0" w:color="auto"/>
      </w:divBdr>
    </w:div>
    <w:div w:id="1301570452">
      <w:bodyDiv w:val="1"/>
      <w:marLeft w:val="0"/>
      <w:marRight w:val="0"/>
      <w:marTop w:val="0"/>
      <w:marBottom w:val="0"/>
      <w:divBdr>
        <w:top w:val="none" w:sz="0" w:space="0" w:color="auto"/>
        <w:left w:val="none" w:sz="0" w:space="0" w:color="auto"/>
        <w:bottom w:val="none" w:sz="0" w:space="0" w:color="auto"/>
        <w:right w:val="none" w:sz="0" w:space="0" w:color="auto"/>
      </w:divBdr>
    </w:div>
    <w:div w:id="1350566706">
      <w:bodyDiv w:val="1"/>
      <w:marLeft w:val="0"/>
      <w:marRight w:val="0"/>
      <w:marTop w:val="0"/>
      <w:marBottom w:val="0"/>
      <w:divBdr>
        <w:top w:val="none" w:sz="0" w:space="0" w:color="auto"/>
        <w:left w:val="none" w:sz="0" w:space="0" w:color="auto"/>
        <w:bottom w:val="none" w:sz="0" w:space="0" w:color="auto"/>
        <w:right w:val="none" w:sz="0" w:space="0" w:color="auto"/>
      </w:divBdr>
    </w:div>
    <w:div w:id="1362899813">
      <w:bodyDiv w:val="1"/>
      <w:marLeft w:val="0"/>
      <w:marRight w:val="0"/>
      <w:marTop w:val="0"/>
      <w:marBottom w:val="0"/>
      <w:divBdr>
        <w:top w:val="none" w:sz="0" w:space="0" w:color="auto"/>
        <w:left w:val="none" w:sz="0" w:space="0" w:color="auto"/>
        <w:bottom w:val="none" w:sz="0" w:space="0" w:color="auto"/>
        <w:right w:val="none" w:sz="0" w:space="0" w:color="auto"/>
      </w:divBdr>
    </w:div>
    <w:div w:id="1479614673">
      <w:bodyDiv w:val="1"/>
      <w:marLeft w:val="0"/>
      <w:marRight w:val="0"/>
      <w:marTop w:val="0"/>
      <w:marBottom w:val="0"/>
      <w:divBdr>
        <w:top w:val="none" w:sz="0" w:space="0" w:color="auto"/>
        <w:left w:val="none" w:sz="0" w:space="0" w:color="auto"/>
        <w:bottom w:val="none" w:sz="0" w:space="0" w:color="auto"/>
        <w:right w:val="none" w:sz="0" w:space="0" w:color="auto"/>
      </w:divBdr>
    </w:div>
    <w:div w:id="1577981401">
      <w:bodyDiv w:val="1"/>
      <w:marLeft w:val="0"/>
      <w:marRight w:val="0"/>
      <w:marTop w:val="0"/>
      <w:marBottom w:val="0"/>
      <w:divBdr>
        <w:top w:val="none" w:sz="0" w:space="0" w:color="auto"/>
        <w:left w:val="none" w:sz="0" w:space="0" w:color="auto"/>
        <w:bottom w:val="none" w:sz="0" w:space="0" w:color="auto"/>
        <w:right w:val="none" w:sz="0" w:space="0" w:color="auto"/>
      </w:divBdr>
    </w:div>
    <w:div w:id="1605188186">
      <w:bodyDiv w:val="1"/>
      <w:marLeft w:val="0"/>
      <w:marRight w:val="0"/>
      <w:marTop w:val="0"/>
      <w:marBottom w:val="0"/>
      <w:divBdr>
        <w:top w:val="none" w:sz="0" w:space="0" w:color="auto"/>
        <w:left w:val="none" w:sz="0" w:space="0" w:color="auto"/>
        <w:bottom w:val="none" w:sz="0" w:space="0" w:color="auto"/>
        <w:right w:val="none" w:sz="0" w:space="0" w:color="auto"/>
      </w:divBdr>
    </w:div>
    <w:div w:id="1661695655">
      <w:bodyDiv w:val="1"/>
      <w:marLeft w:val="0"/>
      <w:marRight w:val="0"/>
      <w:marTop w:val="0"/>
      <w:marBottom w:val="0"/>
      <w:divBdr>
        <w:top w:val="none" w:sz="0" w:space="0" w:color="auto"/>
        <w:left w:val="none" w:sz="0" w:space="0" w:color="auto"/>
        <w:bottom w:val="none" w:sz="0" w:space="0" w:color="auto"/>
        <w:right w:val="none" w:sz="0" w:space="0" w:color="auto"/>
      </w:divBdr>
    </w:div>
    <w:div w:id="1700742019">
      <w:bodyDiv w:val="1"/>
      <w:marLeft w:val="0"/>
      <w:marRight w:val="0"/>
      <w:marTop w:val="0"/>
      <w:marBottom w:val="0"/>
      <w:divBdr>
        <w:top w:val="none" w:sz="0" w:space="0" w:color="auto"/>
        <w:left w:val="none" w:sz="0" w:space="0" w:color="auto"/>
        <w:bottom w:val="none" w:sz="0" w:space="0" w:color="auto"/>
        <w:right w:val="none" w:sz="0" w:space="0" w:color="auto"/>
      </w:divBdr>
    </w:div>
    <w:div w:id="1771392049">
      <w:bodyDiv w:val="1"/>
      <w:marLeft w:val="0"/>
      <w:marRight w:val="0"/>
      <w:marTop w:val="0"/>
      <w:marBottom w:val="0"/>
      <w:divBdr>
        <w:top w:val="none" w:sz="0" w:space="0" w:color="auto"/>
        <w:left w:val="none" w:sz="0" w:space="0" w:color="auto"/>
        <w:bottom w:val="none" w:sz="0" w:space="0" w:color="auto"/>
        <w:right w:val="none" w:sz="0" w:space="0" w:color="auto"/>
      </w:divBdr>
    </w:div>
    <w:div w:id="1819574270">
      <w:bodyDiv w:val="1"/>
      <w:marLeft w:val="0"/>
      <w:marRight w:val="0"/>
      <w:marTop w:val="0"/>
      <w:marBottom w:val="0"/>
      <w:divBdr>
        <w:top w:val="none" w:sz="0" w:space="0" w:color="auto"/>
        <w:left w:val="none" w:sz="0" w:space="0" w:color="auto"/>
        <w:bottom w:val="none" w:sz="0" w:space="0" w:color="auto"/>
        <w:right w:val="none" w:sz="0" w:space="0" w:color="auto"/>
      </w:divBdr>
    </w:div>
    <w:div w:id="1830168641">
      <w:bodyDiv w:val="1"/>
      <w:marLeft w:val="0"/>
      <w:marRight w:val="0"/>
      <w:marTop w:val="0"/>
      <w:marBottom w:val="0"/>
      <w:divBdr>
        <w:top w:val="none" w:sz="0" w:space="0" w:color="auto"/>
        <w:left w:val="none" w:sz="0" w:space="0" w:color="auto"/>
        <w:bottom w:val="none" w:sz="0" w:space="0" w:color="auto"/>
        <w:right w:val="none" w:sz="0" w:space="0" w:color="auto"/>
      </w:divBdr>
    </w:div>
    <w:div w:id="1845513522">
      <w:bodyDiv w:val="1"/>
      <w:marLeft w:val="0"/>
      <w:marRight w:val="0"/>
      <w:marTop w:val="0"/>
      <w:marBottom w:val="0"/>
      <w:divBdr>
        <w:top w:val="none" w:sz="0" w:space="0" w:color="auto"/>
        <w:left w:val="none" w:sz="0" w:space="0" w:color="auto"/>
        <w:bottom w:val="none" w:sz="0" w:space="0" w:color="auto"/>
        <w:right w:val="none" w:sz="0" w:space="0" w:color="auto"/>
      </w:divBdr>
    </w:div>
    <w:div w:id="1863663423">
      <w:bodyDiv w:val="1"/>
      <w:marLeft w:val="0"/>
      <w:marRight w:val="0"/>
      <w:marTop w:val="0"/>
      <w:marBottom w:val="0"/>
      <w:divBdr>
        <w:top w:val="none" w:sz="0" w:space="0" w:color="auto"/>
        <w:left w:val="none" w:sz="0" w:space="0" w:color="auto"/>
        <w:bottom w:val="none" w:sz="0" w:space="0" w:color="auto"/>
        <w:right w:val="none" w:sz="0" w:space="0" w:color="auto"/>
      </w:divBdr>
    </w:div>
    <w:div w:id="1886454159">
      <w:bodyDiv w:val="1"/>
      <w:marLeft w:val="0"/>
      <w:marRight w:val="0"/>
      <w:marTop w:val="0"/>
      <w:marBottom w:val="0"/>
      <w:divBdr>
        <w:top w:val="none" w:sz="0" w:space="0" w:color="auto"/>
        <w:left w:val="none" w:sz="0" w:space="0" w:color="auto"/>
        <w:bottom w:val="none" w:sz="0" w:space="0" w:color="auto"/>
        <w:right w:val="none" w:sz="0" w:space="0" w:color="auto"/>
      </w:divBdr>
    </w:div>
    <w:div w:id="1903059087">
      <w:bodyDiv w:val="1"/>
      <w:marLeft w:val="0"/>
      <w:marRight w:val="0"/>
      <w:marTop w:val="0"/>
      <w:marBottom w:val="0"/>
      <w:divBdr>
        <w:top w:val="none" w:sz="0" w:space="0" w:color="auto"/>
        <w:left w:val="none" w:sz="0" w:space="0" w:color="auto"/>
        <w:bottom w:val="none" w:sz="0" w:space="0" w:color="auto"/>
        <w:right w:val="none" w:sz="0" w:space="0" w:color="auto"/>
      </w:divBdr>
    </w:div>
    <w:div w:id="1981568292">
      <w:bodyDiv w:val="1"/>
      <w:marLeft w:val="0"/>
      <w:marRight w:val="0"/>
      <w:marTop w:val="0"/>
      <w:marBottom w:val="0"/>
      <w:divBdr>
        <w:top w:val="none" w:sz="0" w:space="0" w:color="auto"/>
        <w:left w:val="none" w:sz="0" w:space="0" w:color="auto"/>
        <w:bottom w:val="none" w:sz="0" w:space="0" w:color="auto"/>
        <w:right w:val="none" w:sz="0" w:space="0" w:color="auto"/>
      </w:divBdr>
    </w:div>
    <w:div w:id="1984575102">
      <w:bodyDiv w:val="1"/>
      <w:marLeft w:val="0"/>
      <w:marRight w:val="0"/>
      <w:marTop w:val="0"/>
      <w:marBottom w:val="0"/>
      <w:divBdr>
        <w:top w:val="none" w:sz="0" w:space="0" w:color="auto"/>
        <w:left w:val="none" w:sz="0" w:space="0" w:color="auto"/>
        <w:bottom w:val="none" w:sz="0" w:space="0" w:color="auto"/>
        <w:right w:val="none" w:sz="0" w:space="0" w:color="auto"/>
      </w:divBdr>
    </w:div>
    <w:div w:id="2014526474">
      <w:bodyDiv w:val="1"/>
      <w:marLeft w:val="0"/>
      <w:marRight w:val="0"/>
      <w:marTop w:val="0"/>
      <w:marBottom w:val="0"/>
      <w:divBdr>
        <w:top w:val="none" w:sz="0" w:space="0" w:color="auto"/>
        <w:left w:val="none" w:sz="0" w:space="0" w:color="auto"/>
        <w:bottom w:val="none" w:sz="0" w:space="0" w:color="auto"/>
        <w:right w:val="none" w:sz="0" w:space="0" w:color="auto"/>
      </w:divBdr>
    </w:div>
    <w:div w:id="2113159058">
      <w:bodyDiv w:val="1"/>
      <w:marLeft w:val="0"/>
      <w:marRight w:val="0"/>
      <w:marTop w:val="0"/>
      <w:marBottom w:val="0"/>
      <w:divBdr>
        <w:top w:val="none" w:sz="0" w:space="0" w:color="auto"/>
        <w:left w:val="none" w:sz="0" w:space="0" w:color="auto"/>
        <w:bottom w:val="none" w:sz="0" w:space="0" w:color="auto"/>
        <w:right w:val="none" w:sz="0" w:space="0" w:color="auto"/>
      </w:divBdr>
    </w:div>
    <w:div w:id="2119136934">
      <w:bodyDiv w:val="1"/>
      <w:marLeft w:val="0"/>
      <w:marRight w:val="0"/>
      <w:marTop w:val="0"/>
      <w:marBottom w:val="0"/>
      <w:divBdr>
        <w:top w:val="none" w:sz="0" w:space="0" w:color="auto"/>
        <w:left w:val="none" w:sz="0" w:space="0" w:color="auto"/>
        <w:bottom w:val="none" w:sz="0" w:space="0" w:color="auto"/>
        <w:right w:val="none" w:sz="0" w:space="0" w:color="auto"/>
      </w:divBdr>
    </w:div>
    <w:div w:id="212403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7218-392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FC77E-48FA-4B7A-808A-47F650E02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3928</Words>
  <Characters>22394</Characters>
  <Application>Microsoft Office Word</Application>
  <DocSecurity>0</DocSecurity>
  <Lines>186</Lines>
  <Paragraphs>52</Paragraphs>
  <ScaleCrop>false</ScaleCrop>
  <HeadingPairs>
    <vt:vector size="2" baseType="variant">
      <vt:variant>
        <vt:lpstr>Tytuł</vt:lpstr>
      </vt:variant>
      <vt:variant>
        <vt:i4>1</vt:i4>
      </vt:variant>
    </vt:vector>
  </HeadingPairs>
  <TitlesOfParts>
    <vt:vector size="1" baseType="lpstr">
      <vt:lpstr/>
    </vt:vector>
  </TitlesOfParts>
  <Company>trans</Company>
  <LinksUpToDate>false</LinksUpToDate>
  <CharactersWithSpaces>26270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Rysiek jach</dc:creator>
  <cp:lastModifiedBy>Bożena Futoma-Kołoch</cp:lastModifiedBy>
  <cp:revision>3</cp:revision>
  <dcterms:created xsi:type="dcterms:W3CDTF">2026-03-30T19:17:00Z</dcterms:created>
  <dcterms:modified xsi:type="dcterms:W3CDTF">2026-07-07T12:09:00Z</dcterms:modified>
</cp:coreProperties>
</file>