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D3" w:rsidRPr="004D125D" w:rsidRDefault="004D125D" w:rsidP="006647D3">
      <w:pPr>
        <w:pStyle w:val="Bezodstpw"/>
        <w:rPr>
          <w:rFonts w:ascii="Times New Roman" w:hAnsi="Times New Roman" w:cs="Times New Roman"/>
          <w:u w:val="single"/>
        </w:rPr>
      </w:pPr>
      <w:bookmarkStart w:id="0" w:name="_GoBack"/>
      <w:bookmarkEnd w:id="0"/>
      <w:r w:rsidRPr="004D125D">
        <w:rPr>
          <w:rFonts w:ascii="Times New Roman" w:hAnsi="Times New Roman" w:cs="Times New Roman"/>
          <w:u w:val="single"/>
        </w:rPr>
        <w:t xml:space="preserve">KS. GIULIO MASPERO </w:t>
      </w:r>
    </w:p>
    <w:p w:rsidR="006647D3" w:rsidRDefault="006647D3" w:rsidP="006647D3">
      <w:pPr>
        <w:pStyle w:val="Bezodstpw"/>
        <w:rPr>
          <w:rFonts w:ascii="Times New Roman" w:eastAsia="Times New Roman" w:hAnsi="Times New Roman" w:cs="Times New Roman"/>
          <w:bCs/>
          <w:lang w:eastAsia="fr-FR" w:bidi="fr-FR"/>
        </w:rPr>
      </w:pPr>
      <w:r w:rsidRPr="006647D3">
        <w:rPr>
          <w:rFonts w:ascii="Times New Roman" w:eastAsia="Times New Roman" w:hAnsi="Times New Roman" w:cs="Times New Roman"/>
          <w:bCs/>
          <w:lang w:eastAsia="fr-FR" w:bidi="fr-FR"/>
        </w:rPr>
        <w:t>Pontifical University of the Holy Cross, Rome, Italy</w:t>
      </w:r>
    </w:p>
    <w:p w:rsidR="00D155EC" w:rsidRPr="00D155EC" w:rsidRDefault="00D155EC" w:rsidP="006647D3">
      <w:pPr>
        <w:pStyle w:val="Bezodstpw"/>
        <w:rPr>
          <w:rFonts w:ascii="Times New Roman" w:eastAsia="Times New Roman" w:hAnsi="Times New Roman" w:cs="Times New Roman"/>
          <w:bCs/>
          <w:lang w:val="de-AT" w:eastAsia="fr-FR" w:bidi="fr-FR"/>
        </w:rPr>
      </w:pPr>
      <w:proofErr w:type="spellStart"/>
      <w:r w:rsidRPr="00D155EC">
        <w:rPr>
          <w:rFonts w:ascii="Times New Roman" w:eastAsia="Times New Roman" w:hAnsi="Times New Roman" w:cs="Times New Roman"/>
          <w:bCs/>
          <w:lang w:val="de-AT" w:eastAsia="fr-FR" w:bidi="fr-FR"/>
        </w:rPr>
        <w:t>e-mail</w:t>
      </w:r>
      <w:proofErr w:type="spellEnd"/>
      <w:r w:rsidRPr="00D155EC">
        <w:rPr>
          <w:rFonts w:ascii="Times New Roman" w:eastAsia="Times New Roman" w:hAnsi="Times New Roman" w:cs="Times New Roman"/>
          <w:bCs/>
          <w:lang w:val="de-AT" w:eastAsia="fr-FR" w:bidi="fr-FR"/>
        </w:rPr>
        <w:t xml:space="preserve">: </w:t>
      </w:r>
      <w:hyperlink r:id="rId8" w:history="1">
        <w:r w:rsidRPr="00D155EC">
          <w:rPr>
            <w:rStyle w:val="Hipercze"/>
            <w:rFonts w:ascii="Times New Roman" w:hAnsi="Times New Roman" w:cs="Times New Roman"/>
            <w:color w:val="auto"/>
            <w:sz w:val="22"/>
            <w:szCs w:val="22"/>
            <w:shd w:val="clear" w:color="auto" w:fill="FFFFFF"/>
            <w:lang w:val="de-AT"/>
          </w:rPr>
          <w:t>maspero@pusc.it</w:t>
        </w:r>
      </w:hyperlink>
    </w:p>
    <w:p w:rsidR="00D155EC" w:rsidRPr="00D155EC" w:rsidRDefault="00D155EC" w:rsidP="006647D3">
      <w:pPr>
        <w:pStyle w:val="Bezodstpw"/>
        <w:rPr>
          <w:rFonts w:ascii="Times New Roman" w:eastAsia="Times New Roman" w:hAnsi="Times New Roman" w:cs="Times New Roman"/>
          <w:bCs/>
          <w:lang w:val="de-AT" w:eastAsia="fr-FR" w:bidi="fr-FR"/>
        </w:rPr>
      </w:pPr>
      <w:r w:rsidRPr="00D155EC">
        <w:rPr>
          <w:rFonts w:ascii="Times New Roman" w:eastAsia="Times New Roman" w:hAnsi="Times New Roman" w:cs="Times New Roman"/>
          <w:bCs/>
          <w:lang w:val="de-AT" w:eastAsia="fr-FR" w:bidi="fr-FR"/>
        </w:rPr>
        <w:t xml:space="preserve">ORCID: </w:t>
      </w:r>
      <w:hyperlink r:id="rId9" w:history="1">
        <w:r w:rsidRPr="00C57BB9">
          <w:rPr>
            <w:rStyle w:val="Hipercze"/>
            <w:rFonts w:ascii="Times New Roman" w:hAnsi="Times New Roman" w:cs="Times New Roman"/>
            <w:color w:val="auto"/>
            <w:lang w:val="de-AT"/>
          </w:rPr>
          <w:t>0000-0001-6827-4436</w:t>
        </w:r>
      </w:hyperlink>
    </w:p>
    <w:p w:rsidR="00D155EC" w:rsidRDefault="00D155EC" w:rsidP="006647D3">
      <w:pPr>
        <w:pStyle w:val="Bezodstpw"/>
        <w:rPr>
          <w:rFonts w:ascii="Times New Roman" w:eastAsia="Times New Roman" w:hAnsi="Times New Roman" w:cs="Times New Roman"/>
          <w:bCs/>
          <w:lang w:eastAsia="fr-FR" w:bidi="fr-FR"/>
        </w:rPr>
      </w:pPr>
      <w:r>
        <w:rPr>
          <w:rFonts w:ascii="Times New Roman" w:eastAsia="Times New Roman" w:hAnsi="Times New Roman" w:cs="Times New Roman"/>
          <w:bCs/>
          <w:lang w:eastAsia="fr-FR" w:bidi="fr-FR"/>
        </w:rPr>
        <w:t>DOI:</w:t>
      </w:r>
    </w:p>
    <w:p w:rsidR="006647D3" w:rsidRDefault="006647D3" w:rsidP="006647D3">
      <w:pPr>
        <w:pStyle w:val="Bezodstpw"/>
        <w:rPr>
          <w:rFonts w:ascii="Times New Roman" w:eastAsia="Times New Roman" w:hAnsi="Times New Roman" w:cs="Times New Roman"/>
          <w:bCs/>
          <w:lang w:eastAsia="fr-FR" w:bidi="fr-F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19665D" w:rsidRPr="0019665D" w:rsidTr="009475B4">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rsidR="0019665D" w:rsidRPr="0019665D" w:rsidRDefault="0019665D" w:rsidP="009475B4">
            <w:pPr>
              <w:pStyle w:val="Bezodstpw"/>
              <w:jc w:val="center"/>
              <w:rPr>
                <w:rFonts w:ascii="Times New Roman" w:hAnsi="Times New Roman" w:cs="Times New Roman"/>
                <w:sz w:val="20"/>
                <w:szCs w:val="20"/>
              </w:rPr>
            </w:pPr>
            <w:r w:rsidRPr="0019665D">
              <w:rPr>
                <w:rFonts w:ascii="Times New Roman" w:hAnsi="Times New Roman" w:cs="Times New Roman"/>
                <w:sz w:val="20"/>
                <w:szCs w:val="20"/>
              </w:rPr>
              <w:br/>
            </w:r>
            <w:r>
              <w:rPr>
                <w:rFonts w:ascii="Times New Roman" w:hAnsi="Times New Roman" w:cs="Times New Roman"/>
                <w:sz w:val="20"/>
                <w:szCs w:val="20"/>
              </w:rPr>
              <w:t>Communio 45(2025)4</w:t>
            </w:r>
            <w:r w:rsidRPr="0019665D">
              <w:rPr>
                <w:rFonts w:ascii="Times New Roman" w:hAnsi="Times New Roman" w:cs="Times New Roman"/>
                <w:sz w:val="20"/>
                <w:szCs w:val="20"/>
              </w:rPr>
              <w:t>, s. 2-2</w:t>
            </w:r>
          </w:p>
        </w:tc>
      </w:tr>
    </w:tbl>
    <w:p w:rsidR="0019665D" w:rsidRDefault="0019665D" w:rsidP="0019665D">
      <w:pPr>
        <w:pStyle w:val="Bezodstpw"/>
      </w:pPr>
    </w:p>
    <w:p w:rsidR="006647D3" w:rsidRPr="006647D3" w:rsidRDefault="006647D3" w:rsidP="006647D3">
      <w:pPr>
        <w:pStyle w:val="Bezodstpw"/>
        <w:rPr>
          <w:rFonts w:ascii="Times New Roman" w:hAnsi="Times New Roman" w:cs="Times New Roman"/>
          <w:bCs/>
        </w:rPr>
      </w:pPr>
    </w:p>
    <w:p w:rsidR="00765208" w:rsidRPr="006647D3" w:rsidRDefault="00765208" w:rsidP="006647D3">
      <w:pPr>
        <w:pStyle w:val="FirstParagraph"/>
        <w:jc w:val="center"/>
        <w:rPr>
          <w:rFonts w:ascii="Times New Roman" w:eastAsia="Times New Roman" w:hAnsi="Times New Roman" w:cs="Times New Roman"/>
          <w:b/>
          <w:lang w:val="pl-PL" w:eastAsia="fr-FR" w:bidi="fr-FR"/>
        </w:rPr>
      </w:pPr>
      <w:r w:rsidRPr="006647D3">
        <w:rPr>
          <w:rFonts w:ascii="Times New Roman" w:eastAsia="Times New Roman" w:hAnsi="Times New Roman" w:cs="Times New Roman"/>
          <w:b/>
          <w:lang w:val="pl-PL" w:eastAsia="fr-FR" w:bidi="fr-FR"/>
        </w:rPr>
        <w:t>Hellenizacja wiary czy wykorzystanie (</w:t>
      </w:r>
      <w:proofErr w:type="spellStart"/>
      <w:r w:rsidRPr="006647D3">
        <w:rPr>
          <w:rFonts w:ascii="Times New Roman" w:eastAsia="Times New Roman" w:hAnsi="Times New Roman" w:cs="Times New Roman"/>
          <w:b/>
          <w:i/>
          <w:iCs/>
          <w:lang w:val="pl-PL" w:eastAsia="fr-FR" w:bidi="fr-FR"/>
        </w:rPr>
        <w:t>chrêsis</w:t>
      </w:r>
      <w:proofErr w:type="spellEnd"/>
      <w:r w:rsidRPr="006647D3">
        <w:rPr>
          <w:rFonts w:ascii="Times New Roman" w:eastAsia="Times New Roman" w:hAnsi="Times New Roman" w:cs="Times New Roman"/>
          <w:b/>
          <w:lang w:val="pl-PL" w:eastAsia="fr-FR" w:bidi="fr-FR"/>
        </w:rPr>
        <w:t>) filozofii w Nicei?</w:t>
      </w:r>
    </w:p>
    <w:p w:rsidR="006647D3" w:rsidRPr="006647D3" w:rsidRDefault="006647D3" w:rsidP="006647D3">
      <w:pPr>
        <w:pStyle w:val="Tekstpodstawowy"/>
        <w:jc w:val="center"/>
        <w:rPr>
          <w:rFonts w:ascii="Times New Roman" w:hAnsi="Times New Roman" w:cs="Times New Roman"/>
          <w:b/>
          <w:bCs/>
          <w:lang w:eastAsia="fr-FR" w:bidi="fr-FR"/>
        </w:rPr>
      </w:pPr>
      <w:r w:rsidRPr="006647D3">
        <w:rPr>
          <w:rFonts w:ascii="Times New Roman" w:hAnsi="Times New Roman" w:cs="Times New Roman"/>
          <w:b/>
          <w:bCs/>
          <w:lang w:eastAsia="fr-FR" w:bidi="fr-FR"/>
        </w:rPr>
        <w:t>Hellenization of faith or the use (</w:t>
      </w:r>
      <w:proofErr w:type="spellStart"/>
      <w:r w:rsidRPr="006647D3">
        <w:rPr>
          <w:rFonts w:ascii="Times New Roman" w:hAnsi="Times New Roman" w:cs="Times New Roman"/>
          <w:b/>
          <w:bCs/>
          <w:i/>
          <w:iCs/>
          <w:lang w:eastAsia="fr-FR" w:bidi="fr-FR"/>
        </w:rPr>
        <w:t>chrêsis</w:t>
      </w:r>
      <w:proofErr w:type="spellEnd"/>
      <w:r w:rsidRPr="006647D3">
        <w:rPr>
          <w:rFonts w:ascii="Times New Roman" w:hAnsi="Times New Roman" w:cs="Times New Roman"/>
          <w:b/>
          <w:bCs/>
          <w:lang w:eastAsia="fr-FR" w:bidi="fr-FR"/>
        </w:rPr>
        <w:t>) of philosophy at Nicaea?</w:t>
      </w:r>
    </w:p>
    <w:p w:rsidR="00E6136D" w:rsidRPr="006647D3" w:rsidRDefault="008727F0" w:rsidP="006647D3">
      <w:pPr>
        <w:pStyle w:val="FirstParagraph"/>
        <w:jc w:val="center"/>
        <w:rPr>
          <w:rFonts w:ascii="Times New Roman" w:eastAsia="Times New Roman" w:hAnsi="Times New Roman" w:cs="Times New Roman"/>
          <w:lang w:val="fr-FR" w:eastAsia="fr-FR" w:bidi="fr-FR"/>
        </w:rPr>
      </w:pPr>
      <w:r w:rsidRPr="006647D3">
        <w:rPr>
          <w:rFonts w:ascii="Times New Roman" w:eastAsia="Times New Roman" w:hAnsi="Times New Roman" w:cs="Times New Roman"/>
          <w:b/>
          <w:lang w:val="fr-FR" w:eastAsia="fr-FR" w:bidi="fr-FR"/>
        </w:rPr>
        <w:t>Hellénisation de la foi ou utilisation (</w:t>
      </w:r>
      <w:r w:rsidRPr="006647D3">
        <w:rPr>
          <w:rFonts w:ascii="Times New Roman" w:eastAsia="Times New Roman" w:hAnsi="Times New Roman" w:cs="Times New Roman"/>
          <w:b/>
          <w:i/>
          <w:lang w:val="fr-FR" w:eastAsia="fr-FR" w:bidi="fr-FR"/>
        </w:rPr>
        <w:t>chrêsis)</w:t>
      </w:r>
      <w:r w:rsidRPr="006647D3">
        <w:rPr>
          <w:rFonts w:ascii="Times New Roman" w:eastAsia="Times New Roman" w:hAnsi="Times New Roman" w:cs="Times New Roman"/>
          <w:b/>
          <w:lang w:val="fr-FR" w:eastAsia="fr-FR" w:bidi="fr-FR"/>
        </w:rPr>
        <w:t xml:space="preserve"> de la philosophie à Nicée </w:t>
      </w:r>
      <w:r w:rsidRPr="006647D3">
        <w:rPr>
          <w:rFonts w:ascii="Times New Roman" w:eastAsia="Times New Roman" w:hAnsi="Times New Roman" w:cs="Times New Roman"/>
          <w:lang w:val="fr-FR" w:eastAsia="fr-FR" w:bidi="fr-FR"/>
        </w:rPr>
        <w:t>?</w:t>
      </w:r>
    </w:p>
    <w:p w:rsidR="00D155EC" w:rsidRPr="00D155EC" w:rsidRDefault="00D155EC" w:rsidP="00D155EC">
      <w:pPr>
        <w:pStyle w:val="Bezodstpw"/>
        <w:jc w:val="center"/>
        <w:rPr>
          <w:rFonts w:ascii="Times New Roman" w:hAnsi="Times New Roman" w:cs="Times New Roman"/>
          <w:b/>
          <w:bCs/>
          <w:sz w:val="20"/>
          <w:szCs w:val="20"/>
        </w:rPr>
      </w:pPr>
      <w:r w:rsidRPr="00D155EC">
        <w:rPr>
          <w:rFonts w:ascii="Times New Roman" w:hAnsi="Times New Roman" w:cs="Times New Roman"/>
          <w:b/>
          <w:bCs/>
          <w:sz w:val="20"/>
          <w:szCs w:val="20"/>
        </w:rPr>
        <w:t>Abstract</w:t>
      </w:r>
    </w:p>
    <w:p w:rsidR="00D155EC" w:rsidRPr="00D155EC" w:rsidRDefault="00D155EC" w:rsidP="0019665D">
      <w:pPr>
        <w:pStyle w:val="Bezodstpw"/>
        <w:jc w:val="both"/>
        <w:rPr>
          <w:rFonts w:ascii="Times New Roman" w:hAnsi="Times New Roman" w:cs="Times New Roman"/>
          <w:sz w:val="20"/>
          <w:szCs w:val="20"/>
        </w:rPr>
      </w:pPr>
      <w:r w:rsidRPr="00D155EC">
        <w:rPr>
          <w:rFonts w:ascii="Times New Roman" w:hAnsi="Times New Roman" w:cs="Times New Roman"/>
          <w:sz w:val="20"/>
          <w:szCs w:val="20"/>
        </w:rPr>
        <w:t xml:space="preserve">On the occasion of the 1700th anniversary of the Council of Nicaea, the question arises anew that has deeply influenced the theology developed in modern times: did the Council of 325, by invoking </w:t>
      </w:r>
      <w:proofErr w:type="spellStart"/>
      <w:r w:rsidRPr="00D155EC">
        <w:rPr>
          <w:rFonts w:ascii="Times New Roman" w:hAnsi="Times New Roman" w:cs="Times New Roman"/>
          <w:sz w:val="20"/>
          <w:szCs w:val="20"/>
        </w:rPr>
        <w:t>homoousios</w:t>
      </w:r>
      <w:proofErr w:type="spellEnd"/>
      <w:r w:rsidRPr="00D155EC">
        <w:rPr>
          <w:rFonts w:ascii="Times New Roman" w:hAnsi="Times New Roman" w:cs="Times New Roman"/>
          <w:sz w:val="20"/>
          <w:szCs w:val="20"/>
        </w:rPr>
        <w:t xml:space="preserve">, Hellenize the biblical faith, thus corrupting its purity? The thesis that answers this question affirmatively, supported by prominent scholars such as Adolf von </w:t>
      </w:r>
      <w:proofErr w:type="spellStart"/>
      <w:r w:rsidRPr="00D155EC">
        <w:rPr>
          <w:rFonts w:ascii="Times New Roman" w:hAnsi="Times New Roman" w:cs="Times New Roman"/>
          <w:sz w:val="20"/>
          <w:szCs w:val="20"/>
        </w:rPr>
        <w:t>Harnack</w:t>
      </w:r>
      <w:proofErr w:type="spellEnd"/>
      <w:r w:rsidRPr="00D155EC">
        <w:rPr>
          <w:rFonts w:ascii="Times New Roman" w:hAnsi="Times New Roman" w:cs="Times New Roman"/>
          <w:sz w:val="20"/>
          <w:szCs w:val="20"/>
        </w:rPr>
        <w:t xml:space="preserve">, can now be reconsidered in light of the perspective provided by over a century of research in the new postmodern context. For example, the works of </w:t>
      </w:r>
      <w:proofErr w:type="spellStart"/>
      <w:r w:rsidRPr="00D155EC">
        <w:rPr>
          <w:rFonts w:ascii="Times New Roman" w:hAnsi="Times New Roman" w:cs="Times New Roman"/>
          <w:sz w:val="20"/>
          <w:szCs w:val="20"/>
        </w:rPr>
        <w:t>Alois</w:t>
      </w:r>
      <w:proofErr w:type="spellEnd"/>
      <w:r w:rsidRPr="00D155EC">
        <w:rPr>
          <w:rFonts w:ascii="Times New Roman" w:hAnsi="Times New Roman" w:cs="Times New Roman"/>
          <w:sz w:val="20"/>
          <w:szCs w:val="20"/>
        </w:rPr>
        <w:t xml:space="preserve"> </w:t>
      </w:r>
      <w:proofErr w:type="spellStart"/>
      <w:r w:rsidRPr="00D155EC">
        <w:rPr>
          <w:rFonts w:ascii="Times New Roman" w:hAnsi="Times New Roman" w:cs="Times New Roman"/>
          <w:sz w:val="20"/>
          <w:szCs w:val="20"/>
        </w:rPr>
        <w:t>Grillmeier</w:t>
      </w:r>
      <w:proofErr w:type="spellEnd"/>
      <w:r w:rsidRPr="00D155EC">
        <w:rPr>
          <w:rFonts w:ascii="Times New Roman" w:hAnsi="Times New Roman" w:cs="Times New Roman"/>
          <w:sz w:val="20"/>
          <w:szCs w:val="20"/>
        </w:rPr>
        <w:t xml:space="preserve"> provide a solid contribution to a negative answer regarding the alleged Hellenization of Christianity at Nicaea. He particularly emphasizes the difficulties that Middle Platonic philosophers had in accepting the incarnation of the Word. Even the historical context reveals a disruptive element that occurred about twenty years before the Council and would suggest exactly the opposite result from what von </w:t>
      </w:r>
      <w:proofErr w:type="spellStart"/>
      <w:r w:rsidRPr="00D155EC">
        <w:rPr>
          <w:rFonts w:ascii="Times New Roman" w:hAnsi="Times New Roman" w:cs="Times New Roman"/>
          <w:sz w:val="20"/>
          <w:szCs w:val="20"/>
        </w:rPr>
        <w:t>Harnack</w:t>
      </w:r>
      <w:proofErr w:type="spellEnd"/>
      <w:r w:rsidRPr="00D155EC">
        <w:rPr>
          <w:rFonts w:ascii="Times New Roman" w:hAnsi="Times New Roman" w:cs="Times New Roman"/>
          <w:sz w:val="20"/>
          <w:szCs w:val="20"/>
        </w:rPr>
        <w:t xml:space="preserve"> proposed. Indeed, with Neoplatonism, the tension between the philosophical and Christian worlds intensified. The author emphasizes that </w:t>
      </w:r>
      <w:proofErr w:type="spellStart"/>
      <w:r w:rsidRPr="00D155EC">
        <w:rPr>
          <w:rFonts w:ascii="Times New Roman" w:hAnsi="Times New Roman" w:cs="Times New Roman"/>
          <w:sz w:val="20"/>
          <w:szCs w:val="20"/>
        </w:rPr>
        <w:t>Grillmeier's</w:t>
      </w:r>
      <w:proofErr w:type="spellEnd"/>
      <w:r w:rsidRPr="00D155EC">
        <w:rPr>
          <w:rFonts w:ascii="Times New Roman" w:hAnsi="Times New Roman" w:cs="Times New Roman"/>
          <w:sz w:val="20"/>
          <w:szCs w:val="20"/>
        </w:rPr>
        <w:t xml:space="preserve"> research shows that it was Arius who introduced the Hellenization of Christianity, to which Alexander of Alexandria and Athanasius responded.</w:t>
      </w:r>
    </w:p>
    <w:p w:rsidR="00D155EC" w:rsidRPr="00D155EC" w:rsidRDefault="00D155EC" w:rsidP="00D155EC">
      <w:pPr>
        <w:pStyle w:val="Bezodstpw"/>
        <w:rPr>
          <w:rFonts w:ascii="Times New Roman" w:hAnsi="Times New Roman" w:cs="Times New Roman"/>
          <w:sz w:val="20"/>
          <w:szCs w:val="20"/>
        </w:rPr>
      </w:pPr>
    </w:p>
    <w:p w:rsidR="00D155EC" w:rsidRPr="00D155EC" w:rsidRDefault="00D155EC" w:rsidP="00D155EC">
      <w:pPr>
        <w:pStyle w:val="Bezodstpw"/>
        <w:rPr>
          <w:rFonts w:ascii="Times New Roman" w:hAnsi="Times New Roman" w:cs="Times New Roman"/>
          <w:sz w:val="20"/>
          <w:szCs w:val="20"/>
        </w:rPr>
      </w:pPr>
      <w:r w:rsidRPr="00D155EC">
        <w:rPr>
          <w:rFonts w:ascii="Times New Roman" w:hAnsi="Times New Roman" w:cs="Times New Roman"/>
          <w:b/>
          <w:bCs/>
          <w:sz w:val="20"/>
          <w:szCs w:val="20"/>
        </w:rPr>
        <w:t>Keywords:</w:t>
      </w:r>
      <w:r w:rsidRPr="00D155EC">
        <w:rPr>
          <w:rFonts w:ascii="Times New Roman" w:hAnsi="Times New Roman" w:cs="Times New Roman"/>
          <w:sz w:val="20"/>
          <w:szCs w:val="20"/>
        </w:rPr>
        <w:t xml:space="preserve"> Council of Nicaea – scientific research – Hellenization of faith – philosophy – </w:t>
      </w:r>
      <w:proofErr w:type="spellStart"/>
      <w:r w:rsidRPr="00D155EC">
        <w:rPr>
          <w:rFonts w:ascii="Times New Roman" w:hAnsi="Times New Roman" w:cs="Times New Roman"/>
          <w:sz w:val="20"/>
          <w:szCs w:val="20"/>
        </w:rPr>
        <w:t>homoousios</w:t>
      </w:r>
      <w:proofErr w:type="spellEnd"/>
    </w:p>
    <w:p w:rsidR="00D155EC" w:rsidRPr="00C57BB9" w:rsidRDefault="00D155EC" w:rsidP="00D155EC">
      <w:pPr>
        <w:pStyle w:val="Bezodstpw"/>
        <w:jc w:val="center"/>
        <w:rPr>
          <w:rFonts w:ascii="Times New Roman" w:hAnsi="Times New Roman" w:cs="Times New Roman"/>
          <w:b/>
          <w:bCs/>
          <w:sz w:val="20"/>
          <w:szCs w:val="20"/>
        </w:rPr>
      </w:pPr>
    </w:p>
    <w:p w:rsidR="00D155EC" w:rsidRPr="00D155EC" w:rsidRDefault="00D155EC" w:rsidP="00D155EC">
      <w:pPr>
        <w:pStyle w:val="Bezodstpw"/>
        <w:jc w:val="center"/>
        <w:rPr>
          <w:rFonts w:ascii="Times New Roman" w:hAnsi="Times New Roman" w:cs="Times New Roman"/>
          <w:b/>
          <w:bCs/>
          <w:sz w:val="20"/>
          <w:szCs w:val="20"/>
          <w:lang w:val="pl-PL"/>
        </w:rPr>
      </w:pPr>
      <w:r w:rsidRPr="00D155EC">
        <w:rPr>
          <w:rFonts w:ascii="Times New Roman" w:hAnsi="Times New Roman" w:cs="Times New Roman"/>
          <w:b/>
          <w:bCs/>
          <w:sz w:val="20"/>
          <w:szCs w:val="20"/>
          <w:lang w:val="pl-PL"/>
        </w:rPr>
        <w:t>Streszczenie</w:t>
      </w:r>
    </w:p>
    <w:p w:rsidR="00D155EC" w:rsidRPr="00D155EC" w:rsidRDefault="00D155EC" w:rsidP="00D155EC">
      <w:pPr>
        <w:pStyle w:val="Bezodstpw"/>
        <w:jc w:val="both"/>
        <w:rPr>
          <w:rFonts w:ascii="Times New Roman" w:hAnsi="Times New Roman" w:cs="Times New Roman"/>
          <w:sz w:val="20"/>
          <w:szCs w:val="20"/>
          <w:lang w:val="pl-PL"/>
        </w:rPr>
      </w:pPr>
      <w:r w:rsidRPr="00D155EC">
        <w:rPr>
          <w:rFonts w:ascii="Times New Roman" w:hAnsi="Times New Roman" w:cs="Times New Roman"/>
          <w:sz w:val="20"/>
          <w:szCs w:val="20"/>
          <w:lang w:val="pl-PL"/>
        </w:rPr>
        <w:t xml:space="preserve">Z okazji 1700 rocznicy Soboru w Nicei pojawia się na nowo pytanie, które głęboko wpłynęło na teologię rozwiniętą w nowożytności: czy Sobór z 325 roku, odwołując się do </w:t>
      </w:r>
      <w:proofErr w:type="spellStart"/>
      <w:r w:rsidRPr="00D155EC">
        <w:rPr>
          <w:rFonts w:ascii="Times New Roman" w:hAnsi="Times New Roman" w:cs="Times New Roman"/>
          <w:i/>
          <w:iCs/>
          <w:sz w:val="20"/>
          <w:szCs w:val="20"/>
          <w:lang w:val="pl-PL"/>
        </w:rPr>
        <w:t>homoousios</w:t>
      </w:r>
      <w:proofErr w:type="spellEnd"/>
      <w:r w:rsidRPr="00D155EC">
        <w:rPr>
          <w:rFonts w:ascii="Times New Roman" w:hAnsi="Times New Roman" w:cs="Times New Roman"/>
          <w:sz w:val="20"/>
          <w:szCs w:val="20"/>
          <w:lang w:val="pl-PL"/>
        </w:rPr>
        <w:t xml:space="preserve">, zhellenizował wiarę biblijną, tym samym psując jej czystość? Teza, która na to pytanie odpowiada afirmatywnie, popierana przez wybitnych badaczy, takich jak Adolf von </w:t>
      </w:r>
      <w:proofErr w:type="spellStart"/>
      <w:r w:rsidRPr="00D155EC">
        <w:rPr>
          <w:rFonts w:ascii="Times New Roman" w:hAnsi="Times New Roman" w:cs="Times New Roman"/>
          <w:sz w:val="20"/>
          <w:szCs w:val="20"/>
          <w:lang w:val="pl-PL"/>
        </w:rPr>
        <w:t>Harnack</w:t>
      </w:r>
      <w:proofErr w:type="spellEnd"/>
      <w:r w:rsidRPr="00D155EC">
        <w:rPr>
          <w:rFonts w:ascii="Times New Roman" w:hAnsi="Times New Roman" w:cs="Times New Roman"/>
          <w:sz w:val="20"/>
          <w:szCs w:val="20"/>
          <w:lang w:val="pl-PL"/>
        </w:rPr>
        <w:t xml:space="preserve">, może być teraz na nowo rozważona </w:t>
      </w:r>
      <w:r w:rsidR="00A33AB6">
        <w:rPr>
          <w:rFonts w:ascii="Times New Roman" w:hAnsi="Times New Roman" w:cs="Times New Roman"/>
          <w:sz w:val="20"/>
          <w:szCs w:val="20"/>
          <w:lang w:val="pl-PL"/>
        </w:rPr>
        <w:t>w świetle perspektywy, jaką daje</w:t>
      </w:r>
      <w:r w:rsidRPr="00D155EC">
        <w:rPr>
          <w:rFonts w:ascii="Times New Roman" w:hAnsi="Times New Roman" w:cs="Times New Roman"/>
          <w:sz w:val="20"/>
          <w:szCs w:val="20"/>
          <w:lang w:val="pl-PL"/>
        </w:rPr>
        <w:t xml:space="preserve"> ponad stulecie badań w nowym kontekście postmodernistycznym. Na przykład prace Aloisa </w:t>
      </w:r>
      <w:proofErr w:type="spellStart"/>
      <w:r w:rsidRPr="00D155EC">
        <w:rPr>
          <w:rFonts w:ascii="Times New Roman" w:hAnsi="Times New Roman" w:cs="Times New Roman"/>
          <w:sz w:val="20"/>
          <w:szCs w:val="20"/>
          <w:lang w:val="pl-PL"/>
        </w:rPr>
        <w:t>Grillmeiera</w:t>
      </w:r>
      <w:proofErr w:type="spellEnd"/>
      <w:r w:rsidRPr="00D155EC">
        <w:rPr>
          <w:rFonts w:ascii="Times New Roman" w:hAnsi="Times New Roman" w:cs="Times New Roman"/>
          <w:sz w:val="20"/>
          <w:szCs w:val="20"/>
          <w:lang w:val="pl-PL"/>
        </w:rPr>
        <w:t xml:space="preserve"> stanowią solidny wkład w negatywną odpowiedź na pytanie o rzekomą hellenizację chrześcijaństwa w Nicei. Podkreśla on zwłaszcza trudności, jakie średnio-platońscy filozofowie mieli z zaakceptowaniem wcielenia Słowa. Nawet kontekst historyczny ujawnia zakłócający element, który miał miejsce około dwudziestu lat przed Soborem i sugerowałby dokładnie odwrotny rezultat niż to, co zaproponował von </w:t>
      </w:r>
      <w:proofErr w:type="spellStart"/>
      <w:r w:rsidRPr="00D155EC">
        <w:rPr>
          <w:rFonts w:ascii="Times New Roman" w:hAnsi="Times New Roman" w:cs="Times New Roman"/>
          <w:sz w:val="20"/>
          <w:szCs w:val="20"/>
          <w:lang w:val="pl-PL"/>
        </w:rPr>
        <w:t>Harnack</w:t>
      </w:r>
      <w:proofErr w:type="spellEnd"/>
      <w:r w:rsidRPr="00D155EC">
        <w:rPr>
          <w:rFonts w:ascii="Times New Roman" w:hAnsi="Times New Roman" w:cs="Times New Roman"/>
          <w:sz w:val="20"/>
          <w:szCs w:val="20"/>
          <w:lang w:val="pl-PL"/>
        </w:rPr>
        <w:t xml:space="preserve">. W rzeczy samej, z neoplatońskim myśleniem napięcie między światami filozoficznym a chrześcijańskim nasiliło się. Autor podkreśla, że badania </w:t>
      </w:r>
      <w:proofErr w:type="spellStart"/>
      <w:r w:rsidRPr="00D155EC">
        <w:rPr>
          <w:rFonts w:ascii="Times New Roman" w:hAnsi="Times New Roman" w:cs="Times New Roman"/>
          <w:sz w:val="20"/>
          <w:szCs w:val="20"/>
          <w:lang w:val="pl-PL"/>
        </w:rPr>
        <w:t>Grillmeiera</w:t>
      </w:r>
      <w:proofErr w:type="spellEnd"/>
      <w:r w:rsidRPr="00D155EC">
        <w:rPr>
          <w:rFonts w:ascii="Times New Roman" w:hAnsi="Times New Roman" w:cs="Times New Roman"/>
          <w:sz w:val="20"/>
          <w:szCs w:val="20"/>
          <w:lang w:val="pl-PL"/>
        </w:rPr>
        <w:t xml:space="preserve"> wykazują, że to Ariusz wprowadził hellenizację chrześcijaństwa, na którą zareagowali Aleksander z Aleksandrii i Atanazy.</w:t>
      </w:r>
    </w:p>
    <w:p w:rsidR="00D155EC" w:rsidRPr="00D155EC" w:rsidRDefault="00D155EC" w:rsidP="00D155EC">
      <w:pPr>
        <w:pStyle w:val="Bezodstpw"/>
        <w:jc w:val="both"/>
        <w:rPr>
          <w:rFonts w:ascii="Times New Roman" w:hAnsi="Times New Roman" w:cs="Times New Roman"/>
          <w:sz w:val="20"/>
          <w:szCs w:val="20"/>
          <w:lang w:val="pl-PL"/>
        </w:rPr>
      </w:pPr>
    </w:p>
    <w:p w:rsidR="00D155EC" w:rsidRPr="00D155EC" w:rsidRDefault="00D155EC" w:rsidP="00D155EC">
      <w:pPr>
        <w:pStyle w:val="Bezodstpw"/>
        <w:jc w:val="both"/>
        <w:rPr>
          <w:rFonts w:ascii="Times New Roman" w:hAnsi="Times New Roman" w:cs="Times New Roman"/>
          <w:sz w:val="20"/>
          <w:szCs w:val="20"/>
          <w:lang w:val="pl-PL"/>
        </w:rPr>
      </w:pPr>
      <w:r w:rsidRPr="00D155EC">
        <w:rPr>
          <w:rFonts w:ascii="Times New Roman" w:hAnsi="Times New Roman" w:cs="Times New Roman"/>
          <w:b/>
          <w:bCs/>
          <w:sz w:val="20"/>
          <w:szCs w:val="20"/>
          <w:lang w:val="pl-PL"/>
        </w:rPr>
        <w:t>Słowa kluczowe:</w:t>
      </w:r>
      <w:r w:rsidRPr="00D155EC">
        <w:rPr>
          <w:rFonts w:ascii="Times New Roman" w:hAnsi="Times New Roman" w:cs="Times New Roman"/>
          <w:sz w:val="20"/>
          <w:szCs w:val="20"/>
          <w:lang w:val="pl-PL"/>
        </w:rPr>
        <w:t xml:space="preserve"> Sobór w Nicei - badania naukowe – hellenizacja wiary – filozofia - </w:t>
      </w:r>
      <w:proofErr w:type="spellStart"/>
      <w:r w:rsidRPr="00D155EC">
        <w:rPr>
          <w:rFonts w:ascii="Times New Roman" w:hAnsi="Times New Roman" w:cs="Times New Roman"/>
          <w:i/>
          <w:iCs/>
          <w:sz w:val="20"/>
          <w:szCs w:val="20"/>
          <w:lang w:val="pl-PL"/>
        </w:rPr>
        <w:t>homoousios</w:t>
      </w:r>
      <w:proofErr w:type="spellEnd"/>
    </w:p>
    <w:p w:rsidR="00E6136D" w:rsidRPr="00D155EC" w:rsidRDefault="00E6136D">
      <w:pPr>
        <w:pStyle w:val="Tekstpodstawowy"/>
        <w:jc w:val="both"/>
        <w:rPr>
          <w:rFonts w:ascii="Times New Roman" w:eastAsia="Times New Roman" w:hAnsi="Times New Roman" w:cs="Times New Roman"/>
          <w:lang w:val="pl-PL" w:eastAsia="fr-FR" w:bidi="fr-FR"/>
        </w:rPr>
      </w:pPr>
    </w:p>
    <w:p w:rsidR="00E6136D" w:rsidRPr="009277E8" w:rsidRDefault="008727F0" w:rsidP="006647D3">
      <w:pPr>
        <w:pStyle w:val="Tekstpodstawowy"/>
        <w:ind w:firstLine="720"/>
        <w:jc w:val="both"/>
        <w:rPr>
          <w:rFonts w:ascii="Times New Roman" w:eastAsia="Times New Roman" w:hAnsi="Times New Roman" w:cs="Times New Roman"/>
          <w:b/>
          <w:bCs/>
          <w:iCs/>
          <w:lang w:val="fr-FR" w:eastAsia="fr-FR" w:bidi="fr-FR"/>
        </w:rPr>
      </w:pPr>
      <w:r w:rsidRPr="009277E8">
        <w:rPr>
          <w:rFonts w:ascii="Times New Roman" w:eastAsia="Times New Roman" w:hAnsi="Times New Roman" w:cs="Times New Roman"/>
          <w:b/>
          <w:bCs/>
          <w:iCs/>
          <w:lang w:val="fr-FR" w:eastAsia="fr-FR" w:bidi="fr-FR"/>
        </w:rPr>
        <w:t>1. Introduction</w:t>
      </w:r>
    </w:p>
    <w:p w:rsidR="00E6136D" w:rsidRPr="006647D3" w:rsidRDefault="008727F0" w:rsidP="006647D3">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Avec l’anniversaire de Nicée, une question interprétative qui a profondément marqué la théologie développée dans la modernité se pose à nouveau au lecteur contemporain : le Concile de 325, avec son recours à l’</w:t>
      </w:r>
      <w:r w:rsidRPr="006647D3">
        <w:rPr>
          <w:rFonts w:ascii="Times New Roman" w:eastAsia="Times New Roman" w:hAnsi="Times New Roman" w:cs="Times New Roman"/>
          <w:i/>
          <w:lang w:val="fr-FR" w:eastAsia="fr-FR" w:bidi="fr-FR"/>
        </w:rPr>
        <w:t>homousios,</w:t>
      </w:r>
      <w:r w:rsidRPr="006647D3">
        <w:rPr>
          <w:rFonts w:ascii="Times New Roman" w:eastAsia="Times New Roman" w:hAnsi="Times New Roman" w:cs="Times New Roman"/>
          <w:lang w:val="fr-FR" w:eastAsia="fr-FR" w:bidi="fr-FR"/>
        </w:rPr>
        <w:t xml:space="preserve"> a-t-il hellénisé la foi biblique, corrompant ainsi sa pureté ? La thèse qui répond positivement à cette question, soutenue par d’éminents chercheurs comme Adolf von Harnack,</w:t>
      </w:r>
      <w:r w:rsidRPr="006647D3">
        <w:rPr>
          <w:rStyle w:val="Odwoanieprzypisudolnego"/>
          <w:rFonts w:ascii="Times New Roman" w:eastAsia="Times New Roman" w:hAnsi="Times New Roman" w:cs="Times New Roman"/>
          <w:lang w:val="fr-FR" w:eastAsia="fr-FR" w:bidi="fr-FR"/>
        </w:rPr>
        <w:footnoteReference w:id="1"/>
      </w:r>
      <w:r w:rsidRPr="006647D3">
        <w:rPr>
          <w:rFonts w:ascii="Times New Roman" w:eastAsia="Times New Roman" w:hAnsi="Times New Roman" w:cs="Times New Roman"/>
          <w:lang w:val="fr-FR" w:eastAsia="fr-FR" w:bidi="fr-FR"/>
        </w:rPr>
        <w:t xml:space="preserve"> peut maintenant être reconsidérée à la lumière de la perspective que permettent plus d’un siècle d’études dans le nouveau contexte post-moderne. Par exemple, les travaux d’Alois </w:t>
      </w:r>
      <w:r w:rsidRPr="006647D3">
        <w:rPr>
          <w:rFonts w:ascii="Times New Roman" w:eastAsia="Times New Roman" w:hAnsi="Times New Roman" w:cs="Times New Roman"/>
          <w:lang w:val="fr-FR" w:eastAsia="fr-FR" w:bidi="fr-FR"/>
        </w:rPr>
        <w:lastRenderedPageBreak/>
        <w:t>Grillmeier représentent une solide contribution à une réponse négative à la question de la prétendue hellénisation du christianisme à Nicée.</w:t>
      </w:r>
      <w:r w:rsidRPr="006647D3">
        <w:rPr>
          <w:rStyle w:val="Odwoanieprzypisudolnego"/>
          <w:rFonts w:ascii="Times New Roman" w:eastAsia="Times New Roman" w:hAnsi="Times New Roman" w:cs="Times New Roman"/>
          <w:lang w:val="fr-FR" w:eastAsia="fr-FR" w:bidi="fr-FR"/>
        </w:rPr>
        <w:footnoteReference w:id="2"/>
      </w:r>
      <w:r w:rsidRPr="006647D3">
        <w:rPr>
          <w:rFonts w:ascii="Times New Roman" w:eastAsia="Times New Roman" w:hAnsi="Times New Roman" w:cs="Times New Roman"/>
          <w:lang w:val="fr-FR" w:eastAsia="fr-FR" w:bidi="fr-FR"/>
        </w:rPr>
        <w:t xml:space="preserve"> Il souligne notamment la difficulté des philosophes moyen-platoniciens à accepter l’incarnation du Verbe, comme le montre le dialogue à distance temporelle entre Celse et Origène.</w:t>
      </w:r>
      <w:r w:rsidRPr="006647D3">
        <w:rPr>
          <w:rStyle w:val="Odwoanieprzypisudolnego"/>
          <w:rFonts w:ascii="Times New Roman" w:eastAsia="Times New Roman" w:hAnsi="Times New Roman" w:cs="Times New Roman"/>
          <w:lang w:val="fr-FR" w:eastAsia="fr-FR" w:bidi="fr-FR"/>
        </w:rPr>
        <w:footnoteReference w:id="3"/>
      </w:r>
    </w:p>
    <w:p w:rsidR="00E6136D" w:rsidRPr="006647D3" w:rsidRDefault="008727F0" w:rsidP="006647D3">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 xml:space="preserve">Même le contexte historique révèle un élément perturbateur, survenu une vingtaine d’années avant le Concile, qui suggérerait exactement le résultat inverse de celui proposé par von Harnack. En effet, avec le néo-platonisme, la tension entre les mondes philosophique et chrétien s’était accentuée, comme le montre le </w:t>
      </w:r>
      <w:r w:rsidRPr="006647D3">
        <w:rPr>
          <w:rFonts w:ascii="Times New Roman" w:eastAsia="Times New Roman" w:hAnsi="Times New Roman" w:cs="Times New Roman"/>
          <w:i/>
          <w:lang w:val="fr-FR" w:eastAsia="fr-FR" w:bidi="fr-FR"/>
        </w:rPr>
        <w:t>Contra christianos</w:t>
      </w:r>
      <w:r w:rsidRPr="006647D3">
        <w:rPr>
          <w:rFonts w:ascii="Times New Roman" w:eastAsia="Times New Roman" w:hAnsi="Times New Roman" w:cs="Times New Roman"/>
          <w:lang w:val="fr-FR" w:eastAsia="fr-FR" w:bidi="fr-FR"/>
        </w:rPr>
        <w:t xml:space="preserve"> de Porphyre. C’est ainsi que certains philosophes de cette grande école, dont probablement Porphyre lui-même, demandèrent à l’empereur, lors du </w:t>
      </w:r>
      <w:r w:rsidRPr="006647D3">
        <w:rPr>
          <w:rFonts w:ascii="Times New Roman" w:eastAsia="Times New Roman" w:hAnsi="Times New Roman" w:cs="Times New Roman"/>
          <w:i/>
          <w:lang w:val="fr-FR" w:eastAsia="fr-FR" w:bidi="fr-FR"/>
        </w:rPr>
        <w:t xml:space="preserve">Consilium Principis </w:t>
      </w:r>
      <w:r w:rsidRPr="006647D3">
        <w:rPr>
          <w:rFonts w:ascii="Times New Roman" w:eastAsia="Times New Roman" w:hAnsi="Times New Roman" w:cs="Times New Roman"/>
          <w:lang w:val="fr-FR" w:eastAsia="fr-FR" w:bidi="fr-FR"/>
        </w:rPr>
        <w:t>qui s’est tenu à Nicomédie en 302/303, de déclencher la dernière grande persécution.</w:t>
      </w:r>
      <w:r w:rsidRPr="006647D3">
        <w:rPr>
          <w:rStyle w:val="Odwoanieprzypisudolnego"/>
          <w:rFonts w:ascii="Times New Roman" w:eastAsia="Times New Roman" w:hAnsi="Times New Roman" w:cs="Times New Roman"/>
          <w:lang w:val="fr-FR" w:eastAsia="fr-FR" w:bidi="fr-FR"/>
        </w:rPr>
        <w:footnoteReference w:id="4"/>
      </w:r>
      <w:r w:rsidRPr="006647D3">
        <w:rPr>
          <w:rFonts w:ascii="Times New Roman" w:eastAsia="Times New Roman" w:hAnsi="Times New Roman" w:cs="Times New Roman"/>
          <w:lang w:val="fr-FR" w:eastAsia="fr-FR" w:bidi="fr-FR"/>
        </w:rPr>
        <w:t xml:space="preserve"> Que dans un tel contexte, encore vivace dans la mémoire des protagonistes, une démarche "hellénisante" ait été tentée n’est pas plausible. Mais les recherches de Grillmeier ajoutent un élément supplémentaire : c’est précisément Arius qui a introduit une hellénisation du christianisme, à laquelle Alexandre d’Alexandrie et Athanase ont réagi.</w:t>
      </w:r>
      <w:r w:rsidRPr="006647D3">
        <w:rPr>
          <w:rStyle w:val="Odwoanieprzypisudolnego"/>
          <w:rFonts w:ascii="Times New Roman" w:eastAsia="Times New Roman" w:hAnsi="Times New Roman" w:cs="Times New Roman"/>
          <w:lang w:val="fr-FR" w:eastAsia="fr-FR" w:bidi="fr-FR"/>
        </w:rPr>
        <w:footnoteReference w:id="5"/>
      </w:r>
    </w:p>
    <w:p w:rsidR="00E6136D" w:rsidRPr="006647D3" w:rsidRDefault="008727F0" w:rsidP="006647D3">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Ce qui suit tentera d’illustrer ce point, en l’élaborant au niveau historique et théologique. En particulier, nous tenterons de mettre en évidence le surplus de la donnée révélée par rapport à la possibilité de sa formulation conceptuelle, qui est cependant une nécessité pour le contenu du message lui-même, qui exige d’être annoncé à tous et, par conséquent, d’être traduit en permanence.</w:t>
      </w:r>
      <w:r w:rsidRPr="006647D3">
        <w:rPr>
          <w:rStyle w:val="Odwoanieprzypisudolnego"/>
          <w:rFonts w:ascii="Times New Roman" w:eastAsia="Times New Roman" w:hAnsi="Times New Roman" w:cs="Times New Roman"/>
          <w:lang w:val="fr-FR" w:eastAsia="fr-FR" w:bidi="fr-FR"/>
        </w:rPr>
        <w:footnoteReference w:id="6"/>
      </w:r>
      <w:r w:rsidRPr="006647D3">
        <w:rPr>
          <w:rFonts w:ascii="Times New Roman" w:eastAsia="Times New Roman" w:hAnsi="Times New Roman" w:cs="Times New Roman"/>
          <w:lang w:val="fr-FR" w:eastAsia="fr-FR" w:bidi="fr-FR"/>
        </w:rPr>
        <w:t xml:space="preserve"> En particulier, nous procéderons en trois étapes, en soulignant tout d’abord comment l’</w:t>
      </w:r>
      <w:r w:rsidRPr="006647D3">
        <w:rPr>
          <w:rFonts w:ascii="Times New Roman" w:eastAsia="Times New Roman" w:hAnsi="Times New Roman" w:cs="Times New Roman"/>
          <w:i/>
          <w:lang w:val="fr-FR" w:eastAsia="fr-FR" w:bidi="fr-FR"/>
        </w:rPr>
        <w:t>homousios</w:t>
      </w:r>
      <w:r w:rsidRPr="006647D3">
        <w:rPr>
          <w:rFonts w:ascii="Times New Roman" w:eastAsia="Times New Roman" w:hAnsi="Times New Roman" w:cs="Times New Roman"/>
          <w:lang w:val="fr-FR" w:eastAsia="fr-FR" w:bidi="fr-FR"/>
        </w:rPr>
        <w:t xml:space="preserve"> peut être considéré au niveau historique comme l’une des différentes </w:t>
      </w:r>
      <w:r w:rsidRPr="006647D3">
        <w:rPr>
          <w:rFonts w:ascii="Times New Roman" w:eastAsia="Times New Roman" w:hAnsi="Times New Roman" w:cs="Times New Roman"/>
          <w:i/>
          <w:lang w:val="fr-FR" w:eastAsia="fr-FR" w:bidi="fr-FR"/>
        </w:rPr>
        <w:t xml:space="preserve">chrêseis </w:t>
      </w:r>
      <w:r w:rsidRPr="006647D3">
        <w:rPr>
          <w:rFonts w:ascii="Times New Roman" w:eastAsia="Times New Roman" w:hAnsi="Times New Roman" w:cs="Times New Roman"/>
          <w:lang w:val="fr-FR" w:eastAsia="fr-FR" w:bidi="fr-FR"/>
        </w:rPr>
        <w:t xml:space="preserve">qui ont caractérisé le Concile; nous tenterons ensuite de montrer pourquoi cette </w:t>
      </w:r>
      <w:r w:rsidRPr="006647D3">
        <w:rPr>
          <w:rFonts w:ascii="Times New Roman" w:eastAsia="Times New Roman" w:hAnsi="Times New Roman" w:cs="Times New Roman"/>
          <w:i/>
          <w:lang w:val="fr-FR" w:eastAsia="fr-FR" w:bidi="fr-FR"/>
        </w:rPr>
        <w:t>chrêseis</w:t>
      </w:r>
      <w:r w:rsidRPr="006647D3">
        <w:rPr>
          <w:rFonts w:ascii="Times New Roman" w:eastAsia="Times New Roman" w:hAnsi="Times New Roman" w:cs="Times New Roman"/>
          <w:lang w:val="fr-FR" w:eastAsia="fr-FR" w:bidi="fr-FR"/>
        </w:rPr>
        <w:t xml:space="preserve"> a été considérée comme nécessaire, en analysant, sur un plan plus théologique et dogmatique, le rapport entre les termes </w:t>
      </w:r>
      <w:r w:rsidRPr="006647D3">
        <w:rPr>
          <w:rFonts w:ascii="Times New Roman" w:eastAsia="Times New Roman" w:hAnsi="Times New Roman" w:cs="Times New Roman"/>
          <w:i/>
          <w:lang w:val="fr-FR" w:eastAsia="fr-FR" w:bidi="fr-FR"/>
        </w:rPr>
        <w:t>ousia</w:t>
      </w:r>
      <w:r w:rsidRPr="006647D3">
        <w:rPr>
          <w:rFonts w:ascii="Times New Roman" w:eastAsia="Times New Roman" w:hAnsi="Times New Roman" w:cs="Times New Roman"/>
          <w:lang w:val="fr-FR" w:eastAsia="fr-FR" w:bidi="fr-FR"/>
        </w:rPr>
        <w:t xml:space="preserve">, </w:t>
      </w:r>
      <w:r w:rsidRPr="006647D3">
        <w:rPr>
          <w:rFonts w:ascii="Times New Roman" w:eastAsia="Times New Roman" w:hAnsi="Times New Roman" w:cs="Times New Roman"/>
          <w:i/>
          <w:lang w:val="fr-FR" w:eastAsia="fr-FR" w:bidi="fr-FR"/>
        </w:rPr>
        <w:t>hypostasis</w:t>
      </w:r>
      <w:r w:rsidRPr="006647D3">
        <w:rPr>
          <w:rFonts w:ascii="Times New Roman" w:eastAsia="Times New Roman" w:hAnsi="Times New Roman" w:cs="Times New Roman"/>
          <w:lang w:val="fr-FR" w:eastAsia="fr-FR" w:bidi="fr-FR"/>
        </w:rPr>
        <w:t xml:space="preserve"> et </w:t>
      </w:r>
      <w:r w:rsidRPr="006647D3">
        <w:rPr>
          <w:rFonts w:ascii="Times New Roman" w:eastAsia="Times New Roman" w:hAnsi="Times New Roman" w:cs="Times New Roman"/>
          <w:i/>
          <w:lang w:val="fr-FR" w:eastAsia="fr-FR" w:bidi="fr-FR"/>
        </w:rPr>
        <w:t>prosôpon</w:t>
      </w:r>
      <w:r w:rsidRPr="006647D3">
        <w:rPr>
          <w:rFonts w:ascii="Times New Roman" w:eastAsia="Times New Roman" w:hAnsi="Times New Roman" w:cs="Times New Roman"/>
          <w:lang w:val="fr-FR" w:eastAsia="fr-FR" w:bidi="fr-FR"/>
        </w:rPr>
        <w:t xml:space="preserve"> à la lumière de l’histoire de l’exégèse des Catégories d’Aristote, en particulier en ce qui concerne ce rapport ; enfin, nous tenterons d’interpréter ce qui a été proposé en termes d’orthopraxie et d’orthodoxie, en essayant d’offrir une synthèse des données historiques et théologico-dogmatiques.</w:t>
      </w:r>
    </w:p>
    <w:p w:rsidR="00E6136D" w:rsidRPr="009277E8" w:rsidRDefault="008727F0" w:rsidP="009277E8">
      <w:pPr>
        <w:pStyle w:val="Tekstpodstawowy"/>
        <w:ind w:firstLine="720"/>
        <w:jc w:val="both"/>
        <w:rPr>
          <w:rFonts w:ascii="Times New Roman" w:eastAsia="Times New Roman" w:hAnsi="Times New Roman" w:cs="Times New Roman"/>
          <w:b/>
          <w:bCs/>
          <w:iCs/>
          <w:lang w:val="fr-FR" w:eastAsia="fr-FR" w:bidi="fr-FR"/>
        </w:rPr>
      </w:pPr>
      <w:r w:rsidRPr="009277E8">
        <w:rPr>
          <w:rFonts w:ascii="Times New Roman" w:eastAsia="Times New Roman" w:hAnsi="Times New Roman" w:cs="Times New Roman"/>
          <w:b/>
          <w:bCs/>
          <w:iCs/>
          <w:lang w:val="fr-FR" w:eastAsia="fr-FR" w:bidi="fr-FR"/>
        </w:rPr>
        <w:t>2. Les "usages" de Nicée</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Christian Gnilka, dans ses études qui s’inscrivent dans le cadre disciplinaire de la philologie, mais qui sont extrêmement pertinentes pour l’histoire et la théologie,</w:t>
      </w:r>
      <w:r w:rsidRPr="006647D3">
        <w:rPr>
          <w:rStyle w:val="Odwoanieprzypisudolnego"/>
          <w:rFonts w:ascii="Times New Roman" w:eastAsia="Times New Roman" w:hAnsi="Times New Roman" w:cs="Times New Roman"/>
          <w:lang w:val="fr-FR" w:eastAsia="fr-FR" w:bidi="fr-FR"/>
        </w:rPr>
        <w:footnoteReference w:id="7"/>
      </w:r>
      <w:r w:rsidRPr="006647D3">
        <w:rPr>
          <w:rFonts w:ascii="Times New Roman" w:eastAsia="Times New Roman" w:hAnsi="Times New Roman" w:cs="Times New Roman"/>
          <w:lang w:val="fr-FR" w:eastAsia="fr-FR" w:bidi="fr-FR"/>
        </w:rPr>
        <w:t xml:space="preserve"> a montré comment la pensée des Pères de l’Église se caractérise par le recours à l’instrument de la </w:t>
      </w:r>
      <w:r w:rsidRPr="006647D3">
        <w:rPr>
          <w:rFonts w:ascii="Times New Roman" w:eastAsia="Times New Roman" w:hAnsi="Times New Roman" w:cs="Times New Roman"/>
          <w:i/>
          <w:lang w:val="fr-FR" w:eastAsia="fr-FR" w:bidi="fr-FR"/>
        </w:rPr>
        <w:t>chrêsis orthê</w:t>
      </w:r>
      <w:r w:rsidRPr="006647D3">
        <w:rPr>
          <w:rFonts w:ascii="Times New Roman" w:eastAsia="Times New Roman" w:hAnsi="Times New Roman" w:cs="Times New Roman"/>
          <w:lang w:val="fr-FR" w:eastAsia="fr-FR" w:bidi="fr-FR"/>
        </w:rPr>
        <w:t xml:space="preserve"> (en latin, </w:t>
      </w:r>
      <w:r w:rsidRPr="006647D3">
        <w:rPr>
          <w:rFonts w:ascii="Times New Roman" w:eastAsia="Times New Roman" w:hAnsi="Times New Roman" w:cs="Times New Roman"/>
          <w:i/>
          <w:lang w:val="fr-FR" w:eastAsia="fr-FR" w:bidi="fr-FR"/>
        </w:rPr>
        <w:t>usus iustus</w:t>
      </w:r>
      <w:r w:rsidRPr="006647D3">
        <w:rPr>
          <w:rFonts w:ascii="Times New Roman" w:eastAsia="Times New Roman" w:hAnsi="Times New Roman" w:cs="Times New Roman"/>
          <w:lang w:val="fr-FR" w:eastAsia="fr-FR" w:bidi="fr-FR"/>
        </w:rPr>
        <w:t>), c’est-à-dire l’utilisation correcte des sources, même non chrétiennes, dont les éléments de vérité et de beauté peuvent être insérés dans le discours chrétien, précisément parce que le Verbe qui s’est fait chair est la source et l’origine de toute vérité et de toute beauté.</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 xml:space="preserve">Il s’agit d’une méthode de pensée qui, de Justin aux grands Alexandrins Clément ou Origène, caractérise la relation des penseurs chrétiens non seulement avec la philosophie, mais aussi avec l’art et la littérature païens. En soi, il s’agit d’une attitude typique de la pensée humaine en général, qui procède sous forme relationnelle. Par exemple, il est bien connu que l’architecture </w:t>
      </w:r>
      <w:r w:rsidRPr="006647D3">
        <w:rPr>
          <w:rFonts w:ascii="Times New Roman" w:eastAsia="Times New Roman" w:hAnsi="Times New Roman" w:cs="Times New Roman"/>
          <w:lang w:val="fr-FR" w:eastAsia="fr-FR" w:bidi="fr-FR"/>
        </w:rPr>
        <w:lastRenderedPageBreak/>
        <w:t xml:space="preserve">utilise les </w:t>
      </w:r>
      <w:r w:rsidRPr="006647D3">
        <w:rPr>
          <w:rFonts w:ascii="Times New Roman" w:eastAsia="Times New Roman" w:hAnsi="Times New Roman" w:cs="Times New Roman"/>
          <w:i/>
          <w:iCs/>
          <w:lang w:val="fr-FR" w:eastAsia="fr-FR" w:bidi="fr-FR"/>
        </w:rPr>
        <w:t>spolia</w:t>
      </w:r>
      <w:r w:rsidRPr="006647D3">
        <w:rPr>
          <w:rFonts w:ascii="Times New Roman" w:eastAsia="Times New Roman" w:hAnsi="Times New Roman" w:cs="Times New Roman"/>
          <w:lang w:val="fr-FR" w:eastAsia="fr-FR" w:bidi="fr-FR"/>
        </w:rPr>
        <w:t xml:space="preserve"> pour construire de nouveaux bâtiments à partir des matériaux de valeur ou des vestiges remarquables des bâtiments précédents. Ce que l’approche chrétienne des Pères de l’Église ajoute, en revanche, c’est l’adjectif "juste". En effet, il ne s’agit pas de manipuler ou d’englober, mais de situer un élément beau ou vrai, c’est-à-dire un texte, dans un contexte qui le met en valeur, en faisant ressortir sa relation avec la source de toute beauté et de toute bonté qu’est le Christ. Il suffit de penser au nombre d’œuvres païennes anciennes qui ont été conservées précisément en raison des nouvelles significations qu’elles ont prises dans la perspective chrétienne.</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 xml:space="preserve">En effet, la méthode de la </w:t>
      </w:r>
      <w:r w:rsidRPr="006647D3">
        <w:rPr>
          <w:rFonts w:ascii="Times New Roman" w:eastAsia="Times New Roman" w:hAnsi="Times New Roman" w:cs="Times New Roman"/>
          <w:i/>
          <w:lang w:val="fr-FR" w:eastAsia="fr-FR" w:bidi="fr-FR"/>
        </w:rPr>
        <w:t>chrêsis</w:t>
      </w:r>
      <w:r w:rsidRPr="006647D3">
        <w:rPr>
          <w:rFonts w:ascii="Times New Roman" w:eastAsia="Times New Roman" w:hAnsi="Times New Roman" w:cs="Times New Roman"/>
          <w:lang w:val="fr-FR" w:eastAsia="fr-FR" w:bidi="fr-FR"/>
        </w:rPr>
        <w:t xml:space="preserve"> est intrinsèque au développement de la pensée humaine qui, par sa nature linguistique, se donne à travers des relations. Cette conscience était déjà présente à l’aube de la métaphysique, avec la confrontation entre Socrate-Plato et les sophistes. Ces derniers utilisaient le </w:t>
      </w:r>
      <w:r w:rsidRPr="006647D3">
        <w:rPr>
          <w:rFonts w:ascii="Times New Roman" w:eastAsia="Times New Roman" w:hAnsi="Times New Roman" w:cs="Times New Roman"/>
          <w:i/>
          <w:lang w:val="fr-FR" w:eastAsia="fr-FR" w:bidi="fr-FR"/>
        </w:rPr>
        <w:t>logos</w:t>
      </w:r>
      <w:r w:rsidRPr="006647D3">
        <w:rPr>
          <w:rFonts w:ascii="Times New Roman" w:eastAsia="Times New Roman" w:hAnsi="Times New Roman" w:cs="Times New Roman"/>
          <w:lang w:val="fr-FR" w:eastAsia="fr-FR" w:bidi="fr-FR"/>
        </w:rPr>
        <w:t xml:space="preserve"> comme une arme, le désengageant du rapport avec la vérité dans leur critique du mythe, tandis que la métaphysique naissait comme une purification des éléments de vérité présents dans la tradition religieuse, réalisée précisément à travers la recherche de la pensée et du dialogue.</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 xml:space="preserve">Ainsi, lorsqu’après 313 et l’édit de Milan, la liberté religieuse accordée par Constantin aux citoyens de l’empire rendit possible la conversion de ceux qui n’avaient pas la force d’affronter le martyre mais qui pouvaient désormais embrasser la foi chrétienne, de nouvelles </w:t>
      </w:r>
      <w:r w:rsidRPr="006647D3">
        <w:rPr>
          <w:rFonts w:ascii="Times New Roman" w:eastAsia="Times New Roman" w:hAnsi="Times New Roman" w:cs="Times New Roman"/>
          <w:i/>
          <w:lang w:val="fr-FR" w:eastAsia="fr-FR" w:bidi="fr-FR"/>
        </w:rPr>
        <w:t>chrêseis</w:t>
      </w:r>
      <w:r w:rsidRPr="006647D3">
        <w:rPr>
          <w:rFonts w:ascii="Times New Roman" w:eastAsia="Times New Roman" w:hAnsi="Times New Roman" w:cs="Times New Roman"/>
          <w:lang w:val="fr-FR" w:eastAsia="fr-FR" w:bidi="fr-FR"/>
        </w:rPr>
        <w:t xml:space="preserve"> devinrent nécessaires. En effet, l’intensification de l’activité catéchétique, combinée aux nouvelles possibilités de déplacement d’un diocèse à l’autre et au rôle public assumé par les évêques, rendit possible une comparaison qui a mis en évidence des différences culturellement et socialement pertinentes pour l’empire lui-même. Les différentes églises locales pouvaient comparer la doctrine avec laquelle elles proposaient l’initiation chrétienne, et les différences entre un lieu et un autre devenaient des sources possibles de tension, comme cela s’est produit en 318 à Alexandrie. Lors d’une réunion du clergé avec l’évêque Alexandre, Arius, un curé bien connu d’une paroisse du port et ami de nombreux évêques, accusa publiquement son évêque d’enseigner à tort que le Fils était Dieu. L’argument clé pour soutenir cette position était le fait que le Verbe avait été engendré et que, par conséquent, selon Arius, il avait dû avoir un commencement. La deuxième personne de la Trinité était donc présentée comme une créature, la première de toutes, tirée du néant en vue de la création même des autres créatures, avant le temps. La question était évidemment exégétique, puisqu’il s’agissait d’interpréter le début de l’évangile de Jean, où il est dit du Logos que tout a été fait par lui (Jean 1,3).</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Arius fut excommunié par son évêque au niveau du synode local de l’Église d’Alexandrie, mais ses nombreux contacts avec divers évêques, d’une part, et la proximité de sa vision avec celle de la métaphysique graduelle de la tradition platonicienne-aristotélicienne, d’autre part, rendirent la question d’importance publique, au point de pousser l’empereur à convoquer le concile de Nicée en 325. Ce dernier s’inspirait par le texte des Actes des Apôtres 15,28 et, par conséquent, de la donnée théologique de l’assistance de l’Esprit Saint à l’Église, dont ceux qui s’étaient réunis en 52 à Jérusalem s’étaient montrés conscients. De là est née une tradition qui reportait la discussion des questions ecclésiastiques aux réunions des évêques dans les grandes villes de l’empire où se trouvaient des communautés juives et où s’étaient formées des communautés chrétiennes. La structure de l’Église primitive suivait donc naturellement celle des circonscriptions impériales, selon un principe qui, d’un point de vue théologique, peut être retracé jusqu’à l’incarnation elle-même. Cela se reflétait également sur les procédures des synodes et des conciles, qui étaient toujours fondés sur la présence de l’Esprit Saint, comme le montre le concile africain de 252, selon le témoignage de Cyprien de Carthage.</w:t>
      </w:r>
      <w:r w:rsidRPr="006647D3">
        <w:rPr>
          <w:rStyle w:val="Odwoanieprzypisudolnego"/>
          <w:rFonts w:ascii="Times New Roman" w:eastAsia="Times New Roman" w:hAnsi="Times New Roman" w:cs="Times New Roman"/>
          <w:lang w:val="fr-FR" w:eastAsia="fr-FR" w:bidi="fr-FR"/>
        </w:rPr>
        <w:footnoteReference w:id="8"/>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 xml:space="preserve">Les pratiques de ces réunions peuvent être lues comme des </w:t>
      </w:r>
      <w:r w:rsidRPr="006647D3">
        <w:rPr>
          <w:rFonts w:ascii="Times New Roman" w:eastAsia="Times New Roman" w:hAnsi="Times New Roman" w:cs="Times New Roman"/>
          <w:i/>
          <w:lang w:val="fr-FR" w:eastAsia="fr-FR" w:bidi="fr-FR"/>
        </w:rPr>
        <w:t>chrêseis</w:t>
      </w:r>
      <w:r w:rsidRPr="006647D3">
        <w:rPr>
          <w:rFonts w:ascii="Times New Roman" w:eastAsia="Times New Roman" w:hAnsi="Times New Roman" w:cs="Times New Roman"/>
          <w:lang w:val="fr-FR" w:eastAsia="fr-FR" w:bidi="fr-FR"/>
        </w:rPr>
        <w:t xml:space="preserve"> de la tradition sénatoriale romaine, selon le témoignage du concile romain de 313 dans la maison de Fausta. Les évêques étaient en effet des citoyens romains et il était naturel qu’ils adoptent les procédures des sénats locaux, qui s’inspiraient à leur tour de celles du sénat romain. Par exemple, les convocations </w:t>
      </w:r>
      <w:r w:rsidRPr="006647D3">
        <w:rPr>
          <w:rFonts w:ascii="Times New Roman" w:eastAsia="Times New Roman" w:hAnsi="Times New Roman" w:cs="Times New Roman"/>
          <w:lang w:val="fr-FR" w:eastAsia="fr-FR" w:bidi="fr-FR"/>
        </w:rPr>
        <w:lastRenderedPageBreak/>
        <w:t>des conciles s’inspiraient de celles du sénat lui-même, dont ils reprenaient également la procédure de débat. Mais ces pratiques ont été réajustées à la situation ecclésiale sur la base d’un jugement théologique.</w:t>
      </w:r>
      <w:r w:rsidRPr="006647D3">
        <w:rPr>
          <w:rStyle w:val="Odwoanieprzypisudolnego"/>
          <w:rFonts w:ascii="Times New Roman" w:eastAsia="Times New Roman" w:hAnsi="Times New Roman" w:cs="Times New Roman"/>
          <w:lang w:val="fr-FR" w:eastAsia="fr-FR" w:bidi="fr-FR"/>
        </w:rPr>
        <w:footnoteReference w:id="9"/>
      </w:r>
      <w:r w:rsidRPr="006647D3">
        <w:rPr>
          <w:rFonts w:ascii="Times New Roman" w:eastAsia="Times New Roman" w:hAnsi="Times New Roman" w:cs="Times New Roman"/>
          <w:lang w:val="fr-FR" w:eastAsia="fr-FR" w:bidi="fr-FR"/>
        </w:rPr>
        <w:t xml:space="preserve"> De toute évidence, l’</w:t>
      </w:r>
      <w:r w:rsidRPr="006647D3">
        <w:rPr>
          <w:rFonts w:ascii="Times New Roman" w:eastAsia="Times New Roman" w:hAnsi="Times New Roman" w:cs="Times New Roman"/>
          <w:i/>
          <w:lang w:val="fr-FR" w:eastAsia="fr-FR" w:bidi="fr-FR"/>
        </w:rPr>
        <w:t>usus</w:t>
      </w:r>
      <w:r w:rsidRPr="006647D3">
        <w:rPr>
          <w:rFonts w:ascii="Times New Roman" w:eastAsia="Times New Roman" w:hAnsi="Times New Roman" w:cs="Times New Roman"/>
          <w:lang w:val="fr-FR" w:eastAsia="fr-FR" w:bidi="fr-FR"/>
        </w:rPr>
        <w:t xml:space="preserve"> impliquait des modifications de la donnée reçue, la rendant ainsi </w:t>
      </w:r>
      <w:r w:rsidRPr="006647D3">
        <w:rPr>
          <w:rFonts w:ascii="Times New Roman" w:eastAsia="Times New Roman" w:hAnsi="Times New Roman" w:cs="Times New Roman"/>
          <w:i/>
          <w:lang w:val="fr-FR" w:eastAsia="fr-FR" w:bidi="fr-FR"/>
        </w:rPr>
        <w:t>iustus</w:t>
      </w:r>
      <w:r w:rsidRPr="006647D3">
        <w:rPr>
          <w:rFonts w:ascii="Times New Roman" w:eastAsia="Times New Roman" w:hAnsi="Times New Roman" w:cs="Times New Roman"/>
          <w:lang w:val="fr-FR" w:eastAsia="fr-FR" w:bidi="fr-FR"/>
        </w:rPr>
        <w:t>. Par exemple, à la place de l’empereur ou de son représentant siégeait l’évêque. Ainsi, à Nicée, lors du concile de 325, la Bible a remplacé la statue de la déesse Victoire qui présidait les réunions du sénat romain. Pour cela, la théologie elle-même était nécessaire, comme l’a noté Rowan Williams précisément à propos de Nicée, en soulignant l’insuffisance du seul élément sémantique qui avait été placé dans un nouveau contexte, donnant lieu à une nouvelle signification.</w:t>
      </w:r>
      <w:r w:rsidRPr="006647D3">
        <w:rPr>
          <w:rStyle w:val="Odwoanieprzypisudolnego"/>
          <w:rFonts w:ascii="Times New Roman" w:eastAsia="Times New Roman" w:hAnsi="Times New Roman" w:cs="Times New Roman"/>
          <w:lang w:val="fr-FR" w:eastAsia="fr-FR" w:bidi="fr-FR"/>
        </w:rPr>
        <w:footnoteReference w:id="10"/>
      </w:r>
      <w:r w:rsidRPr="006647D3">
        <w:rPr>
          <w:rFonts w:ascii="Times New Roman" w:eastAsia="Times New Roman" w:hAnsi="Times New Roman" w:cs="Times New Roman"/>
          <w:lang w:val="fr-FR" w:eastAsia="fr-FR" w:bidi="fr-FR"/>
        </w:rPr>
        <w:t xml:space="preserve"> Celui-ci n’est pas contradictoire avec ce que ces formes signifiaient auparavant, mais il en est clairement détaché par des différences concrètes. Cette co-présence de la continuité et de la nouveauté peut s’exprimer en termes de relation. En effet, la </w:t>
      </w:r>
      <w:r w:rsidRPr="006647D3">
        <w:rPr>
          <w:rFonts w:ascii="Times New Roman" w:eastAsia="Times New Roman" w:hAnsi="Times New Roman" w:cs="Times New Roman"/>
          <w:i/>
          <w:lang w:val="fr-FR" w:eastAsia="fr-FR" w:bidi="fr-FR"/>
        </w:rPr>
        <w:t xml:space="preserve">chrêsis orthê </w:t>
      </w:r>
      <w:r w:rsidRPr="006647D3">
        <w:rPr>
          <w:rFonts w:ascii="Times New Roman" w:eastAsia="Times New Roman" w:hAnsi="Times New Roman" w:cs="Times New Roman"/>
          <w:lang w:val="fr-FR" w:eastAsia="fr-FR" w:bidi="fr-FR"/>
        </w:rPr>
        <w:t>n’a pas nié la tradition civile romaine ; au contraire, elle en a affirmé la valeur, en conservant certains de ses éléments. Mais ceux-ci s’accompagnaient d’un nouveau contexte dans lequel ils prenaient une signification supplémentaire et inédite.</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 xml:space="preserve">Il n’est donc pas étonnant que, dans la rédaction du symbole de la foi à Nicée, une autre </w:t>
      </w:r>
      <w:r w:rsidRPr="006647D3">
        <w:rPr>
          <w:rFonts w:ascii="Times New Roman" w:eastAsia="Times New Roman" w:hAnsi="Times New Roman" w:cs="Times New Roman"/>
          <w:i/>
          <w:lang w:val="fr-FR" w:eastAsia="fr-FR" w:bidi="fr-FR"/>
        </w:rPr>
        <w:t xml:space="preserve">chrêsis </w:t>
      </w:r>
      <w:r w:rsidRPr="006647D3">
        <w:rPr>
          <w:rFonts w:ascii="Times New Roman" w:eastAsia="Times New Roman" w:hAnsi="Times New Roman" w:cs="Times New Roman"/>
          <w:lang w:val="fr-FR" w:eastAsia="fr-FR" w:bidi="fr-FR"/>
        </w:rPr>
        <w:t xml:space="preserve">ait fait son apparition, qui concernait le domaine philosophique. En effet, l’affirmation selon laquelle le Fils est "Dieu de Dieu" nécessitait une clarification, car la préposition qu’elle contenait pouvait être comprise comme une relation reliant deux substances différentes mais semblables. Le recours à l’ajout "Lumière de la Lumière, vrai Dieu du vrai Dieu", qui cherchait dans la structure symétrique de la formule à exprimer la pure spiritualité de la génération du Verbe et la transmission parfaite de l’unique nature divine, n’a pas suffi. C’est pourquoi, probablement sur les instructions de l’empereur lui-même et de son conseiller Ossius de Cordoue, l’expression </w:t>
      </w:r>
      <w:r w:rsidRPr="006647D3">
        <w:rPr>
          <w:rFonts w:ascii="Times New Roman" w:eastAsia="Times New Roman" w:hAnsi="Times New Roman" w:cs="Times New Roman"/>
          <w:i/>
          <w:lang w:val="fr-FR" w:eastAsia="fr-FR" w:bidi="fr-FR"/>
        </w:rPr>
        <w:t>homousios</w:t>
      </w:r>
      <w:r w:rsidRPr="006647D3">
        <w:rPr>
          <w:rFonts w:ascii="Times New Roman" w:eastAsia="Times New Roman" w:hAnsi="Times New Roman" w:cs="Times New Roman"/>
          <w:lang w:val="fr-FR" w:eastAsia="fr-FR" w:bidi="fr-FR"/>
        </w:rPr>
        <w:t xml:space="preserve"> a été insérée, ce qui signifie "de substance identique".</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Ce terme renvoie au concept métaphysique d’</w:t>
      </w:r>
      <w:r w:rsidRPr="006647D3">
        <w:rPr>
          <w:rFonts w:ascii="Times New Roman" w:eastAsia="Times New Roman" w:hAnsi="Times New Roman" w:cs="Times New Roman"/>
          <w:i/>
          <w:lang w:val="fr-FR" w:eastAsia="fr-FR" w:bidi="fr-FR"/>
        </w:rPr>
        <w:t xml:space="preserve">ousia, </w:t>
      </w:r>
      <w:r w:rsidRPr="006647D3">
        <w:rPr>
          <w:rFonts w:ascii="Times New Roman" w:eastAsia="Times New Roman" w:hAnsi="Times New Roman" w:cs="Times New Roman"/>
          <w:lang w:val="fr-FR" w:eastAsia="fr-FR" w:bidi="fr-FR"/>
        </w:rPr>
        <w:t>c’est-à-dire de substance, que l’on peut traduire par "consubstantiel". D’où l’accusation de corrompre la pureté biblique par le recours à la philosophie. Il ne faut cependant pas oublier que le terme lui-même avait déjà fait son entrée sur la scène théologique en 269 avec la condamnation de Paul de Samosate au synode d’Antioche.</w:t>
      </w:r>
      <w:r w:rsidRPr="006647D3">
        <w:rPr>
          <w:rStyle w:val="Odwoanieprzypisudolnego"/>
          <w:rFonts w:ascii="Times New Roman" w:eastAsia="Times New Roman" w:hAnsi="Times New Roman" w:cs="Times New Roman"/>
          <w:lang w:val="fr-FR" w:eastAsia="fr-FR" w:bidi="fr-FR"/>
        </w:rPr>
        <w:footnoteReference w:id="11"/>
      </w:r>
      <w:r w:rsidRPr="006647D3">
        <w:rPr>
          <w:rFonts w:ascii="Times New Roman" w:eastAsia="Times New Roman" w:hAnsi="Times New Roman" w:cs="Times New Roman"/>
          <w:lang w:val="fr-FR" w:eastAsia="fr-FR" w:bidi="fr-FR"/>
        </w:rPr>
        <w:t xml:space="preserve"> Ce qui devrait déplacer l’accusation vers le siècle précédent. Mais surtout, ce reproche d’avoir hellénisé le donné biblique dans sa pureté devrait concerner l’ensemble de la pensée patristique à commencer par les Pères apologistes. Ceux-ci, en effet, pour se défendre des persécutions et s’expliquer auprès des magistrats ou politiciens païens qui persécutaient les chrétiens, avaient exprimé la nouveauté révélée par des formules et des concepts tirés de la tradition philosophique, connus de leurs interlocuteurs. Cela n’équivalait pas </w:t>
      </w:r>
      <w:r w:rsidRPr="006647D3">
        <w:rPr>
          <w:rFonts w:ascii="Times New Roman" w:eastAsia="Times New Roman" w:hAnsi="Times New Roman" w:cs="Times New Roman"/>
          <w:i/>
          <w:lang w:val="fr-FR" w:eastAsia="fr-FR" w:bidi="fr-FR"/>
        </w:rPr>
        <w:t>sic et simpliciter</w:t>
      </w:r>
      <w:r w:rsidRPr="006647D3">
        <w:rPr>
          <w:rFonts w:ascii="Times New Roman" w:eastAsia="Times New Roman" w:hAnsi="Times New Roman" w:cs="Times New Roman"/>
          <w:lang w:val="fr-FR" w:eastAsia="fr-FR" w:bidi="fr-FR"/>
        </w:rPr>
        <w:t xml:space="preserve"> à une contamination du donné biblique, car une telle </w:t>
      </w:r>
      <w:r w:rsidRPr="006647D3">
        <w:rPr>
          <w:rFonts w:ascii="Times New Roman" w:eastAsia="Times New Roman" w:hAnsi="Times New Roman" w:cs="Times New Roman"/>
          <w:i/>
          <w:lang w:val="fr-FR" w:eastAsia="fr-FR" w:bidi="fr-FR"/>
        </w:rPr>
        <w:t>chrêsis,</w:t>
      </w:r>
      <w:r w:rsidRPr="006647D3">
        <w:rPr>
          <w:rFonts w:ascii="Times New Roman" w:eastAsia="Times New Roman" w:hAnsi="Times New Roman" w:cs="Times New Roman"/>
          <w:lang w:val="fr-FR" w:eastAsia="fr-FR" w:bidi="fr-FR"/>
        </w:rPr>
        <w:t xml:space="preserve"> en plaçant le texte dans un nouveau contexte, faisait émerger de nouvelles significations. De plus, ce processus était présent dans la Bible elle-même, la mémoire du peuple juif qui, au cours des siècles, a dû raconter la rencontre avec le Créateur, à travers un processus de re-signification constante qui touche également la dimension métaphysique. En effet, la tâche de Moïse devant le buisson ardent est précisément de déterminer ce qu’il a devant lui. Il ne s’agit pas seulement de la référence à l'</w:t>
      </w:r>
      <w:r w:rsidRPr="006647D3">
        <w:rPr>
          <w:rFonts w:ascii="Times New Roman" w:eastAsia="Times New Roman" w:hAnsi="Times New Roman" w:cs="Times New Roman"/>
          <w:smallCaps/>
          <w:lang w:val="fr-FR" w:eastAsia="fr-FR" w:bidi="fr-FR"/>
        </w:rPr>
        <w:t>ê</w:t>
      </w:r>
      <w:r w:rsidRPr="006647D3">
        <w:rPr>
          <w:rFonts w:ascii="Times New Roman" w:eastAsia="Times New Roman" w:hAnsi="Times New Roman" w:cs="Times New Roman"/>
          <w:lang w:val="fr-FR" w:eastAsia="fr-FR" w:bidi="fr-FR"/>
        </w:rPr>
        <w:t>tre contenu dans le nom révélé en Ex 3,14, saisie par la traduction septuaginoise de ce verset, où l’on retrouve la même expression que chez Platon, mais précisément de la question de déterminer quelle est cette réalité qui dans le buisson parle, promet et envoie.</w:t>
      </w:r>
    </w:p>
    <w:p w:rsidR="00E6136D" w:rsidRPr="009277E8" w:rsidRDefault="008727F0" w:rsidP="009277E8">
      <w:pPr>
        <w:pStyle w:val="Tekstpodstawowy"/>
        <w:ind w:firstLine="720"/>
        <w:jc w:val="both"/>
        <w:rPr>
          <w:rFonts w:ascii="Times New Roman" w:eastAsia="Times New Roman" w:hAnsi="Times New Roman" w:cs="Times New Roman"/>
          <w:b/>
          <w:bCs/>
          <w:iCs/>
          <w:lang w:val="fr-FR" w:eastAsia="fr-FR" w:bidi="fr-FR"/>
        </w:rPr>
      </w:pPr>
      <w:r w:rsidRPr="009277E8">
        <w:rPr>
          <w:rFonts w:ascii="Times New Roman" w:eastAsia="Times New Roman" w:hAnsi="Times New Roman" w:cs="Times New Roman"/>
          <w:b/>
          <w:bCs/>
          <w:iCs/>
          <w:lang w:val="fr-FR" w:eastAsia="fr-FR" w:bidi="fr-FR"/>
        </w:rPr>
        <w:t>3. Le défi terminologique</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lastRenderedPageBreak/>
        <w:t>Le paradoxe gnoséologique impliqué par l’affirmation biblique consiste dans le fait que l’Éternel et l’Infini se révèlent dans le temps et la finitude. Mais cela implique en même temps l’impossibilité de formuler le Mystère révélé et la nécessité de le faire pour le contenu du message lui-même. En effet, sa nouveauté est absolue, puisqu’il s’agit d’événements inouïs qui répondent à l’attente et à la soif d’infini de tout être humain, en attente de salut. Mais tous les concepts et les termes qui peuvent être utilisés pour exprimer cette nouveauté ont été développés au niveau de la création, dans la sphère finie et temporelle. Nous avons donc une discordance entre la forme et le contenu qui fait de la théologie négative un élément caractéristique dès les premières tentatives des Pères. Ceux-ci, en effet, s’inspiraient de la même littérature sapientielle qui, au niveau scriptural, révèle la conscience acquise par Israël de le surplus du Créateur par rapport aux possibilités de contrôle linguistique. Ce qui donnait du sens aux formulations, c’était avant tout la relation personnelle avec Dieu lui-même, et donc avec le peuple né de la rencontre avec lui. Avec le Nouveau Testament, ce paradoxe gnoséologique devient plus aigu.</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Ainsi, le prologue du quatrième Évangile, dès le premier verset, met en relation la tradition juive et le contexte hellénistique dans lequel se déroule la proclamation. L’expression "Au commencement (</w:t>
      </w:r>
      <w:r w:rsidRPr="006647D3">
        <w:rPr>
          <w:rFonts w:ascii="Times New Roman" w:eastAsia="Times New Roman" w:hAnsi="Times New Roman" w:cs="Times New Roman"/>
          <w:i/>
          <w:lang w:val="fr-FR" w:eastAsia="fr-FR" w:bidi="fr-FR"/>
        </w:rPr>
        <w:t>archê</w:t>
      </w:r>
      <w:r w:rsidRPr="006647D3">
        <w:rPr>
          <w:rFonts w:ascii="Times New Roman" w:eastAsia="Times New Roman" w:hAnsi="Times New Roman" w:cs="Times New Roman"/>
          <w:lang w:val="fr-FR" w:eastAsia="fr-FR" w:bidi="fr-FR"/>
        </w:rPr>
        <w:t>) était le Verbe (</w:t>
      </w:r>
      <w:r w:rsidRPr="006647D3">
        <w:rPr>
          <w:rFonts w:ascii="Times New Roman" w:eastAsia="Times New Roman" w:hAnsi="Times New Roman" w:cs="Times New Roman"/>
          <w:i/>
          <w:lang w:val="fr-FR" w:eastAsia="fr-FR" w:bidi="fr-FR"/>
        </w:rPr>
        <w:t>logos</w:t>
      </w:r>
      <w:r w:rsidRPr="006647D3">
        <w:rPr>
          <w:rFonts w:ascii="Times New Roman" w:eastAsia="Times New Roman" w:hAnsi="Times New Roman" w:cs="Times New Roman"/>
          <w:lang w:val="fr-FR" w:eastAsia="fr-FR" w:bidi="fr-FR"/>
        </w:rPr>
        <w:t>)" (Jn 1,1), en effet, renvoie à la fois au début de la Genèse, où il est raconté comment au commencement (</w:t>
      </w:r>
      <w:r w:rsidRPr="006647D3">
        <w:rPr>
          <w:rFonts w:ascii="Times New Roman" w:eastAsia="Times New Roman" w:hAnsi="Times New Roman" w:cs="Times New Roman"/>
          <w:i/>
          <w:lang w:val="fr-FR" w:eastAsia="fr-FR" w:bidi="fr-FR"/>
        </w:rPr>
        <w:t>be-reshit</w:t>
      </w:r>
      <w:r w:rsidRPr="006647D3">
        <w:rPr>
          <w:rFonts w:ascii="Times New Roman" w:eastAsia="Times New Roman" w:hAnsi="Times New Roman" w:cs="Times New Roman"/>
          <w:lang w:val="fr-FR" w:eastAsia="fr-FR" w:bidi="fr-FR"/>
        </w:rPr>
        <w:t>) Dieu créa tout par sa parole (</w:t>
      </w:r>
      <w:r w:rsidRPr="006647D3">
        <w:rPr>
          <w:rFonts w:ascii="Times New Roman" w:eastAsia="Times New Roman" w:hAnsi="Times New Roman" w:cs="Times New Roman"/>
          <w:i/>
          <w:lang w:val="fr-FR" w:eastAsia="fr-FR" w:bidi="fr-FR"/>
        </w:rPr>
        <w:t>dabar),</w:t>
      </w:r>
      <w:r w:rsidRPr="006647D3">
        <w:rPr>
          <w:rFonts w:ascii="Times New Roman" w:eastAsia="Times New Roman" w:hAnsi="Times New Roman" w:cs="Times New Roman"/>
          <w:lang w:val="fr-FR" w:eastAsia="fr-FR" w:bidi="fr-FR"/>
        </w:rPr>
        <w:t xml:space="preserve"> et à la recherche de la cause ultime de tout ce qui existe, en grec précisément </w:t>
      </w:r>
      <w:r w:rsidRPr="006647D3">
        <w:rPr>
          <w:rFonts w:ascii="Times New Roman" w:eastAsia="Times New Roman" w:hAnsi="Times New Roman" w:cs="Times New Roman"/>
          <w:i/>
          <w:lang w:val="fr-FR" w:eastAsia="fr-FR" w:bidi="fr-FR"/>
        </w:rPr>
        <w:t xml:space="preserve">archê, </w:t>
      </w:r>
      <w:r w:rsidRPr="006647D3">
        <w:rPr>
          <w:rFonts w:ascii="Times New Roman" w:eastAsia="Times New Roman" w:hAnsi="Times New Roman" w:cs="Times New Roman"/>
          <w:lang w:val="fr-FR" w:eastAsia="fr-FR" w:bidi="fr-FR"/>
        </w:rPr>
        <w:t xml:space="preserve">à laquelle se rattache l’entreprise métaphysique visée à travers la recherche avec la raison, en grec précisément </w:t>
      </w:r>
      <w:r w:rsidRPr="006647D3">
        <w:rPr>
          <w:rFonts w:ascii="Times New Roman" w:eastAsia="Times New Roman" w:hAnsi="Times New Roman" w:cs="Times New Roman"/>
          <w:i/>
          <w:lang w:val="fr-FR" w:eastAsia="fr-FR" w:bidi="fr-FR"/>
        </w:rPr>
        <w:t>logos.</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Du point de vue moderne, cette lecture du début du prologue johannique peut laisser perplexe, car la métaphysique a souvent été lue de manière anachronique comme une pure spéculation académique. Mais elle est née précisément pour défendre la véracité des traditions religieuses contenues dans les mythes par une purification rationnelle. Platon et Aristote étaient des hommes pieux qui cherchaient le premier principe pour pouvoir vivre pleinement leur existence à partir du sens ainsi identifié, quel qu’il soit, l’idée du Beau-Bon ou la "pensée de la pensée".</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 xml:space="preserve">Les premiers Pères de l’Église, en particulier les apologistes, se sont donc inspirés précisément de l’Écriture pour recourir à la philosophie, inévitable pour proclamer le message chrétien aux non-croyants et pour se défendre contre les persécutions. Mais dans cette </w:t>
      </w:r>
      <w:r w:rsidRPr="006647D3">
        <w:rPr>
          <w:rFonts w:ascii="Times New Roman" w:eastAsia="Times New Roman" w:hAnsi="Times New Roman" w:cs="Times New Roman"/>
          <w:i/>
          <w:lang w:val="fr-FR" w:eastAsia="fr-FR" w:bidi="fr-FR"/>
        </w:rPr>
        <w:t xml:space="preserve">chrêsis, </w:t>
      </w:r>
      <w:r w:rsidRPr="006647D3">
        <w:rPr>
          <w:rFonts w:ascii="Times New Roman" w:eastAsia="Times New Roman" w:hAnsi="Times New Roman" w:cs="Times New Roman"/>
          <w:lang w:val="fr-FR" w:eastAsia="fr-FR" w:bidi="fr-FR"/>
        </w:rPr>
        <w:t>ils agissaient avec liberté, parce qu’ils étaient conscients qu’aucune philosophie ne pouvait à elle seule servir à exprimer pleinement la nouveauté révélée. La fin du Prologue elle-même le prouve, car "Dieu, personne ne l’a jamais vu" (Jn 1,18) et ce n’est que par le Fils unique  qui s'est fait chair que l’on peut le connaître. Par exemple, Justin a "corrigé" la vision négative du monde matériel que la métaphysique platonicienne pouvait induire, en recourant à l’éthique stoïcienne, plus positive. Mais en même temps, il a corrigé la conception matérielle et immanente de la divinité, caractéristique de cette tradition, en recourant au platonisme. Le résultat, bien sûr, a encore des inconvénients, mais il est légitimé précisément par la conscience déclarée qu’aucun nom ne peut plus exprimer Dieu, parce qu’il est le premier et l’absolu, donc non engendré, de telle sorte que toutes les expressions le concernant, tant scripturaires que théologiques, se réfèrent à son action.</w:t>
      </w:r>
      <w:r w:rsidRPr="006647D3">
        <w:rPr>
          <w:rStyle w:val="Odwoanieprzypisudolnego"/>
          <w:rFonts w:ascii="Times New Roman" w:eastAsia="Times New Roman" w:hAnsi="Times New Roman" w:cs="Times New Roman"/>
          <w:lang w:val="fr-FR" w:eastAsia="fr-FR" w:bidi="fr-FR"/>
        </w:rPr>
        <w:footnoteReference w:id="12"/>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 xml:space="preserve">La tension concerne donc le </w:t>
      </w:r>
      <w:r w:rsidRPr="006647D3">
        <w:rPr>
          <w:rFonts w:ascii="Times New Roman" w:eastAsia="Times New Roman" w:hAnsi="Times New Roman" w:cs="Times New Roman"/>
          <w:i/>
          <w:lang w:val="fr-FR" w:eastAsia="fr-FR" w:bidi="fr-FR"/>
        </w:rPr>
        <w:t>Logos</w:t>
      </w:r>
      <w:r w:rsidRPr="006647D3">
        <w:rPr>
          <w:rFonts w:ascii="Times New Roman" w:eastAsia="Times New Roman" w:hAnsi="Times New Roman" w:cs="Times New Roman"/>
          <w:lang w:val="fr-FR" w:eastAsia="fr-FR" w:bidi="fr-FR"/>
        </w:rPr>
        <w:t xml:space="preserve">, avec sa double référence à l’être et à l’action de Dieu. Le recours du philosophe martyr à la distinction stoïcienne entre </w:t>
      </w:r>
      <w:r w:rsidRPr="006647D3">
        <w:rPr>
          <w:rFonts w:ascii="Times New Roman" w:eastAsia="Times New Roman" w:hAnsi="Times New Roman" w:cs="Times New Roman"/>
          <w:i/>
          <w:lang w:val="fr-FR" w:eastAsia="fr-FR" w:bidi="fr-FR"/>
        </w:rPr>
        <w:t>logos prophorikos</w:t>
      </w:r>
      <w:r w:rsidRPr="006647D3">
        <w:rPr>
          <w:rFonts w:ascii="Times New Roman" w:eastAsia="Times New Roman" w:hAnsi="Times New Roman" w:cs="Times New Roman"/>
          <w:lang w:val="fr-FR" w:eastAsia="fr-FR" w:bidi="fr-FR"/>
        </w:rPr>
        <w:t xml:space="preserve"> et </w:t>
      </w:r>
      <w:r w:rsidRPr="006647D3">
        <w:rPr>
          <w:rFonts w:ascii="Times New Roman" w:eastAsia="Times New Roman" w:hAnsi="Times New Roman" w:cs="Times New Roman"/>
          <w:i/>
          <w:iCs/>
          <w:lang w:val="fr-FR" w:eastAsia="fr-FR" w:bidi="fr-FR"/>
        </w:rPr>
        <w:t>logos</w:t>
      </w:r>
      <w:r w:rsidRPr="006647D3">
        <w:rPr>
          <w:rFonts w:ascii="Times New Roman" w:eastAsia="Times New Roman" w:hAnsi="Times New Roman" w:cs="Times New Roman"/>
          <w:lang w:val="fr-FR" w:eastAsia="fr-FR" w:bidi="fr-FR"/>
        </w:rPr>
        <w:t xml:space="preserve"> </w:t>
      </w:r>
      <w:r w:rsidRPr="006647D3">
        <w:rPr>
          <w:rFonts w:ascii="Times New Roman" w:eastAsia="Times New Roman" w:hAnsi="Times New Roman" w:cs="Times New Roman"/>
          <w:i/>
          <w:lang w:val="fr-FR" w:eastAsia="fr-FR" w:bidi="fr-FR"/>
        </w:rPr>
        <w:t>endiathetos</w:t>
      </w:r>
      <w:r w:rsidRPr="006647D3">
        <w:rPr>
          <w:rFonts w:ascii="Times New Roman" w:eastAsia="Times New Roman" w:hAnsi="Times New Roman" w:cs="Times New Roman"/>
          <w:lang w:val="fr-FR" w:eastAsia="fr-FR" w:bidi="fr-FR"/>
        </w:rPr>
        <w:t xml:space="preserve"> (</w:t>
      </w:r>
      <w:r w:rsidRPr="006647D3">
        <w:rPr>
          <w:rFonts w:ascii="Times New Roman" w:eastAsia="Times New Roman" w:hAnsi="Times New Roman" w:cs="Times New Roman"/>
          <w:i/>
          <w:lang w:val="fr-FR" w:eastAsia="fr-FR" w:bidi="fr-FR"/>
        </w:rPr>
        <w:t>logos</w:t>
      </w:r>
      <w:r w:rsidRPr="006647D3">
        <w:rPr>
          <w:rFonts w:ascii="Times New Roman" w:eastAsia="Times New Roman" w:hAnsi="Times New Roman" w:cs="Times New Roman"/>
          <w:lang w:val="fr-FR" w:eastAsia="fr-FR" w:bidi="fr-FR"/>
        </w:rPr>
        <w:t xml:space="preserve"> exprimé et </w:t>
      </w:r>
      <w:r w:rsidRPr="006647D3">
        <w:rPr>
          <w:rFonts w:ascii="Times New Roman" w:eastAsia="Times New Roman" w:hAnsi="Times New Roman" w:cs="Times New Roman"/>
          <w:i/>
          <w:lang w:val="fr-FR" w:eastAsia="fr-FR" w:bidi="fr-FR"/>
        </w:rPr>
        <w:t>logos</w:t>
      </w:r>
      <w:r w:rsidRPr="006647D3">
        <w:rPr>
          <w:rFonts w:ascii="Times New Roman" w:eastAsia="Times New Roman" w:hAnsi="Times New Roman" w:cs="Times New Roman"/>
          <w:lang w:val="fr-FR" w:eastAsia="fr-FR" w:bidi="fr-FR"/>
        </w:rPr>
        <w:t xml:space="preserve"> immanent) avait en effet le grand inconvénient de lier nécessairement l’identité de la seconde personne divine à la création, comme pensée de Dieu en vue de son œuvre. De même qu’un peintre conçoit le tableau avant de le peindre et que cette pensée est bien celle de l’auteur, de même le </w:t>
      </w:r>
      <w:r w:rsidRPr="006647D3">
        <w:rPr>
          <w:rFonts w:ascii="Times New Roman" w:eastAsia="Times New Roman" w:hAnsi="Times New Roman" w:cs="Times New Roman"/>
          <w:i/>
          <w:lang w:val="fr-FR" w:eastAsia="fr-FR" w:bidi="fr-FR"/>
        </w:rPr>
        <w:t>Logos</w:t>
      </w:r>
      <w:r w:rsidRPr="006647D3">
        <w:rPr>
          <w:rFonts w:ascii="Times New Roman" w:eastAsia="Times New Roman" w:hAnsi="Times New Roman" w:cs="Times New Roman"/>
          <w:lang w:val="fr-FR" w:eastAsia="fr-FR" w:bidi="fr-FR"/>
        </w:rPr>
        <w:t xml:space="preserve"> est divin, mais seulement parce que le peintre a décidé de le peindre.</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lastRenderedPageBreak/>
        <w:t>Dans la perspective du Concile de Nicée qui suivra, la tension qui explosera pour aboutir à l’</w:t>
      </w:r>
      <w:r w:rsidRPr="006647D3">
        <w:rPr>
          <w:rFonts w:ascii="Times New Roman" w:eastAsia="Times New Roman" w:hAnsi="Times New Roman" w:cs="Times New Roman"/>
          <w:i/>
          <w:lang w:val="fr-FR" w:eastAsia="fr-FR" w:bidi="fr-FR"/>
        </w:rPr>
        <w:t xml:space="preserve">homousios </w:t>
      </w:r>
      <w:r w:rsidRPr="006647D3">
        <w:rPr>
          <w:rFonts w:ascii="Times New Roman" w:eastAsia="Times New Roman" w:hAnsi="Times New Roman" w:cs="Times New Roman"/>
          <w:lang w:val="fr-FR" w:eastAsia="fr-FR" w:bidi="fr-FR"/>
        </w:rPr>
        <w:t>est déjà révélée par Justin. En effet, le Fils, précisément parce qu’il est engendré, est circonscrit et manifesté dans l’histoire. C’est pourquoi il est "personne", alors que le Père ne l’est pas.</w:t>
      </w:r>
      <w:r w:rsidRPr="006647D3">
        <w:rPr>
          <w:rStyle w:val="Odwoanieprzypisudolnego"/>
          <w:rFonts w:ascii="Times New Roman" w:eastAsia="Times New Roman" w:hAnsi="Times New Roman" w:cs="Times New Roman"/>
          <w:lang w:val="fr-FR" w:eastAsia="fr-FR" w:bidi="fr-FR"/>
        </w:rPr>
        <w:footnoteReference w:id="13"/>
      </w:r>
      <w:r w:rsidRPr="006647D3">
        <w:rPr>
          <w:rFonts w:ascii="Times New Roman" w:eastAsia="Times New Roman" w:hAnsi="Times New Roman" w:cs="Times New Roman"/>
          <w:lang w:val="fr-FR" w:eastAsia="fr-FR" w:bidi="fr-FR"/>
        </w:rPr>
        <w:t xml:space="preserve"> D’un point de vue contemporain, cette affirmation est surprenante, car des siècles de pensée chrétienne ont identifié le fait d’être une personne à un aspect positif. En revanche, dans les premiers temps de la pensée chrétienne, ce n’était pas le cas, car le concept de personne impliquait une limitation. En d’autres termes, les personnes sont limitées précisément parce qu’elles ont un nom, qu’elles sont définissables, alors que Dieu est infini et, par conséquent, non circonscriptible. La tension est maintenue à Alexandrie avec Clément, qui affirme que le </w:t>
      </w:r>
      <w:r w:rsidRPr="006647D3">
        <w:rPr>
          <w:rFonts w:ascii="Times New Roman" w:eastAsia="Times New Roman" w:hAnsi="Times New Roman" w:cs="Times New Roman"/>
          <w:i/>
          <w:lang w:val="fr-FR" w:eastAsia="fr-FR" w:bidi="fr-FR"/>
        </w:rPr>
        <w:t>Logos</w:t>
      </w:r>
      <w:r w:rsidRPr="006647D3">
        <w:rPr>
          <w:rFonts w:ascii="Times New Roman" w:eastAsia="Times New Roman" w:hAnsi="Times New Roman" w:cs="Times New Roman"/>
          <w:lang w:val="fr-FR" w:eastAsia="fr-FR" w:bidi="fr-FR"/>
        </w:rPr>
        <w:t xml:space="preserve"> est Fils selon la circonscriptibilité, </w:t>
      </w:r>
      <w:r w:rsidRPr="006647D3">
        <w:rPr>
          <w:rFonts w:ascii="Times New Roman" w:eastAsia="Times New Roman" w:hAnsi="Times New Roman" w:cs="Times New Roman"/>
          <w:i/>
          <w:lang w:val="fr-FR" w:eastAsia="fr-FR" w:bidi="fr-FR"/>
        </w:rPr>
        <w:t>kata perigraphên</w:t>
      </w:r>
      <w:r w:rsidRPr="006647D3">
        <w:rPr>
          <w:rFonts w:ascii="Times New Roman" w:eastAsia="Times New Roman" w:hAnsi="Times New Roman" w:cs="Times New Roman"/>
          <w:lang w:val="fr-FR" w:eastAsia="fr-FR" w:bidi="fr-FR"/>
        </w:rPr>
        <w:t xml:space="preserve">, c’est-à-dire selon la possibilité d’être exprimé, mais pas </w:t>
      </w:r>
      <w:r w:rsidRPr="006647D3">
        <w:rPr>
          <w:rFonts w:ascii="Times New Roman" w:eastAsia="Times New Roman" w:hAnsi="Times New Roman" w:cs="Times New Roman"/>
          <w:i/>
          <w:lang w:val="fr-FR" w:eastAsia="fr-FR" w:bidi="fr-FR"/>
        </w:rPr>
        <w:t>kat’ousian</w:t>
      </w:r>
      <w:r w:rsidRPr="006647D3">
        <w:rPr>
          <w:rFonts w:ascii="Times New Roman" w:eastAsia="Times New Roman" w:hAnsi="Times New Roman" w:cs="Times New Roman"/>
          <w:lang w:val="fr-FR" w:eastAsia="fr-FR" w:bidi="fr-FR"/>
        </w:rPr>
        <w:t>, parce que l’essence divine reste toujours au-delà de toute possibilité d’expression.</w:t>
      </w:r>
      <w:r w:rsidRPr="006647D3">
        <w:rPr>
          <w:rStyle w:val="Odwoanieprzypisudolnego"/>
          <w:rFonts w:ascii="Times New Roman" w:eastAsia="Times New Roman" w:hAnsi="Times New Roman" w:cs="Times New Roman"/>
          <w:lang w:val="fr-FR" w:eastAsia="fr-FR" w:bidi="fr-FR"/>
        </w:rPr>
        <w:footnoteReference w:id="14"/>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La tension entre la personne et l’essence est évidente, parallèle à celle entre l'universel et le concret. Dans ce contexte, la contribution d’Origène s’est avérée fondamentale. Son génie théologique lui a permis d’établir une distinction claire et absolue entre la Trinité et la création. La voie empruntée par l’Alexandrin identifiait les trois personnes divines à la dimension purement spirituelle, tandis que chaque créature serait caractérisée par un élément corporel, même subtil comme dans le cas des anges.</w:t>
      </w:r>
      <w:r w:rsidRPr="006647D3">
        <w:rPr>
          <w:rStyle w:val="Odwoanieprzypisudolnego"/>
          <w:rFonts w:ascii="Times New Roman" w:eastAsia="Times New Roman" w:hAnsi="Times New Roman" w:cs="Times New Roman"/>
          <w:lang w:val="fr-FR" w:eastAsia="fr-FR" w:bidi="fr-FR"/>
        </w:rPr>
        <w:footnoteReference w:id="15"/>
      </w:r>
      <w:r w:rsidRPr="006647D3">
        <w:rPr>
          <w:rFonts w:ascii="Times New Roman" w:eastAsia="Times New Roman" w:hAnsi="Times New Roman" w:cs="Times New Roman"/>
          <w:lang w:val="fr-FR" w:eastAsia="fr-FR" w:bidi="fr-FR"/>
        </w:rPr>
        <w:t xml:space="preserve"> La différence de nature entre le Créateur et la créature était ainsi formulée avec précision. La difficulté consistait toutefois à distinguer le Père, le Fils et le Saint-Esprit au sein de l’unique espace ontologique purement spirituel. Origène a eu recours à un langage participatif, identifiant la première personne divine avec le Bien absolu et les autres attributs divins. En même temps, il distingue les personnes en affirmant que le </w:t>
      </w:r>
      <w:r w:rsidRPr="006647D3">
        <w:rPr>
          <w:rFonts w:ascii="Times New Roman" w:eastAsia="Times New Roman" w:hAnsi="Times New Roman" w:cs="Times New Roman"/>
          <w:i/>
          <w:iCs/>
          <w:lang w:val="fr-FR" w:eastAsia="fr-FR" w:bidi="fr-FR"/>
        </w:rPr>
        <w:t xml:space="preserve">Logos </w:t>
      </w:r>
      <w:r w:rsidRPr="006647D3">
        <w:rPr>
          <w:rFonts w:ascii="Times New Roman" w:eastAsia="Times New Roman" w:hAnsi="Times New Roman" w:cs="Times New Roman"/>
          <w:lang w:val="fr-FR" w:eastAsia="fr-FR" w:bidi="fr-FR"/>
        </w:rPr>
        <w:t xml:space="preserve">participe au Bien et le transmet à l'Esprit. C’est pourquoi le Fils est appelé </w:t>
      </w:r>
      <w:r w:rsidRPr="006647D3">
        <w:rPr>
          <w:rFonts w:ascii="Times New Roman" w:eastAsia="Times New Roman" w:hAnsi="Times New Roman" w:cs="Times New Roman"/>
          <w:i/>
          <w:lang w:val="fr-FR" w:eastAsia="fr-FR" w:bidi="fr-FR"/>
        </w:rPr>
        <w:t>deuteros Theos</w:t>
      </w:r>
      <w:r w:rsidRPr="006647D3">
        <w:rPr>
          <w:rFonts w:ascii="Times New Roman" w:eastAsia="Times New Roman" w:hAnsi="Times New Roman" w:cs="Times New Roman"/>
          <w:lang w:val="fr-FR" w:eastAsia="fr-FR" w:bidi="fr-FR"/>
        </w:rPr>
        <w:t xml:space="preserve"> et Dieu par participation.</w:t>
      </w:r>
      <w:r w:rsidRPr="006647D3">
        <w:rPr>
          <w:rStyle w:val="Odwoanieprzypisudolnego"/>
          <w:rFonts w:ascii="Times New Roman" w:eastAsia="Times New Roman" w:hAnsi="Times New Roman" w:cs="Times New Roman"/>
          <w:lang w:val="fr-FR" w:eastAsia="fr-FR" w:bidi="fr-FR"/>
        </w:rPr>
        <w:footnoteReference w:id="16"/>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Les limites de cette approche peuvent être mises en relation avec le fait de lire le lien entre le Père et le Fils en termes de volonté et non en termes de nature. Ce lien était présent à la fois chez Justin et Origène et le serait chez Arius, qui faisait appel à l’autorité de l’Alexandrin.</w:t>
      </w:r>
      <w:r w:rsidRPr="006647D3">
        <w:rPr>
          <w:rStyle w:val="Odwoanieprzypisudolnego"/>
          <w:rFonts w:ascii="Times New Roman" w:eastAsia="Times New Roman" w:hAnsi="Times New Roman" w:cs="Times New Roman"/>
          <w:lang w:val="fr-FR" w:eastAsia="fr-FR" w:bidi="fr-FR"/>
        </w:rPr>
        <w:footnoteReference w:id="17"/>
      </w:r>
      <w:r w:rsidRPr="006647D3">
        <w:rPr>
          <w:rFonts w:ascii="Times New Roman" w:eastAsia="Times New Roman" w:hAnsi="Times New Roman" w:cs="Times New Roman"/>
          <w:lang w:val="fr-FR" w:eastAsia="fr-FR" w:bidi="fr-FR"/>
        </w:rPr>
        <w:t xml:space="preserve"> Nicée était en fait une dispute sur l’exégèse d’Origène et, par conséquent, sur la purification dont les termes philosophiques avaient besoin pour ne pas défigurer le Mystère révélé. Mais un tel processus était en cours depuis les débuts de la pensée chrétienne.</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 xml:space="preserve">La discussion au concile de Nicée portait donc essentiellement sur ce que signifiait le fait que le </w:t>
      </w:r>
      <w:r w:rsidRPr="006647D3">
        <w:rPr>
          <w:rFonts w:ascii="Times New Roman" w:eastAsia="Times New Roman" w:hAnsi="Times New Roman" w:cs="Times New Roman"/>
          <w:i/>
          <w:lang w:val="fr-FR" w:eastAsia="fr-FR" w:bidi="fr-FR"/>
        </w:rPr>
        <w:t xml:space="preserve">Logos </w:t>
      </w:r>
      <w:r w:rsidRPr="006647D3">
        <w:rPr>
          <w:rFonts w:ascii="Times New Roman" w:eastAsia="Times New Roman" w:hAnsi="Times New Roman" w:cs="Times New Roman"/>
          <w:lang w:val="fr-FR" w:eastAsia="fr-FR" w:bidi="fr-FR"/>
        </w:rPr>
        <w:t xml:space="preserve">venait de Dieu, d’où la préposition grecque </w:t>
      </w:r>
      <w:r w:rsidRPr="006647D3">
        <w:rPr>
          <w:rFonts w:ascii="Times New Roman" w:eastAsia="Times New Roman" w:hAnsi="Times New Roman" w:cs="Times New Roman"/>
          <w:i/>
          <w:lang w:val="fr-FR" w:eastAsia="fr-FR" w:bidi="fr-FR"/>
        </w:rPr>
        <w:t>ek</w:t>
      </w:r>
      <w:r w:rsidRPr="006647D3">
        <w:rPr>
          <w:rFonts w:ascii="Times New Roman" w:eastAsia="Times New Roman" w:hAnsi="Times New Roman" w:cs="Times New Roman"/>
          <w:lang w:val="fr-FR" w:eastAsia="fr-FR" w:bidi="fr-FR"/>
        </w:rPr>
        <w:t>. S’agissait-il d’une substance autre que le Père, tirée du néant par sa volonté, en vue de la création ? Ou bien étaient-ils une seule et même chose, selon ce que Jésus affirme en Jean 10:30, et leur distinction devait-elle être placée sur un plan personnel ? Mais comment parler de l'existence de la personne dans l'Absolu ?</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 xml:space="preserve">Le fait est qu’il manque des termes pour indiquer cette distinction, puisque dans l’expérience humaine une </w:t>
      </w:r>
      <w:r w:rsidRPr="006647D3">
        <w:rPr>
          <w:rFonts w:ascii="Times New Roman" w:eastAsia="Times New Roman" w:hAnsi="Times New Roman" w:cs="Times New Roman"/>
          <w:i/>
          <w:lang w:val="fr-FR" w:eastAsia="fr-FR" w:bidi="fr-FR"/>
        </w:rPr>
        <w:t>ousia</w:t>
      </w:r>
      <w:r w:rsidRPr="006647D3">
        <w:rPr>
          <w:rFonts w:ascii="Times New Roman" w:eastAsia="Times New Roman" w:hAnsi="Times New Roman" w:cs="Times New Roman"/>
          <w:lang w:val="fr-FR" w:eastAsia="fr-FR" w:bidi="fr-FR"/>
        </w:rPr>
        <w:t xml:space="preserve"> coïncide toujours avec une </w:t>
      </w:r>
      <w:r w:rsidRPr="006647D3">
        <w:rPr>
          <w:rFonts w:ascii="Times New Roman" w:eastAsia="Times New Roman" w:hAnsi="Times New Roman" w:cs="Times New Roman"/>
          <w:i/>
          <w:lang w:val="fr-FR" w:eastAsia="fr-FR" w:bidi="fr-FR"/>
        </w:rPr>
        <w:t>hypostase, c’</w:t>
      </w:r>
      <w:r w:rsidRPr="006647D3">
        <w:rPr>
          <w:rFonts w:ascii="Times New Roman" w:eastAsia="Times New Roman" w:hAnsi="Times New Roman" w:cs="Times New Roman"/>
          <w:lang w:val="fr-FR" w:eastAsia="fr-FR" w:bidi="fr-FR"/>
        </w:rPr>
        <w:t xml:space="preserve">est-à-dire que la connaissance d’une substance dépend toujours de la connaissance d’une réalité subsistante concrète dans laquelle cette substance est donnée. On ne peut pas connaître le cheval </w:t>
      </w:r>
      <w:r w:rsidRPr="006647D3">
        <w:rPr>
          <w:rFonts w:ascii="Times New Roman" w:eastAsia="Times New Roman" w:hAnsi="Times New Roman" w:cs="Times New Roman"/>
          <w:i/>
          <w:lang w:val="fr-FR" w:eastAsia="fr-FR" w:bidi="fr-FR"/>
        </w:rPr>
        <w:t>tout court</w:t>
      </w:r>
      <w:r w:rsidRPr="006647D3">
        <w:rPr>
          <w:rFonts w:ascii="Times New Roman" w:eastAsia="Times New Roman" w:hAnsi="Times New Roman" w:cs="Times New Roman"/>
          <w:lang w:val="fr-FR" w:eastAsia="fr-FR" w:bidi="fr-FR"/>
        </w:rPr>
        <w:t xml:space="preserve">, mais on connaît toujours </w:t>
      </w:r>
      <w:r w:rsidRPr="006647D3">
        <w:rPr>
          <w:rFonts w:ascii="Times New Roman" w:eastAsia="Times New Roman" w:hAnsi="Times New Roman" w:cs="Times New Roman"/>
          <w:i/>
          <w:lang w:val="fr-FR" w:eastAsia="fr-FR" w:bidi="fr-FR"/>
        </w:rPr>
        <w:t>un</w:t>
      </w:r>
      <w:r w:rsidRPr="006647D3">
        <w:rPr>
          <w:rFonts w:ascii="Times New Roman" w:eastAsia="Times New Roman" w:hAnsi="Times New Roman" w:cs="Times New Roman"/>
          <w:lang w:val="fr-FR" w:eastAsia="fr-FR" w:bidi="fr-FR"/>
        </w:rPr>
        <w:t xml:space="preserve"> cheval déterminé. La difficulté terminologique apparaît en latin, lorsque l’on traduit </w:t>
      </w:r>
      <w:r w:rsidRPr="006647D3">
        <w:rPr>
          <w:rFonts w:ascii="Times New Roman" w:eastAsia="Times New Roman" w:hAnsi="Times New Roman" w:cs="Times New Roman"/>
          <w:i/>
          <w:lang w:val="fr-FR" w:eastAsia="fr-FR" w:bidi="fr-FR"/>
        </w:rPr>
        <w:t>hypostasis</w:t>
      </w:r>
      <w:r w:rsidRPr="006647D3">
        <w:rPr>
          <w:rFonts w:ascii="Times New Roman" w:eastAsia="Times New Roman" w:hAnsi="Times New Roman" w:cs="Times New Roman"/>
          <w:lang w:val="fr-FR" w:eastAsia="fr-FR" w:bidi="fr-FR"/>
        </w:rPr>
        <w:t xml:space="preserve"> par </w:t>
      </w:r>
      <w:r w:rsidRPr="006647D3">
        <w:rPr>
          <w:rFonts w:ascii="Times New Roman" w:eastAsia="Times New Roman" w:hAnsi="Times New Roman" w:cs="Times New Roman"/>
          <w:i/>
          <w:lang w:val="fr-FR" w:eastAsia="fr-FR" w:bidi="fr-FR"/>
        </w:rPr>
        <w:t>substantia</w:t>
      </w:r>
      <w:r w:rsidRPr="006647D3">
        <w:rPr>
          <w:rFonts w:ascii="Times New Roman" w:eastAsia="Times New Roman" w:hAnsi="Times New Roman" w:cs="Times New Roman"/>
          <w:lang w:val="fr-FR" w:eastAsia="fr-FR" w:bidi="fr-FR"/>
        </w:rPr>
        <w:t xml:space="preserve">, auquel il correspond littéralement. La situation était compliquée par le fait qu’un autre terme pouvant signifier personne, </w:t>
      </w:r>
      <w:r w:rsidRPr="006647D3">
        <w:rPr>
          <w:rFonts w:ascii="Times New Roman" w:eastAsia="Times New Roman" w:hAnsi="Times New Roman" w:cs="Times New Roman"/>
          <w:i/>
          <w:lang w:val="fr-FR" w:eastAsia="fr-FR" w:bidi="fr-FR"/>
        </w:rPr>
        <w:t>prosôpon,</w:t>
      </w:r>
      <w:r w:rsidRPr="006647D3">
        <w:rPr>
          <w:rFonts w:ascii="Times New Roman" w:eastAsia="Times New Roman" w:hAnsi="Times New Roman" w:cs="Times New Roman"/>
          <w:lang w:val="fr-FR" w:eastAsia="fr-FR" w:bidi="fr-FR"/>
        </w:rPr>
        <w:t xml:space="preserve"> avait une valeur faible, dans le sens d’apparence ou de caractère, ce qui le rendait attrayant pour les modalistes.</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 xml:space="preserve">Ainsi, dire que le Père, le Fils et le Saint-Esprit sont trois </w:t>
      </w:r>
      <w:r w:rsidRPr="006647D3">
        <w:rPr>
          <w:rFonts w:ascii="Times New Roman" w:eastAsia="Times New Roman" w:hAnsi="Times New Roman" w:cs="Times New Roman"/>
          <w:i/>
          <w:lang w:val="fr-FR" w:eastAsia="fr-FR" w:bidi="fr-FR"/>
        </w:rPr>
        <w:t xml:space="preserve">hypostaseis </w:t>
      </w:r>
      <w:r w:rsidRPr="006647D3">
        <w:rPr>
          <w:rFonts w:ascii="Times New Roman" w:eastAsia="Times New Roman" w:hAnsi="Times New Roman" w:cs="Times New Roman"/>
          <w:lang w:val="fr-FR" w:eastAsia="fr-FR" w:bidi="fr-FR"/>
        </w:rPr>
        <w:t xml:space="preserve">peut être compris dans le sens de trois substances différentes, alors que dire qu’ils sont trois </w:t>
      </w:r>
      <w:r w:rsidRPr="006647D3">
        <w:rPr>
          <w:rFonts w:ascii="Times New Roman" w:eastAsia="Times New Roman" w:hAnsi="Times New Roman" w:cs="Times New Roman"/>
          <w:i/>
          <w:lang w:val="fr-FR" w:eastAsia="fr-FR" w:bidi="fr-FR"/>
        </w:rPr>
        <w:t>prosôpon</w:t>
      </w:r>
      <w:r w:rsidRPr="006647D3">
        <w:rPr>
          <w:rFonts w:ascii="Times New Roman" w:eastAsia="Times New Roman" w:hAnsi="Times New Roman" w:cs="Times New Roman"/>
          <w:lang w:val="fr-FR" w:eastAsia="fr-FR" w:bidi="fr-FR"/>
        </w:rPr>
        <w:t xml:space="preserve"> peut être compris dans le sens d’une seule personne avec trois manifestations distinctes. Mais pour Origène, Athanase </w:t>
      </w:r>
      <w:r w:rsidRPr="006647D3">
        <w:rPr>
          <w:rFonts w:ascii="Times New Roman" w:eastAsia="Times New Roman" w:hAnsi="Times New Roman" w:cs="Times New Roman"/>
          <w:lang w:val="fr-FR" w:eastAsia="fr-FR" w:bidi="fr-FR"/>
        </w:rPr>
        <w:lastRenderedPageBreak/>
        <w:t xml:space="preserve">et le Concile de Nicée, </w:t>
      </w:r>
      <w:r w:rsidRPr="006647D3">
        <w:rPr>
          <w:rFonts w:ascii="Times New Roman" w:eastAsia="Times New Roman" w:hAnsi="Times New Roman" w:cs="Times New Roman"/>
          <w:i/>
          <w:lang w:val="fr-FR" w:eastAsia="fr-FR" w:bidi="fr-FR"/>
        </w:rPr>
        <w:t>hypostasis</w:t>
      </w:r>
      <w:r w:rsidRPr="006647D3">
        <w:rPr>
          <w:rFonts w:ascii="Times New Roman" w:eastAsia="Times New Roman" w:hAnsi="Times New Roman" w:cs="Times New Roman"/>
          <w:lang w:val="fr-FR" w:eastAsia="fr-FR" w:bidi="fr-FR"/>
        </w:rPr>
        <w:t xml:space="preserve"> et </w:t>
      </w:r>
      <w:r w:rsidRPr="006647D3">
        <w:rPr>
          <w:rFonts w:ascii="Times New Roman" w:eastAsia="Times New Roman" w:hAnsi="Times New Roman" w:cs="Times New Roman"/>
          <w:i/>
          <w:lang w:val="fr-FR" w:eastAsia="fr-FR" w:bidi="fr-FR"/>
        </w:rPr>
        <w:t>ousia</w:t>
      </w:r>
      <w:r w:rsidRPr="006647D3">
        <w:rPr>
          <w:rFonts w:ascii="Times New Roman" w:eastAsia="Times New Roman" w:hAnsi="Times New Roman" w:cs="Times New Roman"/>
          <w:lang w:val="fr-FR" w:eastAsia="fr-FR" w:bidi="fr-FR"/>
        </w:rPr>
        <w:t xml:space="preserve"> étaient synonymes</w:t>
      </w:r>
      <w:r w:rsidRPr="006647D3">
        <w:rPr>
          <w:rStyle w:val="Odwoanieprzypisudolnego"/>
          <w:rFonts w:ascii="Times New Roman" w:eastAsia="Times New Roman" w:hAnsi="Times New Roman" w:cs="Times New Roman"/>
          <w:lang w:val="fr-FR" w:eastAsia="fr-FR" w:bidi="fr-FR"/>
        </w:rPr>
        <w:footnoteReference w:id="18"/>
      </w:r>
      <w:r w:rsidRPr="006647D3">
        <w:rPr>
          <w:rFonts w:ascii="Times New Roman" w:eastAsia="Times New Roman" w:hAnsi="Times New Roman" w:cs="Times New Roman"/>
          <w:lang w:val="fr-FR" w:eastAsia="fr-FR" w:bidi="fr-FR"/>
        </w:rPr>
        <w:t xml:space="preserve"> et il en sera ainsi tout au long de la première moitié du 4ème siècle. Ce sont alors les Pères cappadociens, avec la formule </w:t>
      </w:r>
      <w:r w:rsidRPr="006647D3">
        <w:rPr>
          <w:rFonts w:ascii="Times New Roman" w:eastAsia="Times New Roman" w:hAnsi="Times New Roman" w:cs="Times New Roman"/>
          <w:i/>
          <w:lang w:val="fr-FR" w:eastAsia="fr-FR" w:bidi="fr-FR"/>
        </w:rPr>
        <w:t xml:space="preserve">mia ousia, treis hypostaseis, </w:t>
      </w:r>
      <w:r w:rsidRPr="006647D3">
        <w:rPr>
          <w:rFonts w:ascii="Times New Roman" w:eastAsia="Times New Roman" w:hAnsi="Times New Roman" w:cs="Times New Roman"/>
          <w:lang w:val="fr-FR" w:eastAsia="fr-FR" w:bidi="fr-FR"/>
        </w:rPr>
        <w:t>qui trancheront la question, car l’adjectif numéral différent empêchera de traiter les deux termes comme des synonymes, mais indiquera que les trois sont trois hypostases distinctes, non pas dans le sens de la substance, comme le voulait Arius, et en même temps que leur distinction est réelle, et pas seulement d’apparence, comme l’aurait voulu Sabellius.</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 xml:space="preserve">Ainsi, la discussion sur le symbole en 325 portait essentiellement sur la manière de relier </w:t>
      </w:r>
      <w:r w:rsidRPr="006647D3">
        <w:rPr>
          <w:rFonts w:ascii="Times New Roman" w:eastAsia="Times New Roman" w:hAnsi="Times New Roman" w:cs="Times New Roman"/>
          <w:i/>
          <w:lang w:val="fr-FR" w:eastAsia="fr-FR" w:bidi="fr-FR"/>
        </w:rPr>
        <w:t>ousia</w:t>
      </w:r>
      <w:r w:rsidRPr="006647D3">
        <w:rPr>
          <w:rFonts w:ascii="Times New Roman" w:eastAsia="Times New Roman" w:hAnsi="Times New Roman" w:cs="Times New Roman"/>
          <w:lang w:val="fr-FR" w:eastAsia="fr-FR" w:bidi="fr-FR"/>
        </w:rPr>
        <w:t xml:space="preserve">, </w:t>
      </w:r>
      <w:r w:rsidRPr="006647D3">
        <w:rPr>
          <w:rFonts w:ascii="Times New Roman" w:eastAsia="Times New Roman" w:hAnsi="Times New Roman" w:cs="Times New Roman"/>
          <w:i/>
          <w:lang w:val="fr-FR" w:eastAsia="fr-FR" w:bidi="fr-FR"/>
        </w:rPr>
        <w:t>hypostasis</w:t>
      </w:r>
      <w:r w:rsidRPr="006647D3">
        <w:rPr>
          <w:rFonts w:ascii="Times New Roman" w:eastAsia="Times New Roman" w:hAnsi="Times New Roman" w:cs="Times New Roman"/>
          <w:lang w:val="fr-FR" w:eastAsia="fr-FR" w:bidi="fr-FR"/>
        </w:rPr>
        <w:t xml:space="preserve"> et l’</w:t>
      </w:r>
      <w:r w:rsidRPr="006647D3">
        <w:rPr>
          <w:rFonts w:ascii="Times New Roman" w:eastAsia="Times New Roman" w:hAnsi="Times New Roman" w:cs="Times New Roman"/>
          <w:i/>
          <w:lang w:val="fr-FR" w:eastAsia="fr-FR" w:bidi="fr-FR"/>
        </w:rPr>
        <w:t>ek</w:t>
      </w:r>
      <w:r w:rsidRPr="006647D3">
        <w:rPr>
          <w:rFonts w:ascii="Times New Roman" w:eastAsia="Times New Roman" w:hAnsi="Times New Roman" w:cs="Times New Roman"/>
          <w:lang w:val="fr-FR" w:eastAsia="fr-FR" w:bidi="fr-FR"/>
        </w:rPr>
        <w:t xml:space="preserve"> contenu dans l’expression "Dieu de Dieu". Il est intéressant de noter qu’Arius a explicitement déclaré que le </w:t>
      </w:r>
      <w:r w:rsidRPr="006647D3">
        <w:rPr>
          <w:rFonts w:ascii="Times New Roman" w:eastAsia="Times New Roman" w:hAnsi="Times New Roman" w:cs="Times New Roman"/>
          <w:i/>
          <w:lang w:val="fr-FR" w:eastAsia="fr-FR" w:bidi="fr-FR"/>
        </w:rPr>
        <w:t>Logos</w:t>
      </w:r>
      <w:r w:rsidRPr="006647D3">
        <w:rPr>
          <w:rFonts w:ascii="Times New Roman" w:eastAsia="Times New Roman" w:hAnsi="Times New Roman" w:cs="Times New Roman"/>
          <w:lang w:val="fr-FR" w:eastAsia="fr-FR" w:bidi="fr-FR"/>
        </w:rPr>
        <w:t xml:space="preserve"> ne pouvait pas appartenir aux réalités relatives.</w:t>
      </w:r>
      <w:r w:rsidRPr="006647D3">
        <w:rPr>
          <w:rStyle w:val="Odwoanieprzypisudolnego"/>
          <w:rFonts w:ascii="Times New Roman" w:eastAsia="Times New Roman" w:hAnsi="Times New Roman" w:cs="Times New Roman"/>
          <w:lang w:val="fr-FR" w:eastAsia="fr-FR" w:bidi="fr-FR"/>
        </w:rPr>
        <w:footnoteReference w:id="19"/>
      </w:r>
      <w:r w:rsidRPr="006647D3">
        <w:rPr>
          <w:rFonts w:ascii="Times New Roman" w:eastAsia="Times New Roman" w:hAnsi="Times New Roman" w:cs="Times New Roman"/>
          <w:lang w:val="fr-FR" w:eastAsia="fr-FR" w:bidi="fr-FR"/>
        </w:rPr>
        <w:t xml:space="preserve"> Eusèbe de Césarée défendait la même position.</w:t>
      </w:r>
      <w:r w:rsidRPr="006647D3">
        <w:rPr>
          <w:rStyle w:val="Odwoanieprzypisudolnego"/>
          <w:rFonts w:ascii="Times New Roman" w:eastAsia="Times New Roman" w:hAnsi="Times New Roman" w:cs="Times New Roman"/>
          <w:lang w:val="fr-FR" w:eastAsia="fr-FR" w:bidi="fr-FR"/>
        </w:rPr>
        <w:footnoteReference w:id="20"/>
      </w:r>
      <w:r w:rsidRPr="006647D3">
        <w:rPr>
          <w:rFonts w:ascii="Times New Roman" w:eastAsia="Times New Roman" w:hAnsi="Times New Roman" w:cs="Times New Roman"/>
          <w:lang w:val="fr-FR" w:eastAsia="fr-FR" w:bidi="fr-FR"/>
        </w:rPr>
        <w:t xml:space="preserve"> En fait, si le Père et le Fils sont deux substances différentes, comme le soutenait Arius, la relation entre eux est simplement accidentelle. C’est la même position que l’affirmation selon laquelle le </w:t>
      </w:r>
      <w:r w:rsidRPr="006647D3">
        <w:rPr>
          <w:rFonts w:ascii="Times New Roman" w:eastAsia="Times New Roman" w:hAnsi="Times New Roman" w:cs="Times New Roman"/>
          <w:i/>
          <w:lang w:val="fr-FR" w:eastAsia="fr-FR" w:bidi="fr-FR"/>
        </w:rPr>
        <w:t>Logos</w:t>
      </w:r>
      <w:r w:rsidRPr="006647D3">
        <w:rPr>
          <w:rFonts w:ascii="Times New Roman" w:eastAsia="Times New Roman" w:hAnsi="Times New Roman" w:cs="Times New Roman"/>
          <w:lang w:val="fr-FR" w:eastAsia="fr-FR" w:bidi="fr-FR"/>
        </w:rPr>
        <w:t xml:space="preserve"> provient de la volonté du Père.</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C’est pourquoi le Concile a inséré l’expression "de la substance du Père" et, par conséquent, l’</w:t>
      </w:r>
      <w:r w:rsidRPr="006647D3">
        <w:rPr>
          <w:rFonts w:ascii="Times New Roman" w:eastAsia="Times New Roman" w:hAnsi="Times New Roman" w:cs="Times New Roman"/>
          <w:i/>
          <w:lang w:val="fr-FR" w:eastAsia="fr-FR" w:bidi="fr-FR"/>
        </w:rPr>
        <w:t>homousios</w:t>
      </w:r>
      <w:r w:rsidRPr="006647D3">
        <w:rPr>
          <w:rFonts w:ascii="Times New Roman" w:eastAsia="Times New Roman" w:hAnsi="Times New Roman" w:cs="Times New Roman"/>
          <w:lang w:val="fr-FR" w:eastAsia="fr-FR" w:bidi="fr-FR"/>
        </w:rPr>
        <w:t>. Il est très significatif qu’Athanase montre comment le Fils est voulu par le Père, mais veut à son tour le Père, dans une consonance ontologique radicale par laquelle les deux sont un dans l’autre et, par conséquent, sont une seule volonté, donc une seule substance.</w:t>
      </w:r>
      <w:r w:rsidRPr="006647D3">
        <w:rPr>
          <w:rStyle w:val="Odwoanieprzypisudolnego"/>
          <w:rFonts w:ascii="Times New Roman" w:eastAsia="Times New Roman" w:hAnsi="Times New Roman" w:cs="Times New Roman"/>
          <w:lang w:val="fr-FR" w:eastAsia="fr-FR" w:bidi="fr-FR"/>
        </w:rPr>
        <w:footnoteReference w:id="21"/>
      </w:r>
      <w:r w:rsidRPr="006647D3">
        <w:rPr>
          <w:rFonts w:ascii="Times New Roman" w:eastAsia="Times New Roman" w:hAnsi="Times New Roman" w:cs="Times New Roman"/>
          <w:lang w:val="fr-FR" w:eastAsia="fr-FR" w:bidi="fr-FR"/>
        </w:rPr>
        <w:t xml:space="preserve"> Plus tard, Grégoire de Nysse dira explicitement que le </w:t>
      </w:r>
      <w:r w:rsidRPr="006647D3">
        <w:rPr>
          <w:rFonts w:ascii="Times New Roman" w:eastAsia="Times New Roman" w:hAnsi="Times New Roman" w:cs="Times New Roman"/>
          <w:i/>
          <w:lang w:val="fr-FR" w:eastAsia="fr-FR" w:bidi="fr-FR"/>
        </w:rPr>
        <w:t>Logos</w:t>
      </w:r>
      <w:r w:rsidRPr="006647D3">
        <w:rPr>
          <w:rFonts w:ascii="Times New Roman" w:eastAsia="Times New Roman" w:hAnsi="Times New Roman" w:cs="Times New Roman"/>
          <w:lang w:val="fr-FR" w:eastAsia="fr-FR" w:bidi="fr-FR"/>
        </w:rPr>
        <w:t xml:space="preserve"> appartient aux réalités relatives, soulignant comment la révélation a suscité les Pères à modifier des points centraux de la métaphysique grecque.</w:t>
      </w:r>
      <w:r w:rsidRPr="006647D3">
        <w:rPr>
          <w:rStyle w:val="Odwoanieprzypisudolnego"/>
          <w:rFonts w:ascii="Times New Roman" w:eastAsia="Times New Roman" w:hAnsi="Times New Roman" w:cs="Times New Roman"/>
          <w:lang w:val="fr-FR" w:eastAsia="fr-FR" w:bidi="fr-FR"/>
        </w:rPr>
        <w:footnoteReference w:id="22"/>
      </w:r>
      <w:r w:rsidRPr="006647D3">
        <w:rPr>
          <w:rFonts w:ascii="Times New Roman" w:eastAsia="Times New Roman" w:hAnsi="Times New Roman" w:cs="Times New Roman"/>
          <w:lang w:val="fr-FR" w:eastAsia="fr-FR" w:bidi="fr-FR"/>
        </w:rPr>
        <w:t xml:space="preserve"> En effet, pour la première fois, le relatif (en grec </w:t>
      </w:r>
      <w:r w:rsidRPr="006647D3">
        <w:rPr>
          <w:rFonts w:ascii="Times New Roman" w:eastAsia="Times New Roman" w:hAnsi="Times New Roman" w:cs="Times New Roman"/>
          <w:i/>
          <w:lang w:val="fr-FR" w:eastAsia="fr-FR" w:bidi="fr-FR"/>
        </w:rPr>
        <w:t>schesis</w:t>
      </w:r>
      <w:r w:rsidRPr="006647D3">
        <w:rPr>
          <w:rFonts w:ascii="Times New Roman" w:eastAsia="Times New Roman" w:hAnsi="Times New Roman" w:cs="Times New Roman"/>
          <w:lang w:val="fr-FR" w:eastAsia="fr-FR" w:bidi="fr-FR"/>
        </w:rPr>
        <w:t>) est reconnu dans l’unique substance divine éternelle et infinie, cessant ainsi, dans le cas du Dieu trinitaire, d’être un simple accident.</w:t>
      </w:r>
      <w:r w:rsidRPr="006647D3">
        <w:rPr>
          <w:rStyle w:val="Odwoanieprzypisudolnego"/>
          <w:rFonts w:ascii="Times New Roman" w:eastAsia="Times New Roman" w:hAnsi="Times New Roman" w:cs="Times New Roman"/>
          <w:lang w:val="fr-FR" w:eastAsia="fr-FR" w:bidi="fr-FR"/>
        </w:rPr>
        <w:footnoteReference w:id="23"/>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Cela correspondait à la prise de conscience que jamais, avant l’incarnation, les êtres humains n’avaient connu une génération éternelle, c’est-à-dire une procession naturelle dans laquelle l’engendré n’était pas postérieur ou inférieur à l’engendrant. La Révélation avait, par contre, apporté une nouveauté radicale et la terminologie devait être modifiée en conséquence.</w:t>
      </w:r>
    </w:p>
    <w:p w:rsidR="00E6136D" w:rsidRPr="006647D3" w:rsidRDefault="00E6136D">
      <w:pPr>
        <w:pStyle w:val="Tekstpodstawowy"/>
        <w:jc w:val="both"/>
        <w:rPr>
          <w:rFonts w:ascii="Times New Roman" w:eastAsia="Times New Roman" w:hAnsi="Times New Roman" w:cs="Times New Roman"/>
          <w:lang w:val="fr-FR" w:eastAsia="fr-FR" w:bidi="fr-FR"/>
        </w:rPr>
      </w:pPr>
    </w:p>
    <w:p w:rsidR="00E6136D" w:rsidRPr="009277E8" w:rsidRDefault="008727F0" w:rsidP="009277E8">
      <w:pPr>
        <w:pStyle w:val="Tekstpodstawowy"/>
        <w:ind w:firstLine="720"/>
        <w:jc w:val="both"/>
        <w:rPr>
          <w:rFonts w:ascii="Times New Roman" w:eastAsia="Times New Roman" w:hAnsi="Times New Roman" w:cs="Times New Roman"/>
          <w:b/>
          <w:bCs/>
          <w:iCs/>
          <w:lang w:val="fr-FR" w:eastAsia="fr-FR" w:bidi="fr-FR"/>
        </w:rPr>
      </w:pPr>
      <w:r w:rsidRPr="009277E8">
        <w:rPr>
          <w:rFonts w:ascii="Times New Roman" w:eastAsia="Times New Roman" w:hAnsi="Times New Roman" w:cs="Times New Roman"/>
          <w:b/>
          <w:bCs/>
          <w:iCs/>
          <w:lang w:val="fr-FR" w:eastAsia="fr-FR" w:bidi="fr-FR"/>
        </w:rPr>
        <w:t>4. Conclusion : de l’orthopraxie à l’orthodoxie</w:t>
      </w:r>
    </w:p>
    <w:p w:rsidR="00E6136D" w:rsidRPr="006647D3"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Mais un tel changement nécessite un processus relationnel, car les nouvelles significations ne peuvent être équivoques avec ce que les mots disent de la nature cosmique. L’identité même du Christ exigeait de tenir ensemble l’humain et le divin, donc le créé et l’éternel. Mais l’empereur Constantin ne voulait pas attendre. Les documents que nous possédons montrent qu’il ne comprenait pas la portée du débat.</w:t>
      </w:r>
      <w:r w:rsidRPr="006647D3">
        <w:rPr>
          <w:rStyle w:val="Odwoanieprzypisudolnego"/>
          <w:rFonts w:ascii="Times New Roman" w:eastAsia="Times New Roman" w:hAnsi="Times New Roman" w:cs="Times New Roman"/>
          <w:lang w:val="fr-FR" w:eastAsia="fr-FR" w:bidi="fr-FR"/>
        </w:rPr>
        <w:footnoteReference w:id="24"/>
      </w:r>
      <w:r w:rsidRPr="006647D3">
        <w:rPr>
          <w:rFonts w:ascii="Times New Roman" w:eastAsia="Times New Roman" w:hAnsi="Times New Roman" w:cs="Times New Roman"/>
          <w:lang w:val="fr-FR" w:eastAsia="fr-FR" w:bidi="fr-FR"/>
        </w:rPr>
        <w:t xml:space="preserve"> Ce qui lui importait le plus, c'était l'unité de l'empire, à laquelle il espérait que la foi chrétienne pourrait contribuer. Au lieu de cela, juste après avoir accordé la liberté religieuse, en donnant également un rôle politique aux évêques, il a été confronté à une crise.</w:t>
      </w:r>
    </w:p>
    <w:p w:rsidR="00E6136D" w:rsidRDefault="008727F0" w:rsidP="009277E8">
      <w:pPr>
        <w:pStyle w:val="Tekstpodstawowy"/>
        <w:ind w:firstLine="720"/>
        <w:jc w:val="both"/>
        <w:rPr>
          <w:rFonts w:ascii="Times New Roman" w:eastAsia="Times New Roman" w:hAnsi="Times New Roman" w:cs="Times New Roman"/>
          <w:lang w:val="fr-FR" w:eastAsia="fr-FR" w:bidi="fr-FR"/>
        </w:rPr>
      </w:pPr>
      <w:r w:rsidRPr="006647D3">
        <w:rPr>
          <w:rFonts w:ascii="Times New Roman" w:eastAsia="Times New Roman" w:hAnsi="Times New Roman" w:cs="Times New Roman"/>
          <w:lang w:val="fr-FR" w:eastAsia="fr-FR" w:bidi="fr-FR"/>
        </w:rPr>
        <w:t>Selon toute vraisemblance, l’inclusion de l’</w:t>
      </w:r>
      <w:r w:rsidRPr="006647D3">
        <w:rPr>
          <w:rFonts w:ascii="Times New Roman" w:eastAsia="Times New Roman" w:hAnsi="Times New Roman" w:cs="Times New Roman"/>
          <w:i/>
          <w:lang w:val="fr-FR" w:eastAsia="fr-FR" w:bidi="fr-FR"/>
        </w:rPr>
        <w:t>homousios</w:t>
      </w:r>
      <w:r w:rsidRPr="006647D3">
        <w:rPr>
          <w:rFonts w:ascii="Times New Roman" w:eastAsia="Times New Roman" w:hAnsi="Times New Roman" w:cs="Times New Roman"/>
          <w:lang w:val="fr-FR" w:eastAsia="fr-FR" w:bidi="fr-FR"/>
        </w:rPr>
        <w:t xml:space="preserve"> a été soutenue par l’empereur lui-même, conseillé par Ossius de Cordoue, car les réflexes matériels que l’aspect sémantique du terme avait aux yeux d’Arius et de son peuple les empêchaient d’accepter le symbole.</w:t>
      </w:r>
      <w:r w:rsidRPr="006647D3">
        <w:rPr>
          <w:rStyle w:val="Odwoanieprzypisudolnego"/>
          <w:rFonts w:ascii="Times New Roman" w:eastAsia="Times New Roman" w:hAnsi="Times New Roman" w:cs="Times New Roman"/>
          <w:lang w:val="fr-FR" w:eastAsia="fr-FR" w:bidi="fr-FR"/>
        </w:rPr>
        <w:footnoteReference w:id="25"/>
      </w:r>
      <w:r w:rsidRPr="006647D3">
        <w:rPr>
          <w:rFonts w:ascii="Times New Roman" w:eastAsia="Times New Roman" w:hAnsi="Times New Roman" w:cs="Times New Roman"/>
          <w:lang w:val="fr-FR" w:eastAsia="fr-FR" w:bidi="fr-FR"/>
        </w:rPr>
        <w:t xml:space="preserve"> Le choix était donc polarisant et dialectique. Tel était le résultat de la recherche de l’orthopraxie par l’empereur. Mais les événements ultérieurs du IVe siècle ont montré que la question plus profonde, et </w:t>
      </w:r>
      <w:r w:rsidRPr="006647D3">
        <w:rPr>
          <w:rFonts w:ascii="Times New Roman" w:eastAsia="Times New Roman" w:hAnsi="Times New Roman" w:cs="Times New Roman"/>
          <w:lang w:val="fr-FR" w:eastAsia="fr-FR" w:bidi="fr-FR"/>
        </w:rPr>
        <w:lastRenderedPageBreak/>
        <w:t>inévitable, était celle de l’orthodoxie. La vraie question, en fait, concernait l’éternité de la vie que le baptême communique au chrétien. Si le Fils et l’Esprit n’étaient pas un avec le Père, le choix des martyrs d’échanger les années de leur vie terrestre pour préserver la plénitude de la vie conférée par la foi aurait été absurde. Ainsi, au cours du IVe siècle, le culte des martyrs, la vie religieuse et la liturgie ont soutenu l’approfondissement de la foi nicéenne. Le symbole n’a pratiquement plus été mentionné pendant vingt ans, mais le travail des Pères et des Conciles suivants a transformé le symbole de 325 en base de la doctrine postérieure. Aujourd’hui encore, la relation entre la substance, la personne et la relation intrigue la pensée post-moderne.</w:t>
      </w:r>
      <w:r w:rsidRPr="006647D3">
        <w:rPr>
          <w:rStyle w:val="Odwoanieprzypisudolnego"/>
          <w:rFonts w:ascii="Times New Roman" w:eastAsia="Times New Roman" w:hAnsi="Times New Roman" w:cs="Times New Roman"/>
          <w:lang w:val="fr-FR" w:eastAsia="fr-FR" w:bidi="fr-FR"/>
        </w:rPr>
        <w:footnoteReference w:id="26"/>
      </w:r>
    </w:p>
    <w:p w:rsidR="009277E8" w:rsidRPr="00100071" w:rsidRDefault="00100071" w:rsidP="00100071">
      <w:pPr>
        <w:pStyle w:val="Tekstpodstawowy"/>
        <w:ind w:firstLine="720"/>
        <w:jc w:val="both"/>
        <w:rPr>
          <w:rFonts w:ascii="Times New Roman" w:eastAsia="Times New Roman" w:hAnsi="Times New Roman" w:cs="Times New Roman"/>
          <w:lang w:val="pl-PL" w:eastAsia="fr-FR" w:bidi="fr-FR"/>
        </w:rPr>
      </w:pPr>
      <w:r w:rsidRPr="00100071">
        <w:rPr>
          <w:rFonts w:ascii="Times New Roman" w:hAnsi="Times New Roman" w:cs="Times New Roman"/>
          <w:b/>
          <w:bCs/>
          <w:lang w:val="pl-PL"/>
        </w:rPr>
        <w:t xml:space="preserve">Nota o </w:t>
      </w:r>
      <w:r w:rsidRPr="00100071">
        <w:rPr>
          <w:rFonts w:ascii="Times New Roman" w:hAnsi="Times New Roman" w:cs="Times New Roman"/>
          <w:b/>
          <w:bCs/>
          <w:caps/>
          <w:lang w:val="pl-PL"/>
        </w:rPr>
        <w:t>A</w:t>
      </w:r>
      <w:r w:rsidRPr="00100071">
        <w:rPr>
          <w:rFonts w:ascii="Times New Roman" w:hAnsi="Times New Roman" w:cs="Times New Roman"/>
          <w:b/>
          <w:bCs/>
          <w:lang w:val="pl-PL"/>
        </w:rPr>
        <w:t>utorze</w:t>
      </w:r>
      <w:r w:rsidRPr="00100071">
        <w:rPr>
          <w:rFonts w:ascii="Times New Roman" w:hAnsi="Times New Roman" w:cs="Times New Roman"/>
          <w:b/>
          <w:bCs/>
          <w:caps/>
          <w:lang w:val="pl-PL"/>
        </w:rPr>
        <w:t xml:space="preserve">: </w:t>
      </w:r>
      <w:r w:rsidRPr="00100071">
        <w:rPr>
          <w:rFonts w:ascii="Times New Roman" w:hAnsi="Times New Roman" w:cs="Times New Roman"/>
          <w:b/>
          <w:bCs/>
          <w:lang w:val="pl-PL"/>
        </w:rPr>
        <w:t xml:space="preserve">Giulio </w:t>
      </w:r>
      <w:proofErr w:type="spellStart"/>
      <w:r w:rsidRPr="00100071">
        <w:rPr>
          <w:rFonts w:ascii="Times New Roman" w:hAnsi="Times New Roman" w:cs="Times New Roman"/>
          <w:b/>
          <w:bCs/>
          <w:lang w:val="pl-PL"/>
        </w:rPr>
        <w:t>Maspero</w:t>
      </w:r>
      <w:proofErr w:type="spellEnd"/>
      <w:r w:rsidRPr="00100071">
        <w:rPr>
          <w:rFonts w:ascii="Times New Roman" w:hAnsi="Times New Roman" w:cs="Times New Roman"/>
          <w:lang w:val="pl-PL"/>
        </w:rPr>
        <w:t xml:space="preserve"> </w:t>
      </w:r>
      <w:r>
        <w:rPr>
          <w:rFonts w:ascii="Times New Roman" w:hAnsi="Times New Roman" w:cs="Times New Roman"/>
          <w:caps/>
          <w:lang w:val="pl-PL"/>
        </w:rPr>
        <w:t xml:space="preserve"> - </w:t>
      </w:r>
      <w:r>
        <w:rPr>
          <w:rFonts w:ascii="Times New Roman" w:hAnsi="Times New Roman" w:cs="Times New Roman"/>
          <w:lang w:val="pl-PL"/>
        </w:rPr>
        <w:t>u</w:t>
      </w:r>
      <w:r w:rsidRPr="00100071">
        <w:rPr>
          <w:rFonts w:ascii="Times New Roman" w:hAnsi="Times New Roman" w:cs="Times New Roman"/>
          <w:lang w:val="pl-PL"/>
        </w:rPr>
        <w:t>rodzony 19 marca 1970 roku</w:t>
      </w:r>
      <w:r>
        <w:rPr>
          <w:rFonts w:ascii="Times New Roman" w:hAnsi="Times New Roman" w:cs="Times New Roman"/>
          <w:lang w:val="pl-PL"/>
        </w:rPr>
        <w:t xml:space="preserve"> </w:t>
      </w:r>
      <w:r w:rsidRPr="00100071">
        <w:rPr>
          <w:rFonts w:ascii="Times New Roman" w:hAnsi="Times New Roman" w:cs="Times New Roman"/>
          <w:lang w:val="pl-PL"/>
        </w:rPr>
        <w:t>w Como</w:t>
      </w:r>
      <w:r>
        <w:rPr>
          <w:rFonts w:ascii="Times New Roman" w:hAnsi="Times New Roman" w:cs="Times New Roman"/>
          <w:lang w:val="pl-PL"/>
        </w:rPr>
        <w:t>. Włos</w:t>
      </w:r>
      <w:r w:rsidR="00C57BB9">
        <w:rPr>
          <w:rFonts w:ascii="Times New Roman" w:hAnsi="Times New Roman" w:cs="Times New Roman"/>
          <w:lang w:val="pl-PL"/>
        </w:rPr>
        <w:t>k</w:t>
      </w:r>
      <w:r>
        <w:rPr>
          <w:rFonts w:ascii="Times New Roman" w:hAnsi="Times New Roman" w:cs="Times New Roman"/>
          <w:lang w:val="pl-PL"/>
        </w:rPr>
        <w:t xml:space="preserve">i prezbiter Kościoła rzymskokatolickiego </w:t>
      </w:r>
      <w:proofErr w:type="spellStart"/>
      <w:r>
        <w:rPr>
          <w:rFonts w:ascii="Times New Roman" w:hAnsi="Times New Roman" w:cs="Times New Roman"/>
          <w:lang w:val="pl-PL"/>
        </w:rPr>
        <w:t>inkardynowany</w:t>
      </w:r>
      <w:proofErr w:type="spellEnd"/>
      <w:r>
        <w:rPr>
          <w:rFonts w:ascii="Times New Roman" w:hAnsi="Times New Roman" w:cs="Times New Roman"/>
          <w:lang w:val="pl-PL"/>
        </w:rPr>
        <w:t xml:space="preserve"> w Prał</w:t>
      </w:r>
      <w:r w:rsidRPr="00100071">
        <w:rPr>
          <w:rFonts w:ascii="Times New Roman" w:hAnsi="Times New Roman" w:cs="Times New Roman"/>
          <w:lang w:val="pl-PL"/>
        </w:rPr>
        <w:t xml:space="preserve">aturze Świętego Krzyża i Opus Dei. </w:t>
      </w:r>
      <w:r>
        <w:rPr>
          <w:rFonts w:ascii="Times New Roman" w:hAnsi="Times New Roman" w:cs="Times New Roman"/>
          <w:lang w:val="pl-PL"/>
        </w:rPr>
        <w:t xml:space="preserve">Ukończył </w:t>
      </w:r>
      <w:r w:rsidRPr="00100071">
        <w:rPr>
          <w:rFonts w:ascii="Times New Roman" w:hAnsi="Times New Roman" w:cs="Times New Roman"/>
          <w:lang w:val="pl-PL"/>
        </w:rPr>
        <w:t>Liceum kl</w:t>
      </w:r>
      <w:r>
        <w:rPr>
          <w:rFonts w:ascii="Times New Roman" w:hAnsi="Times New Roman" w:cs="Times New Roman"/>
          <w:lang w:val="pl-PL"/>
        </w:rPr>
        <w:t>asyczne Alessandro Volta w Como. Następnie odbył</w:t>
      </w:r>
      <w:r w:rsidRPr="00100071">
        <w:rPr>
          <w:rFonts w:ascii="Times New Roman" w:hAnsi="Times New Roman" w:cs="Times New Roman"/>
          <w:lang w:val="pl-PL"/>
        </w:rPr>
        <w:t xml:space="preserve"> </w:t>
      </w:r>
      <w:r>
        <w:rPr>
          <w:rFonts w:ascii="Times New Roman" w:hAnsi="Times New Roman" w:cs="Times New Roman"/>
          <w:lang w:val="pl-PL"/>
        </w:rPr>
        <w:t>s</w:t>
      </w:r>
      <w:r w:rsidRPr="00100071">
        <w:rPr>
          <w:rFonts w:ascii="Times New Roman" w:hAnsi="Times New Roman" w:cs="Times New Roman"/>
          <w:lang w:val="pl-PL"/>
        </w:rPr>
        <w:t>tudia z fizyki teoretycznej na Uniwersytecie Państwowym w Mediolanie</w:t>
      </w:r>
      <w:r>
        <w:rPr>
          <w:rFonts w:ascii="Times New Roman" w:hAnsi="Times New Roman" w:cs="Times New Roman"/>
          <w:lang w:val="pl-PL"/>
        </w:rPr>
        <w:t xml:space="preserve"> gdzie uzyskał</w:t>
      </w:r>
      <w:r w:rsidRPr="00100071">
        <w:rPr>
          <w:rFonts w:ascii="Times New Roman" w:hAnsi="Times New Roman" w:cs="Times New Roman"/>
          <w:lang w:val="pl-PL"/>
        </w:rPr>
        <w:t xml:space="preserve"> </w:t>
      </w:r>
      <w:r>
        <w:rPr>
          <w:rFonts w:ascii="Times New Roman" w:hAnsi="Times New Roman" w:cs="Times New Roman"/>
          <w:lang w:val="pl-PL"/>
        </w:rPr>
        <w:t>d</w:t>
      </w:r>
      <w:r w:rsidRPr="00100071">
        <w:rPr>
          <w:rFonts w:ascii="Times New Roman" w:hAnsi="Times New Roman" w:cs="Times New Roman"/>
          <w:lang w:val="pl-PL"/>
        </w:rPr>
        <w:t>oktorat z fizyki teoretycznej na Uniwersytecie Państwowym w Mediolanie</w:t>
      </w:r>
      <w:r>
        <w:rPr>
          <w:rFonts w:ascii="Times New Roman" w:hAnsi="Times New Roman" w:cs="Times New Roman"/>
          <w:lang w:val="pl-PL"/>
        </w:rPr>
        <w:t>.</w:t>
      </w:r>
      <w:r w:rsidRPr="00100071">
        <w:rPr>
          <w:rFonts w:ascii="Times New Roman" w:hAnsi="Times New Roman" w:cs="Times New Roman"/>
          <w:lang w:val="pl-PL"/>
        </w:rPr>
        <w:t xml:space="preserve"> Licencjat z teologii </w:t>
      </w:r>
      <w:r>
        <w:rPr>
          <w:rFonts w:ascii="Times New Roman" w:hAnsi="Times New Roman" w:cs="Times New Roman"/>
          <w:lang w:val="pl-PL"/>
        </w:rPr>
        <w:t xml:space="preserve">otrzymał </w:t>
      </w:r>
      <w:r w:rsidRPr="00100071">
        <w:rPr>
          <w:rFonts w:ascii="Times New Roman" w:hAnsi="Times New Roman" w:cs="Times New Roman"/>
          <w:lang w:val="pl-PL"/>
        </w:rPr>
        <w:t xml:space="preserve">na Papieskim Uniwersytecie Świętego Krzyża </w:t>
      </w:r>
      <w:r>
        <w:rPr>
          <w:rFonts w:ascii="Times New Roman" w:hAnsi="Times New Roman" w:cs="Times New Roman"/>
          <w:lang w:val="pl-PL"/>
        </w:rPr>
        <w:t>w Rzymie, a d</w:t>
      </w:r>
      <w:r w:rsidRPr="00100071">
        <w:rPr>
          <w:rFonts w:ascii="Times New Roman" w:hAnsi="Times New Roman" w:cs="Times New Roman"/>
          <w:lang w:val="pl-PL"/>
        </w:rPr>
        <w:t>oktorat z teologii dogmatycznej na Uniwersytecie Nawarry</w:t>
      </w:r>
      <w:r>
        <w:rPr>
          <w:rFonts w:ascii="Times New Roman" w:hAnsi="Times New Roman" w:cs="Times New Roman"/>
          <w:lang w:val="pl-PL"/>
        </w:rPr>
        <w:t xml:space="preserve">. Święcenia </w:t>
      </w:r>
      <w:proofErr w:type="spellStart"/>
      <w:r>
        <w:rPr>
          <w:rFonts w:ascii="Times New Roman" w:hAnsi="Times New Roman" w:cs="Times New Roman"/>
          <w:lang w:val="pl-PL"/>
        </w:rPr>
        <w:t>prezbiteratu</w:t>
      </w:r>
      <w:proofErr w:type="spellEnd"/>
      <w:r>
        <w:rPr>
          <w:rFonts w:ascii="Times New Roman" w:hAnsi="Times New Roman" w:cs="Times New Roman"/>
          <w:lang w:val="pl-PL"/>
        </w:rPr>
        <w:t xml:space="preserve"> otrzymał 31 sierpnia 2003 roku.</w:t>
      </w:r>
      <w:r w:rsidRPr="00100071">
        <w:rPr>
          <w:rFonts w:ascii="Times New Roman" w:hAnsi="Times New Roman" w:cs="Times New Roman"/>
          <w:lang w:val="pl-PL"/>
        </w:rPr>
        <w:t xml:space="preserve"> </w:t>
      </w:r>
      <w:r>
        <w:rPr>
          <w:rFonts w:ascii="Times New Roman" w:hAnsi="Times New Roman" w:cs="Times New Roman"/>
          <w:lang w:val="pl-PL"/>
        </w:rPr>
        <w:t>Jest p</w:t>
      </w:r>
      <w:r w:rsidRPr="00100071">
        <w:rPr>
          <w:rFonts w:ascii="Times New Roman" w:hAnsi="Times New Roman" w:cs="Times New Roman"/>
          <w:lang w:val="pl-PL"/>
        </w:rPr>
        <w:t>rofesor nadzwyczajny</w:t>
      </w:r>
      <w:r>
        <w:rPr>
          <w:rFonts w:ascii="Times New Roman" w:hAnsi="Times New Roman" w:cs="Times New Roman"/>
          <w:lang w:val="pl-PL"/>
        </w:rPr>
        <w:t>m</w:t>
      </w:r>
      <w:r w:rsidRPr="00100071">
        <w:rPr>
          <w:rFonts w:ascii="Times New Roman" w:hAnsi="Times New Roman" w:cs="Times New Roman"/>
          <w:lang w:val="pl-PL"/>
        </w:rPr>
        <w:t xml:space="preserve"> teologii dogmatycznej na Papieskim Uniwersytecie Świętego Krzyża.  </w:t>
      </w:r>
    </w:p>
    <w:p w:rsidR="009277E8" w:rsidRPr="00C57BB9" w:rsidRDefault="009277E8" w:rsidP="009277E8">
      <w:pPr>
        <w:pStyle w:val="Bezodstpw"/>
        <w:rPr>
          <w:rFonts w:ascii="Times New Roman" w:hAnsi="Times New Roman" w:cs="Times New Roman"/>
          <w:b/>
          <w:bCs/>
          <w:lang w:val="fr-FR"/>
        </w:rPr>
      </w:pPr>
      <w:r w:rsidRPr="00C57BB9">
        <w:rPr>
          <w:rFonts w:ascii="Times New Roman" w:hAnsi="Times New Roman" w:cs="Times New Roman"/>
          <w:b/>
          <w:bCs/>
          <w:lang w:val="fr-FR"/>
        </w:rPr>
        <w:t>Bibliografia:</w:t>
      </w:r>
    </w:p>
    <w:p w:rsidR="00100071" w:rsidRPr="00C57BB9" w:rsidRDefault="009277E8" w:rsidP="00100071">
      <w:pPr>
        <w:pStyle w:val="Bezodstpw"/>
        <w:ind w:left="1134" w:hanging="1134"/>
        <w:rPr>
          <w:rFonts w:ascii="Times New Roman" w:hAnsi="Times New Roman" w:cs="Times New Roman"/>
          <w:lang w:val="fr-FR"/>
        </w:rPr>
      </w:pPr>
      <w:r w:rsidRPr="00C57BB9">
        <w:rPr>
          <w:rFonts w:ascii="Times New Roman" w:hAnsi="Times New Roman" w:cs="Times New Roman"/>
          <w:lang w:val="fr-FR"/>
        </w:rPr>
        <w:t>Clément</w:t>
      </w:r>
      <w:r w:rsidRPr="00C57BB9">
        <w:rPr>
          <w:rFonts w:ascii="Times New Roman" w:hAnsi="Times New Roman" w:cs="Times New Roman"/>
          <w:smallCaps/>
          <w:lang w:val="fr-FR"/>
        </w:rPr>
        <w:t xml:space="preserve"> </w:t>
      </w:r>
      <w:r w:rsidRPr="00C57BB9">
        <w:rPr>
          <w:rFonts w:ascii="Times New Roman" w:hAnsi="Times New Roman" w:cs="Times New Roman"/>
          <w:lang w:val="fr-FR"/>
        </w:rPr>
        <w:t xml:space="preserve">d’Alexandrie, </w:t>
      </w:r>
      <w:r w:rsidRPr="00C57BB9">
        <w:rPr>
          <w:rFonts w:ascii="Times New Roman" w:hAnsi="Times New Roman" w:cs="Times New Roman"/>
          <w:i/>
          <w:lang w:val="fr-FR"/>
        </w:rPr>
        <w:t>Excerpta ex Theodotus</w:t>
      </w:r>
      <w:r w:rsidRPr="00C57BB9">
        <w:rPr>
          <w:rFonts w:ascii="Times New Roman" w:hAnsi="Times New Roman" w:cs="Times New Roman"/>
          <w:lang w:val="fr-FR"/>
        </w:rPr>
        <w:t>, 19,1.</w:t>
      </w:r>
    </w:p>
    <w:p w:rsidR="00100071" w:rsidRPr="00C57BB9" w:rsidRDefault="00100071" w:rsidP="00100071">
      <w:pPr>
        <w:pStyle w:val="Bezodstpw"/>
        <w:ind w:left="1134" w:hanging="1134"/>
        <w:rPr>
          <w:rFonts w:ascii="Times New Roman" w:hAnsi="Times New Roman" w:cs="Times New Roman"/>
          <w:lang w:val="fr-FR"/>
        </w:rPr>
      </w:pPr>
      <w:r w:rsidRPr="00C57BB9">
        <w:rPr>
          <w:rFonts w:ascii="Times New Roman" w:hAnsi="Times New Roman" w:cs="Times New Roman"/>
          <w:shd w:val="clear" w:color="auto" w:fill="FFFFFF"/>
          <w:lang w:val="fr-FR"/>
        </w:rPr>
        <w:t xml:space="preserve">Arius, </w:t>
      </w:r>
      <w:r w:rsidRPr="00C57BB9">
        <w:rPr>
          <w:rFonts w:ascii="Times New Roman" w:hAnsi="Times New Roman" w:cs="Times New Roman"/>
          <w:i/>
          <w:iCs/>
          <w:shd w:val="clear" w:color="auto" w:fill="FFFFFF"/>
          <w:lang w:val="fr-FR"/>
        </w:rPr>
        <w:t>Thalia</w:t>
      </w:r>
      <w:r w:rsidRPr="00C57BB9">
        <w:rPr>
          <w:rFonts w:ascii="Times New Roman" w:hAnsi="Times New Roman" w:cs="Times New Roman"/>
          <w:shd w:val="clear" w:color="auto" w:fill="FFFFFF"/>
          <w:lang w:val="fr-FR"/>
        </w:rPr>
        <w:t xml:space="preserve">,  w: Athanasius Alexandrinus, </w:t>
      </w:r>
      <w:r w:rsidRPr="00C57BB9">
        <w:rPr>
          <w:rFonts w:ascii="Times New Roman" w:hAnsi="Times New Roman" w:cs="Times New Roman"/>
          <w:i/>
          <w:iCs/>
          <w:shd w:val="clear" w:color="auto" w:fill="FFFFFF"/>
          <w:lang w:val="fr-FR"/>
        </w:rPr>
        <w:t>De synodis Arimini in Italia et Seleuciae in Isauria</w:t>
      </w:r>
    </w:p>
    <w:p w:rsidR="00100071" w:rsidRPr="00100071" w:rsidRDefault="00100071" w:rsidP="00100071">
      <w:pPr>
        <w:pStyle w:val="Bezodstpw"/>
        <w:ind w:left="1134"/>
        <w:rPr>
          <w:rFonts w:ascii="Times New Roman" w:hAnsi="Times New Roman" w:cs="Times New Roman"/>
          <w:lang w:val="fr-FR"/>
        </w:rPr>
      </w:pPr>
      <w:r w:rsidRPr="00100071">
        <w:rPr>
          <w:rFonts w:ascii="Times New Roman" w:hAnsi="Times New Roman" w:cs="Times New Roman"/>
          <w:i/>
          <w:iCs/>
          <w:lang w:val="fr-FR"/>
        </w:rPr>
        <w:t>Athanase</w:t>
      </w:r>
      <w:r w:rsidRPr="00100071">
        <w:rPr>
          <w:rFonts w:ascii="Times New Roman" w:hAnsi="Times New Roman" w:cs="Times New Roman"/>
          <w:lang w:val="fr-FR"/>
        </w:rPr>
        <w:t xml:space="preserve">, </w:t>
      </w:r>
      <w:r w:rsidRPr="00100071">
        <w:rPr>
          <w:rFonts w:ascii="Times New Roman" w:hAnsi="Times New Roman" w:cs="Times New Roman"/>
          <w:i/>
          <w:lang w:val="fr-FR"/>
        </w:rPr>
        <w:t>Orationes contra Arianos,</w:t>
      </w:r>
      <w:r w:rsidRPr="00100071">
        <w:rPr>
          <w:rFonts w:ascii="Times New Roman" w:hAnsi="Times New Roman" w:cs="Times New Roman"/>
          <w:lang w:val="fr-FR"/>
        </w:rPr>
        <w:t xml:space="preserve"> III, 66.</w:t>
      </w:r>
    </w:p>
    <w:p w:rsidR="009277E8" w:rsidRPr="00C57BB9" w:rsidRDefault="009277E8" w:rsidP="00100071">
      <w:pPr>
        <w:pStyle w:val="Bezodstpw"/>
        <w:ind w:left="1134" w:hanging="1134"/>
        <w:rPr>
          <w:rFonts w:ascii="Times New Roman" w:hAnsi="Times New Roman" w:cs="Times New Roman"/>
          <w:lang w:val="fr-FR"/>
        </w:rPr>
      </w:pPr>
      <w:r w:rsidRPr="00C57BB9">
        <w:rPr>
          <w:rFonts w:ascii="Times New Roman" w:hAnsi="Times New Roman" w:cs="Times New Roman"/>
          <w:lang w:val="fr-FR"/>
        </w:rPr>
        <w:t xml:space="preserve">Constantin, </w:t>
      </w:r>
      <w:r w:rsidRPr="00C57BB9">
        <w:rPr>
          <w:rFonts w:ascii="Times New Roman" w:hAnsi="Times New Roman" w:cs="Times New Roman"/>
          <w:i/>
          <w:iCs/>
          <w:lang w:val="fr-FR"/>
        </w:rPr>
        <w:t>Epistola ad Alexandrum episcupum et Arium presbyterum</w:t>
      </w:r>
      <w:r w:rsidRPr="00C57BB9">
        <w:rPr>
          <w:rFonts w:ascii="Times New Roman" w:hAnsi="Times New Roman" w:cs="Times New Roman"/>
          <w:lang w:val="fr-FR"/>
        </w:rPr>
        <w:t xml:space="preserve">. </w:t>
      </w:r>
    </w:p>
    <w:p w:rsidR="009277E8" w:rsidRPr="00C57BB9" w:rsidRDefault="009277E8" w:rsidP="00100071">
      <w:pPr>
        <w:pStyle w:val="Bezodstpw"/>
        <w:ind w:left="1134" w:hanging="1134"/>
        <w:rPr>
          <w:rFonts w:ascii="Times New Roman" w:hAnsi="Times New Roman" w:cs="Times New Roman"/>
          <w:lang w:val="fr-FR"/>
        </w:rPr>
      </w:pPr>
      <w:r w:rsidRPr="00C57BB9">
        <w:rPr>
          <w:rFonts w:ascii="Times New Roman" w:hAnsi="Times New Roman" w:cs="Times New Roman"/>
          <w:lang w:val="fr-FR"/>
        </w:rPr>
        <w:t xml:space="preserve">Cyprien, </w:t>
      </w:r>
      <w:r w:rsidRPr="00C57BB9">
        <w:rPr>
          <w:rFonts w:ascii="Times New Roman" w:hAnsi="Times New Roman" w:cs="Times New Roman"/>
          <w:i/>
          <w:lang w:val="fr-FR"/>
        </w:rPr>
        <w:t>Epistula</w:t>
      </w:r>
      <w:r w:rsidRPr="00C57BB9">
        <w:rPr>
          <w:rFonts w:ascii="Times New Roman" w:hAnsi="Times New Roman" w:cs="Times New Roman"/>
          <w:lang w:val="fr-FR"/>
        </w:rPr>
        <w:t xml:space="preserve"> 57,5.</w:t>
      </w:r>
    </w:p>
    <w:p w:rsidR="009277E8" w:rsidRPr="009277E8" w:rsidRDefault="009277E8" w:rsidP="00100071">
      <w:pPr>
        <w:pStyle w:val="Bezodstpw"/>
        <w:ind w:left="1134" w:hanging="1134"/>
        <w:rPr>
          <w:rFonts w:ascii="Times New Roman" w:hAnsi="Times New Roman" w:cs="Times New Roman"/>
        </w:rPr>
      </w:pPr>
      <w:proofErr w:type="spellStart"/>
      <w:r w:rsidRPr="009277E8">
        <w:rPr>
          <w:rFonts w:ascii="Times New Roman" w:hAnsi="Times New Roman" w:cs="Times New Roman"/>
        </w:rPr>
        <w:t>Dvornik</w:t>
      </w:r>
      <w:proofErr w:type="spellEnd"/>
      <w:r w:rsidRPr="009277E8">
        <w:rPr>
          <w:rFonts w:ascii="Times New Roman" w:hAnsi="Times New Roman" w:cs="Times New Roman"/>
        </w:rPr>
        <w:t xml:space="preserve"> F., </w:t>
      </w:r>
      <w:r w:rsidRPr="009277E8">
        <w:rPr>
          <w:rFonts w:ascii="Times New Roman" w:hAnsi="Times New Roman" w:cs="Times New Roman"/>
          <w:i/>
        </w:rPr>
        <w:t>The General Councils of the Church,</w:t>
      </w:r>
      <w:r w:rsidRPr="009277E8">
        <w:rPr>
          <w:rFonts w:ascii="Times New Roman" w:hAnsi="Times New Roman" w:cs="Times New Roman"/>
        </w:rPr>
        <w:t xml:space="preserve"> Burns &amp; Oats, </w:t>
      </w:r>
      <w:proofErr w:type="spellStart"/>
      <w:r w:rsidRPr="009277E8">
        <w:rPr>
          <w:rFonts w:ascii="Times New Roman" w:hAnsi="Times New Roman" w:cs="Times New Roman"/>
        </w:rPr>
        <w:t>Londres</w:t>
      </w:r>
      <w:proofErr w:type="spellEnd"/>
      <w:r w:rsidRPr="009277E8">
        <w:rPr>
          <w:rFonts w:ascii="Times New Roman" w:hAnsi="Times New Roman" w:cs="Times New Roman"/>
        </w:rPr>
        <w:t xml:space="preserve"> 1961.</w:t>
      </w:r>
    </w:p>
    <w:p w:rsidR="009277E8" w:rsidRPr="009277E8" w:rsidRDefault="009277E8" w:rsidP="00100071">
      <w:pPr>
        <w:pStyle w:val="Bezodstpw"/>
        <w:ind w:left="1134" w:hanging="1134"/>
        <w:rPr>
          <w:rFonts w:ascii="Times New Roman" w:hAnsi="Times New Roman" w:cs="Times New Roman"/>
          <w:lang w:val="fr-FR"/>
        </w:rPr>
      </w:pPr>
      <w:r w:rsidRPr="009277E8">
        <w:rPr>
          <w:rFonts w:ascii="Times New Roman" w:hAnsi="Times New Roman" w:cs="Times New Roman"/>
          <w:lang w:val="fr-FR"/>
        </w:rPr>
        <w:t xml:space="preserve">Eusèbe de Césarée, </w:t>
      </w:r>
      <w:r w:rsidRPr="009277E8">
        <w:rPr>
          <w:rFonts w:ascii="Times New Roman" w:hAnsi="Times New Roman" w:cs="Times New Roman"/>
          <w:i/>
          <w:lang w:val="fr-FR"/>
        </w:rPr>
        <w:t>De ecclesiastica theologia</w:t>
      </w:r>
      <w:r w:rsidRPr="009277E8">
        <w:rPr>
          <w:rFonts w:ascii="Times New Roman" w:hAnsi="Times New Roman" w:cs="Times New Roman"/>
          <w:lang w:val="fr-FR"/>
        </w:rPr>
        <w:t>, 2, 14.</w:t>
      </w:r>
    </w:p>
    <w:p w:rsidR="009277E8" w:rsidRPr="009277E8" w:rsidRDefault="009277E8" w:rsidP="00100071">
      <w:pPr>
        <w:pStyle w:val="Bezodstpw"/>
        <w:ind w:left="1134" w:hanging="1134"/>
        <w:rPr>
          <w:rFonts w:ascii="Times New Roman" w:hAnsi="Times New Roman" w:cs="Times New Roman"/>
          <w:lang w:val="fr-FR"/>
        </w:rPr>
      </w:pPr>
      <w:r w:rsidRPr="009277E8">
        <w:rPr>
          <w:rFonts w:ascii="Times New Roman" w:hAnsi="Times New Roman" w:cs="Times New Roman"/>
          <w:lang w:val="fr-FR"/>
        </w:rPr>
        <w:t xml:space="preserve">Eusèbe de Césarée, </w:t>
      </w:r>
      <w:r w:rsidRPr="009277E8">
        <w:rPr>
          <w:rFonts w:ascii="Times New Roman" w:hAnsi="Times New Roman" w:cs="Times New Roman"/>
          <w:i/>
          <w:iCs/>
          <w:lang w:val="fr-FR"/>
        </w:rPr>
        <w:t>De vita Constantini</w:t>
      </w:r>
      <w:r w:rsidRPr="009277E8">
        <w:rPr>
          <w:rFonts w:ascii="Times New Roman" w:hAnsi="Times New Roman" w:cs="Times New Roman"/>
          <w:lang w:val="fr-FR"/>
        </w:rPr>
        <w:t>, 2, 64-72.</w:t>
      </w:r>
    </w:p>
    <w:p w:rsidR="009277E8" w:rsidRPr="009277E8" w:rsidRDefault="009277E8" w:rsidP="00100071">
      <w:pPr>
        <w:pStyle w:val="Bezodstpw"/>
        <w:ind w:left="1134" w:hanging="1134"/>
        <w:rPr>
          <w:rFonts w:ascii="Times New Roman" w:hAnsi="Times New Roman" w:cs="Times New Roman"/>
        </w:rPr>
      </w:pPr>
      <w:proofErr w:type="spellStart"/>
      <w:r w:rsidRPr="009277E8">
        <w:rPr>
          <w:rFonts w:ascii="Times New Roman" w:hAnsi="Times New Roman" w:cs="Times New Roman"/>
        </w:rPr>
        <w:t>Frend</w:t>
      </w:r>
      <w:proofErr w:type="spellEnd"/>
      <w:r w:rsidRPr="009277E8">
        <w:rPr>
          <w:rFonts w:ascii="Times New Roman" w:hAnsi="Times New Roman" w:cs="Times New Roman"/>
        </w:rPr>
        <w:t xml:space="preserve"> W.H.C., </w:t>
      </w:r>
      <w:r w:rsidRPr="009277E8">
        <w:rPr>
          <w:rFonts w:ascii="Times New Roman" w:hAnsi="Times New Roman" w:cs="Times New Roman"/>
          <w:i/>
        </w:rPr>
        <w:t xml:space="preserve">Martyrdom and Persecution in the Early Church : A Study of Conflict from the Maccabees to </w:t>
      </w:r>
      <w:proofErr w:type="spellStart"/>
      <w:r w:rsidRPr="009277E8">
        <w:rPr>
          <w:rFonts w:ascii="Times New Roman" w:hAnsi="Times New Roman" w:cs="Times New Roman"/>
          <w:i/>
        </w:rPr>
        <w:t>Donatus</w:t>
      </w:r>
      <w:proofErr w:type="spellEnd"/>
      <w:r w:rsidRPr="009277E8">
        <w:rPr>
          <w:rFonts w:ascii="Times New Roman" w:hAnsi="Times New Roman" w:cs="Times New Roman"/>
        </w:rPr>
        <w:t>, Blackwell, Oxford, 1965.</w:t>
      </w:r>
    </w:p>
    <w:p w:rsidR="009277E8" w:rsidRPr="009277E8" w:rsidRDefault="009277E8" w:rsidP="009277E8">
      <w:pPr>
        <w:pStyle w:val="Bezodstpw"/>
        <w:ind w:left="1134" w:hanging="1134"/>
        <w:rPr>
          <w:rFonts w:ascii="Times New Roman" w:hAnsi="Times New Roman" w:cs="Times New Roman"/>
          <w:lang w:val="fr-FR"/>
        </w:rPr>
      </w:pPr>
      <w:r w:rsidRPr="009277E8">
        <w:rPr>
          <w:rFonts w:ascii="Times New Roman" w:hAnsi="Times New Roman" w:cs="Times New Roman"/>
          <w:lang w:val="fr-FR"/>
        </w:rPr>
        <w:t xml:space="preserve">Gnilka C., </w:t>
      </w:r>
      <w:r w:rsidRPr="009277E8">
        <w:rPr>
          <w:rFonts w:ascii="Times New Roman" w:hAnsi="Times New Roman" w:cs="Times New Roman"/>
          <w:i/>
          <w:lang w:val="fr-FR"/>
        </w:rPr>
        <w:t>CHRÊSIS : Il concetto di retto uso</w:t>
      </w:r>
      <w:r w:rsidRPr="009277E8">
        <w:rPr>
          <w:rFonts w:ascii="Times New Roman" w:hAnsi="Times New Roman" w:cs="Times New Roman"/>
          <w:lang w:val="fr-FR"/>
        </w:rPr>
        <w:t>, Morcelliana, Brescia 2020.</w:t>
      </w:r>
    </w:p>
    <w:p w:rsidR="009277E8" w:rsidRPr="009277E8" w:rsidRDefault="009277E8" w:rsidP="009277E8">
      <w:pPr>
        <w:pStyle w:val="Bezodstpw"/>
        <w:ind w:left="1134" w:hanging="1134"/>
        <w:rPr>
          <w:rFonts w:ascii="Times New Roman" w:hAnsi="Times New Roman" w:cs="Times New Roman"/>
          <w:lang w:val="fr-FR"/>
        </w:rPr>
      </w:pPr>
      <w:r w:rsidRPr="009277E8">
        <w:rPr>
          <w:rFonts w:ascii="Times New Roman" w:hAnsi="Times New Roman" w:cs="Times New Roman"/>
          <w:lang w:val="fr-FR"/>
        </w:rPr>
        <w:t>Grégoire de Nysse,</w:t>
      </w:r>
      <w:r w:rsidRPr="009277E8">
        <w:rPr>
          <w:rFonts w:ascii="Times New Roman" w:hAnsi="Times New Roman" w:cs="Times New Roman"/>
          <w:i/>
          <w:lang w:val="fr-FR"/>
        </w:rPr>
        <w:t xml:space="preserve"> Oratio Cathechetica Magna</w:t>
      </w:r>
      <w:r w:rsidRPr="009277E8">
        <w:rPr>
          <w:rFonts w:ascii="Times New Roman" w:hAnsi="Times New Roman" w:cs="Times New Roman"/>
          <w:lang w:val="fr-FR"/>
        </w:rPr>
        <w:t>, 1, 73-77.</w:t>
      </w:r>
    </w:p>
    <w:p w:rsidR="009277E8" w:rsidRPr="009277E8" w:rsidRDefault="009277E8" w:rsidP="009277E8">
      <w:pPr>
        <w:pStyle w:val="Bezodstpw"/>
        <w:ind w:left="1134" w:hanging="1134"/>
        <w:rPr>
          <w:rFonts w:ascii="Times New Roman" w:hAnsi="Times New Roman" w:cs="Times New Roman"/>
          <w:lang w:val="de-AT"/>
        </w:rPr>
      </w:pPr>
      <w:r w:rsidRPr="009277E8">
        <w:rPr>
          <w:rFonts w:ascii="Times New Roman" w:hAnsi="Times New Roman" w:cs="Times New Roman"/>
          <w:lang w:val="fr-FR"/>
        </w:rPr>
        <w:t xml:space="preserve">Grillmeier A., </w:t>
      </w:r>
      <w:r w:rsidRPr="009277E8">
        <w:rPr>
          <w:rFonts w:ascii="Times New Roman" w:hAnsi="Times New Roman" w:cs="Times New Roman"/>
          <w:i/>
          <w:lang w:val="fr-FR"/>
        </w:rPr>
        <w:t xml:space="preserve">Christus licet uobis inuitis deus. </w:t>
      </w:r>
      <w:r w:rsidRPr="009277E8">
        <w:rPr>
          <w:rFonts w:ascii="Times New Roman" w:hAnsi="Times New Roman" w:cs="Times New Roman"/>
          <w:i/>
          <w:lang w:val="de-AT"/>
        </w:rPr>
        <w:t>Ein Beitrag zur Diskussion über die Hellenisierung der christlichen Botschaft</w:t>
      </w:r>
      <w:r w:rsidRPr="009277E8">
        <w:rPr>
          <w:rFonts w:ascii="Times New Roman" w:hAnsi="Times New Roman" w:cs="Times New Roman"/>
          <w:lang w:val="de-AT"/>
        </w:rPr>
        <w:t xml:space="preserve">, in M. Ritter, </w:t>
      </w:r>
      <w:r w:rsidRPr="009277E8">
        <w:rPr>
          <w:rFonts w:ascii="Times New Roman" w:hAnsi="Times New Roman" w:cs="Times New Roman"/>
          <w:i/>
          <w:lang w:val="de-AT"/>
        </w:rPr>
        <w:t>Kerygma und Logos. Beiträge zu den geistesgeschichtlichen Beziehungen zwischen Antike und Christentum. Festschrift für Carl Andresen zum 70. Geburtstag</w:t>
      </w:r>
      <w:r w:rsidRPr="009277E8">
        <w:rPr>
          <w:rFonts w:ascii="Times New Roman" w:hAnsi="Times New Roman" w:cs="Times New Roman"/>
          <w:lang w:val="de-AT"/>
        </w:rPr>
        <w:t xml:space="preserve">, </w:t>
      </w:r>
      <w:proofErr w:type="spellStart"/>
      <w:r w:rsidRPr="009277E8">
        <w:rPr>
          <w:rFonts w:ascii="Times New Roman" w:hAnsi="Times New Roman" w:cs="Times New Roman"/>
          <w:lang w:val="de-AT"/>
        </w:rPr>
        <w:t>Vandenhoeck</w:t>
      </w:r>
      <w:proofErr w:type="spellEnd"/>
      <w:r w:rsidRPr="009277E8">
        <w:rPr>
          <w:rFonts w:ascii="Times New Roman" w:hAnsi="Times New Roman" w:cs="Times New Roman"/>
          <w:lang w:val="de-AT"/>
        </w:rPr>
        <w:t xml:space="preserve"> und Ruprecht, Göttingen 1979.</w:t>
      </w:r>
    </w:p>
    <w:p w:rsidR="009277E8" w:rsidRPr="009277E8" w:rsidRDefault="009277E8" w:rsidP="009277E8">
      <w:pPr>
        <w:pStyle w:val="Bezodstpw"/>
        <w:ind w:left="1134" w:hanging="1134"/>
        <w:rPr>
          <w:rFonts w:ascii="Times New Roman" w:hAnsi="Times New Roman" w:cs="Times New Roman"/>
          <w:lang w:val="de-AT"/>
        </w:rPr>
      </w:pPr>
      <w:r w:rsidRPr="009277E8">
        <w:rPr>
          <w:rFonts w:ascii="Times New Roman" w:hAnsi="Times New Roman" w:cs="Times New Roman"/>
          <w:lang w:val="de-AT"/>
        </w:rPr>
        <w:t xml:space="preserve">Grillmeier A., </w:t>
      </w:r>
      <w:r w:rsidRPr="009277E8">
        <w:rPr>
          <w:rFonts w:ascii="Times New Roman" w:hAnsi="Times New Roman" w:cs="Times New Roman"/>
          <w:i/>
          <w:lang w:val="de-AT"/>
        </w:rPr>
        <w:t>Mit ihm und in ihm : christologische Forschungen und Perspektiven</w:t>
      </w:r>
      <w:r w:rsidRPr="009277E8">
        <w:rPr>
          <w:rFonts w:ascii="Times New Roman" w:hAnsi="Times New Roman" w:cs="Times New Roman"/>
          <w:lang w:val="de-AT"/>
        </w:rPr>
        <w:t>, Herder, Freiburg 1975.</w:t>
      </w:r>
    </w:p>
    <w:p w:rsidR="009277E8" w:rsidRPr="009277E8" w:rsidRDefault="009277E8" w:rsidP="009277E8">
      <w:pPr>
        <w:pStyle w:val="Bezodstpw"/>
        <w:ind w:left="1134" w:hanging="1134"/>
        <w:rPr>
          <w:rFonts w:ascii="Times New Roman" w:hAnsi="Times New Roman" w:cs="Times New Roman"/>
          <w:lang w:val="de-AT"/>
        </w:rPr>
      </w:pPr>
      <w:r w:rsidRPr="009277E8">
        <w:rPr>
          <w:rFonts w:ascii="Times New Roman" w:hAnsi="Times New Roman" w:cs="Times New Roman"/>
          <w:lang w:val="de-AT"/>
        </w:rPr>
        <w:t xml:space="preserve">Harnack A. von, </w:t>
      </w:r>
      <w:r w:rsidRPr="009277E8">
        <w:rPr>
          <w:rFonts w:ascii="Times New Roman" w:hAnsi="Times New Roman" w:cs="Times New Roman"/>
          <w:i/>
          <w:lang w:val="de-AT"/>
        </w:rPr>
        <w:t>Lehrbuch der Dogmengeschichte</w:t>
      </w:r>
      <w:r w:rsidRPr="009277E8">
        <w:rPr>
          <w:rFonts w:ascii="Times New Roman" w:hAnsi="Times New Roman" w:cs="Times New Roman"/>
          <w:lang w:val="de-AT"/>
        </w:rPr>
        <w:t xml:space="preserve">, I, Mohr Siebeck, Freiburg </w:t>
      </w:r>
      <w:proofErr w:type="spellStart"/>
      <w:r w:rsidRPr="009277E8">
        <w:rPr>
          <w:rFonts w:ascii="Times New Roman" w:hAnsi="Times New Roman" w:cs="Times New Roman"/>
          <w:lang w:val="de-AT"/>
        </w:rPr>
        <w:t>i.B</w:t>
      </w:r>
      <w:proofErr w:type="spellEnd"/>
      <w:r w:rsidRPr="009277E8">
        <w:rPr>
          <w:rFonts w:ascii="Times New Roman" w:hAnsi="Times New Roman" w:cs="Times New Roman"/>
          <w:lang w:val="de-AT"/>
        </w:rPr>
        <w:t>. 1888.</w:t>
      </w:r>
    </w:p>
    <w:p w:rsidR="009277E8" w:rsidRPr="009277E8" w:rsidRDefault="009277E8" w:rsidP="009277E8">
      <w:pPr>
        <w:pStyle w:val="Bezodstpw"/>
        <w:ind w:left="1134" w:hanging="1134"/>
        <w:rPr>
          <w:rFonts w:ascii="Times New Roman" w:hAnsi="Times New Roman" w:cs="Times New Roman"/>
          <w:lang w:val="fr-FR"/>
        </w:rPr>
      </w:pPr>
      <w:r w:rsidRPr="009277E8">
        <w:rPr>
          <w:rFonts w:ascii="Times New Roman" w:hAnsi="Times New Roman" w:cs="Times New Roman"/>
          <w:lang w:val="fr-FR"/>
        </w:rPr>
        <w:t xml:space="preserve">Hilaire de Poitiers, </w:t>
      </w:r>
      <w:r w:rsidRPr="009277E8">
        <w:rPr>
          <w:rFonts w:ascii="Times New Roman" w:hAnsi="Times New Roman" w:cs="Times New Roman"/>
          <w:i/>
          <w:lang w:val="fr-FR"/>
        </w:rPr>
        <w:t>De synodis</w:t>
      </w:r>
      <w:r w:rsidRPr="009277E8">
        <w:rPr>
          <w:rFonts w:ascii="Times New Roman" w:hAnsi="Times New Roman" w:cs="Times New Roman"/>
          <w:lang w:val="fr-FR"/>
        </w:rPr>
        <w:t xml:space="preserve">, 81. </w:t>
      </w:r>
    </w:p>
    <w:p w:rsidR="009277E8" w:rsidRPr="00C57BB9" w:rsidRDefault="009277E8" w:rsidP="009277E8">
      <w:pPr>
        <w:pStyle w:val="Bezodstpw"/>
        <w:ind w:left="1134" w:hanging="1134"/>
        <w:rPr>
          <w:rFonts w:ascii="Times New Roman" w:hAnsi="Times New Roman" w:cs="Times New Roman"/>
        </w:rPr>
      </w:pPr>
      <w:r w:rsidRPr="00C57BB9">
        <w:rPr>
          <w:rFonts w:ascii="Times New Roman" w:hAnsi="Times New Roman" w:cs="Times New Roman"/>
        </w:rPr>
        <w:t xml:space="preserve">Justin, </w:t>
      </w:r>
      <w:r w:rsidRPr="00C57BB9">
        <w:rPr>
          <w:rFonts w:ascii="Times New Roman" w:hAnsi="Times New Roman" w:cs="Times New Roman"/>
          <w:i/>
        </w:rPr>
        <w:t xml:space="preserve">Apologia </w:t>
      </w:r>
      <w:proofErr w:type="spellStart"/>
      <w:r w:rsidRPr="00C57BB9">
        <w:rPr>
          <w:rFonts w:ascii="Times New Roman" w:hAnsi="Times New Roman" w:cs="Times New Roman"/>
          <w:i/>
        </w:rPr>
        <w:t>secunda</w:t>
      </w:r>
      <w:proofErr w:type="spellEnd"/>
      <w:r w:rsidRPr="00C57BB9">
        <w:rPr>
          <w:rFonts w:ascii="Times New Roman" w:hAnsi="Times New Roman" w:cs="Times New Roman"/>
          <w:i/>
        </w:rPr>
        <w:t>,</w:t>
      </w:r>
      <w:r w:rsidRPr="00C57BB9">
        <w:rPr>
          <w:rFonts w:ascii="Times New Roman" w:hAnsi="Times New Roman" w:cs="Times New Roman"/>
        </w:rPr>
        <w:t xml:space="preserve"> 6, 1,1-2,39.</w:t>
      </w:r>
    </w:p>
    <w:p w:rsidR="009277E8" w:rsidRPr="00C57BB9" w:rsidRDefault="009277E8" w:rsidP="009277E8">
      <w:pPr>
        <w:pStyle w:val="Bezodstpw"/>
        <w:ind w:left="1134" w:hanging="1134"/>
        <w:rPr>
          <w:rFonts w:ascii="Times New Roman" w:hAnsi="Times New Roman" w:cs="Times New Roman"/>
        </w:rPr>
      </w:pPr>
      <w:r w:rsidRPr="00C57BB9">
        <w:rPr>
          <w:rFonts w:ascii="Times New Roman" w:hAnsi="Times New Roman" w:cs="Times New Roman"/>
        </w:rPr>
        <w:t xml:space="preserve">Justin, </w:t>
      </w:r>
      <w:proofErr w:type="spellStart"/>
      <w:r w:rsidRPr="00C57BB9">
        <w:rPr>
          <w:rFonts w:ascii="Times New Roman" w:hAnsi="Times New Roman" w:cs="Times New Roman"/>
          <w:i/>
        </w:rPr>
        <w:t>Dialogus</w:t>
      </w:r>
      <w:proofErr w:type="spellEnd"/>
      <w:r w:rsidRPr="00C57BB9">
        <w:rPr>
          <w:rFonts w:ascii="Times New Roman" w:hAnsi="Times New Roman" w:cs="Times New Roman"/>
          <w:i/>
        </w:rPr>
        <w:t xml:space="preserve"> com </w:t>
      </w:r>
      <w:proofErr w:type="spellStart"/>
      <w:r w:rsidRPr="00C57BB9">
        <w:rPr>
          <w:rFonts w:ascii="Times New Roman" w:hAnsi="Times New Roman" w:cs="Times New Roman"/>
          <w:i/>
        </w:rPr>
        <w:t>Tryphone</w:t>
      </w:r>
      <w:proofErr w:type="spellEnd"/>
      <w:r w:rsidRPr="00C57BB9">
        <w:rPr>
          <w:rFonts w:ascii="Times New Roman" w:hAnsi="Times New Roman" w:cs="Times New Roman"/>
        </w:rPr>
        <w:t>, 127.</w:t>
      </w:r>
    </w:p>
    <w:p w:rsidR="009277E8" w:rsidRPr="009277E8" w:rsidRDefault="009277E8" w:rsidP="009277E8">
      <w:pPr>
        <w:pStyle w:val="Bezodstpw"/>
        <w:ind w:left="1134" w:hanging="1134"/>
        <w:rPr>
          <w:rFonts w:ascii="Times New Roman" w:hAnsi="Times New Roman" w:cs="Times New Roman"/>
        </w:rPr>
      </w:pPr>
      <w:proofErr w:type="spellStart"/>
      <w:r w:rsidRPr="009277E8">
        <w:rPr>
          <w:rFonts w:ascii="Times New Roman" w:hAnsi="Times New Roman" w:cs="Times New Roman"/>
        </w:rPr>
        <w:t>Maspero</w:t>
      </w:r>
      <w:proofErr w:type="spellEnd"/>
      <w:r w:rsidRPr="009277E8">
        <w:rPr>
          <w:rFonts w:ascii="Times New Roman" w:hAnsi="Times New Roman" w:cs="Times New Roman"/>
        </w:rPr>
        <w:t xml:space="preserve"> G., </w:t>
      </w:r>
      <w:r w:rsidRPr="009277E8">
        <w:rPr>
          <w:rFonts w:ascii="Times New Roman" w:hAnsi="Times New Roman" w:cs="Times New Roman"/>
          <w:i/>
        </w:rPr>
        <w:t>Relational Being. The Cappadocian Reshaping of Metaphysics</w:t>
      </w:r>
      <w:r w:rsidRPr="009277E8">
        <w:rPr>
          <w:rFonts w:ascii="Times New Roman" w:hAnsi="Times New Roman" w:cs="Times New Roman"/>
        </w:rPr>
        <w:t>, Cambridge University Press, Cambridge 2024.</w:t>
      </w:r>
    </w:p>
    <w:p w:rsidR="009277E8" w:rsidRPr="009277E8" w:rsidRDefault="009277E8" w:rsidP="009277E8">
      <w:pPr>
        <w:pStyle w:val="Bezodstpw"/>
        <w:ind w:left="1134" w:hanging="1134"/>
        <w:rPr>
          <w:rFonts w:ascii="Times New Roman" w:hAnsi="Times New Roman" w:cs="Times New Roman"/>
        </w:rPr>
      </w:pPr>
      <w:r w:rsidRPr="009277E8">
        <w:rPr>
          <w:rFonts w:ascii="Times New Roman" w:hAnsi="Times New Roman" w:cs="Times New Roman"/>
          <w:lang w:val="fr-FR"/>
        </w:rPr>
        <w:t xml:space="preserve">Navascués P. de, </w:t>
      </w:r>
      <w:r w:rsidRPr="009277E8">
        <w:rPr>
          <w:rFonts w:ascii="Times New Roman" w:hAnsi="Times New Roman" w:cs="Times New Roman"/>
          <w:i/>
          <w:lang w:val="fr-FR"/>
        </w:rPr>
        <w:t xml:space="preserve">Pablo de Samosata y sus adversarios. </w:t>
      </w:r>
      <w:proofErr w:type="spellStart"/>
      <w:r w:rsidRPr="009277E8">
        <w:rPr>
          <w:rFonts w:ascii="Times New Roman" w:hAnsi="Times New Roman" w:cs="Times New Roman"/>
          <w:i/>
        </w:rPr>
        <w:t>Estudio</w:t>
      </w:r>
      <w:proofErr w:type="spellEnd"/>
      <w:r w:rsidRPr="009277E8">
        <w:rPr>
          <w:rFonts w:ascii="Times New Roman" w:hAnsi="Times New Roman" w:cs="Times New Roman"/>
          <w:i/>
        </w:rPr>
        <w:t xml:space="preserve"> </w:t>
      </w:r>
      <w:proofErr w:type="spellStart"/>
      <w:r w:rsidRPr="009277E8">
        <w:rPr>
          <w:rFonts w:ascii="Times New Roman" w:hAnsi="Times New Roman" w:cs="Times New Roman"/>
          <w:i/>
        </w:rPr>
        <w:t>histórico-teológico</w:t>
      </w:r>
      <w:proofErr w:type="spellEnd"/>
      <w:r w:rsidRPr="009277E8">
        <w:rPr>
          <w:rFonts w:ascii="Times New Roman" w:hAnsi="Times New Roman" w:cs="Times New Roman"/>
          <w:i/>
        </w:rPr>
        <w:t xml:space="preserve"> del </w:t>
      </w:r>
      <w:proofErr w:type="spellStart"/>
      <w:r w:rsidRPr="009277E8">
        <w:rPr>
          <w:rFonts w:ascii="Times New Roman" w:hAnsi="Times New Roman" w:cs="Times New Roman"/>
          <w:i/>
        </w:rPr>
        <w:t>cristianismo</w:t>
      </w:r>
      <w:proofErr w:type="spellEnd"/>
      <w:r w:rsidRPr="009277E8">
        <w:rPr>
          <w:rFonts w:ascii="Times New Roman" w:hAnsi="Times New Roman" w:cs="Times New Roman"/>
          <w:i/>
        </w:rPr>
        <w:t xml:space="preserve"> </w:t>
      </w:r>
      <w:proofErr w:type="spellStart"/>
      <w:r w:rsidRPr="009277E8">
        <w:rPr>
          <w:rFonts w:ascii="Times New Roman" w:hAnsi="Times New Roman" w:cs="Times New Roman"/>
          <w:i/>
        </w:rPr>
        <w:t>antioqueno</w:t>
      </w:r>
      <w:proofErr w:type="spellEnd"/>
      <w:r w:rsidRPr="009277E8">
        <w:rPr>
          <w:rFonts w:ascii="Times New Roman" w:hAnsi="Times New Roman" w:cs="Times New Roman"/>
          <w:i/>
        </w:rPr>
        <w:t xml:space="preserve"> </w:t>
      </w:r>
      <w:proofErr w:type="spellStart"/>
      <w:r w:rsidRPr="009277E8">
        <w:rPr>
          <w:rFonts w:ascii="Times New Roman" w:hAnsi="Times New Roman" w:cs="Times New Roman"/>
          <w:i/>
        </w:rPr>
        <w:t>en</w:t>
      </w:r>
      <w:proofErr w:type="spellEnd"/>
      <w:r w:rsidRPr="009277E8">
        <w:rPr>
          <w:rFonts w:ascii="Times New Roman" w:hAnsi="Times New Roman" w:cs="Times New Roman"/>
          <w:i/>
        </w:rPr>
        <w:t xml:space="preserve"> el </w:t>
      </w:r>
      <w:proofErr w:type="spellStart"/>
      <w:r w:rsidRPr="009277E8">
        <w:rPr>
          <w:rFonts w:ascii="Times New Roman" w:hAnsi="Times New Roman" w:cs="Times New Roman"/>
          <w:i/>
        </w:rPr>
        <w:t>siglo</w:t>
      </w:r>
      <w:proofErr w:type="spellEnd"/>
      <w:r w:rsidRPr="009277E8">
        <w:rPr>
          <w:rFonts w:ascii="Times New Roman" w:hAnsi="Times New Roman" w:cs="Times New Roman"/>
          <w:i/>
        </w:rPr>
        <w:t xml:space="preserve"> III</w:t>
      </w:r>
      <w:r w:rsidRPr="009277E8">
        <w:rPr>
          <w:rFonts w:ascii="Times New Roman" w:hAnsi="Times New Roman" w:cs="Times New Roman"/>
        </w:rPr>
        <w:t xml:space="preserve">, </w:t>
      </w:r>
      <w:proofErr w:type="spellStart"/>
      <w:r w:rsidRPr="009277E8">
        <w:rPr>
          <w:rFonts w:ascii="Times New Roman" w:hAnsi="Times New Roman" w:cs="Times New Roman"/>
        </w:rPr>
        <w:t>Insitutum</w:t>
      </w:r>
      <w:proofErr w:type="spellEnd"/>
      <w:r w:rsidRPr="009277E8">
        <w:rPr>
          <w:rFonts w:ascii="Times New Roman" w:hAnsi="Times New Roman" w:cs="Times New Roman"/>
        </w:rPr>
        <w:t xml:space="preserve"> </w:t>
      </w:r>
      <w:proofErr w:type="spellStart"/>
      <w:r w:rsidRPr="009277E8">
        <w:rPr>
          <w:rFonts w:ascii="Times New Roman" w:hAnsi="Times New Roman" w:cs="Times New Roman"/>
        </w:rPr>
        <w:t>Patristicum</w:t>
      </w:r>
      <w:proofErr w:type="spellEnd"/>
      <w:r w:rsidRPr="009277E8">
        <w:rPr>
          <w:rFonts w:ascii="Times New Roman" w:hAnsi="Times New Roman" w:cs="Times New Roman"/>
        </w:rPr>
        <w:t xml:space="preserve"> </w:t>
      </w:r>
      <w:proofErr w:type="spellStart"/>
      <w:r w:rsidRPr="009277E8">
        <w:rPr>
          <w:rFonts w:ascii="Times New Roman" w:hAnsi="Times New Roman" w:cs="Times New Roman"/>
        </w:rPr>
        <w:t>Augustinianum</w:t>
      </w:r>
      <w:proofErr w:type="spellEnd"/>
      <w:r w:rsidRPr="009277E8">
        <w:rPr>
          <w:rFonts w:ascii="Times New Roman" w:hAnsi="Times New Roman" w:cs="Times New Roman"/>
        </w:rPr>
        <w:t xml:space="preserve"> ("</w:t>
      </w:r>
      <w:proofErr w:type="spellStart"/>
      <w:r w:rsidRPr="009277E8">
        <w:rPr>
          <w:rFonts w:ascii="Times New Roman" w:hAnsi="Times New Roman" w:cs="Times New Roman"/>
        </w:rPr>
        <w:t>Studia</w:t>
      </w:r>
      <w:proofErr w:type="spellEnd"/>
      <w:r w:rsidRPr="009277E8">
        <w:rPr>
          <w:rFonts w:ascii="Times New Roman" w:hAnsi="Times New Roman" w:cs="Times New Roman"/>
        </w:rPr>
        <w:t xml:space="preserve"> Ephemerides </w:t>
      </w:r>
      <w:proofErr w:type="spellStart"/>
      <w:r w:rsidRPr="009277E8">
        <w:rPr>
          <w:rFonts w:ascii="Times New Roman" w:hAnsi="Times New Roman" w:cs="Times New Roman"/>
        </w:rPr>
        <w:t>Augustinianum</w:t>
      </w:r>
      <w:proofErr w:type="spellEnd"/>
      <w:r w:rsidRPr="009277E8">
        <w:rPr>
          <w:rFonts w:ascii="Times New Roman" w:hAnsi="Times New Roman" w:cs="Times New Roman"/>
        </w:rPr>
        <w:t>", 87), Rome 2004.</w:t>
      </w:r>
    </w:p>
    <w:p w:rsidR="009277E8" w:rsidRPr="009277E8" w:rsidRDefault="009277E8" w:rsidP="009277E8">
      <w:pPr>
        <w:pStyle w:val="Bezodstpw"/>
        <w:ind w:left="1134" w:hanging="1134"/>
        <w:rPr>
          <w:rFonts w:ascii="Times New Roman" w:hAnsi="Times New Roman" w:cs="Times New Roman"/>
          <w:lang w:val="de-AT"/>
        </w:rPr>
      </w:pPr>
      <w:proofErr w:type="spellStart"/>
      <w:r w:rsidRPr="009277E8">
        <w:rPr>
          <w:rFonts w:ascii="Times New Roman" w:hAnsi="Times New Roman" w:cs="Times New Roman"/>
          <w:lang w:val="de-AT"/>
        </w:rPr>
        <w:t>Origène</w:t>
      </w:r>
      <w:proofErr w:type="spellEnd"/>
      <w:r w:rsidRPr="009277E8">
        <w:rPr>
          <w:rFonts w:ascii="Times New Roman" w:hAnsi="Times New Roman" w:cs="Times New Roman"/>
          <w:lang w:val="de-AT"/>
        </w:rPr>
        <w:t xml:space="preserve">, </w:t>
      </w:r>
      <w:proofErr w:type="spellStart"/>
      <w:r w:rsidRPr="009277E8">
        <w:rPr>
          <w:rFonts w:ascii="Times New Roman" w:hAnsi="Times New Roman" w:cs="Times New Roman"/>
          <w:i/>
          <w:lang w:val="de-AT"/>
        </w:rPr>
        <w:t>Commentarii</w:t>
      </w:r>
      <w:proofErr w:type="spellEnd"/>
      <w:r w:rsidRPr="009277E8">
        <w:rPr>
          <w:rFonts w:ascii="Times New Roman" w:hAnsi="Times New Roman" w:cs="Times New Roman"/>
          <w:i/>
          <w:lang w:val="de-AT"/>
        </w:rPr>
        <w:t xml:space="preserve"> in </w:t>
      </w:r>
      <w:proofErr w:type="spellStart"/>
      <w:r w:rsidRPr="009277E8">
        <w:rPr>
          <w:rFonts w:ascii="Times New Roman" w:hAnsi="Times New Roman" w:cs="Times New Roman"/>
          <w:i/>
          <w:lang w:val="de-AT"/>
        </w:rPr>
        <w:t>evangelium</w:t>
      </w:r>
      <w:proofErr w:type="spellEnd"/>
      <w:r w:rsidRPr="009277E8">
        <w:rPr>
          <w:rFonts w:ascii="Times New Roman" w:hAnsi="Times New Roman" w:cs="Times New Roman"/>
          <w:i/>
          <w:lang w:val="de-AT"/>
        </w:rPr>
        <w:t xml:space="preserve"> Joannis</w:t>
      </w:r>
      <w:r w:rsidRPr="009277E8">
        <w:rPr>
          <w:rFonts w:ascii="Times New Roman" w:hAnsi="Times New Roman" w:cs="Times New Roman"/>
          <w:lang w:val="de-AT"/>
        </w:rPr>
        <w:t>, II, 2.</w:t>
      </w:r>
    </w:p>
    <w:p w:rsidR="009277E8" w:rsidRPr="009277E8" w:rsidRDefault="009277E8" w:rsidP="009277E8">
      <w:pPr>
        <w:pStyle w:val="Bezodstpw"/>
        <w:ind w:left="1134" w:hanging="1134"/>
        <w:rPr>
          <w:rFonts w:ascii="Times New Roman" w:hAnsi="Times New Roman" w:cs="Times New Roman"/>
          <w:lang w:val="de-AT"/>
        </w:rPr>
      </w:pPr>
      <w:proofErr w:type="spellStart"/>
      <w:r w:rsidRPr="009277E8">
        <w:rPr>
          <w:rFonts w:ascii="Times New Roman" w:hAnsi="Times New Roman" w:cs="Times New Roman"/>
          <w:lang w:val="de-AT"/>
        </w:rPr>
        <w:t>Origène</w:t>
      </w:r>
      <w:proofErr w:type="spellEnd"/>
      <w:r w:rsidRPr="009277E8">
        <w:rPr>
          <w:rFonts w:ascii="Times New Roman" w:hAnsi="Times New Roman" w:cs="Times New Roman"/>
          <w:lang w:val="de-AT"/>
        </w:rPr>
        <w:t xml:space="preserve">, </w:t>
      </w:r>
      <w:proofErr w:type="spellStart"/>
      <w:r w:rsidRPr="009277E8">
        <w:rPr>
          <w:rFonts w:ascii="Times New Roman" w:hAnsi="Times New Roman" w:cs="Times New Roman"/>
          <w:i/>
          <w:lang w:val="de-AT"/>
        </w:rPr>
        <w:t>Commentarii</w:t>
      </w:r>
      <w:proofErr w:type="spellEnd"/>
      <w:r w:rsidRPr="009277E8">
        <w:rPr>
          <w:rFonts w:ascii="Times New Roman" w:hAnsi="Times New Roman" w:cs="Times New Roman"/>
          <w:i/>
          <w:lang w:val="de-AT"/>
        </w:rPr>
        <w:t xml:space="preserve"> in </w:t>
      </w:r>
      <w:proofErr w:type="spellStart"/>
      <w:r w:rsidRPr="009277E8">
        <w:rPr>
          <w:rFonts w:ascii="Times New Roman" w:hAnsi="Times New Roman" w:cs="Times New Roman"/>
          <w:i/>
          <w:lang w:val="de-AT"/>
        </w:rPr>
        <w:t>evangelium</w:t>
      </w:r>
      <w:proofErr w:type="spellEnd"/>
      <w:r w:rsidRPr="009277E8">
        <w:rPr>
          <w:rFonts w:ascii="Times New Roman" w:hAnsi="Times New Roman" w:cs="Times New Roman"/>
          <w:i/>
          <w:lang w:val="de-AT"/>
        </w:rPr>
        <w:t xml:space="preserve"> Joannis</w:t>
      </w:r>
      <w:r w:rsidRPr="009277E8">
        <w:rPr>
          <w:rFonts w:ascii="Times New Roman" w:hAnsi="Times New Roman" w:cs="Times New Roman"/>
          <w:lang w:val="de-AT"/>
        </w:rPr>
        <w:t>, II, 23.</w:t>
      </w:r>
    </w:p>
    <w:p w:rsidR="009277E8" w:rsidRPr="009277E8" w:rsidRDefault="009277E8" w:rsidP="009277E8">
      <w:pPr>
        <w:pStyle w:val="Bezodstpw"/>
        <w:ind w:left="1134" w:hanging="1134"/>
        <w:rPr>
          <w:rFonts w:ascii="Times New Roman" w:hAnsi="Times New Roman" w:cs="Times New Roman"/>
          <w:lang w:val="de-AT"/>
        </w:rPr>
      </w:pPr>
      <w:proofErr w:type="spellStart"/>
      <w:r w:rsidRPr="009277E8">
        <w:rPr>
          <w:rFonts w:ascii="Times New Roman" w:hAnsi="Times New Roman" w:cs="Times New Roman"/>
          <w:lang w:val="de-AT"/>
        </w:rPr>
        <w:t>Origène</w:t>
      </w:r>
      <w:proofErr w:type="spellEnd"/>
      <w:r w:rsidRPr="009277E8">
        <w:rPr>
          <w:rFonts w:ascii="Times New Roman" w:hAnsi="Times New Roman" w:cs="Times New Roman"/>
          <w:lang w:val="de-AT"/>
        </w:rPr>
        <w:t xml:space="preserve">, </w:t>
      </w:r>
      <w:r w:rsidRPr="009277E8">
        <w:rPr>
          <w:rFonts w:ascii="Times New Roman" w:hAnsi="Times New Roman" w:cs="Times New Roman"/>
          <w:i/>
          <w:lang w:val="de-AT"/>
        </w:rPr>
        <w:t xml:space="preserve">Contra </w:t>
      </w:r>
      <w:proofErr w:type="spellStart"/>
      <w:r w:rsidRPr="009277E8">
        <w:rPr>
          <w:rFonts w:ascii="Times New Roman" w:hAnsi="Times New Roman" w:cs="Times New Roman"/>
          <w:i/>
          <w:lang w:val="de-AT"/>
        </w:rPr>
        <w:t>Celsum</w:t>
      </w:r>
      <w:proofErr w:type="spellEnd"/>
      <w:r w:rsidRPr="009277E8">
        <w:rPr>
          <w:rFonts w:ascii="Times New Roman" w:hAnsi="Times New Roman" w:cs="Times New Roman"/>
          <w:lang w:val="de-AT"/>
        </w:rPr>
        <w:t>, 5, 39.</w:t>
      </w:r>
    </w:p>
    <w:p w:rsidR="009277E8" w:rsidRPr="009277E8" w:rsidRDefault="009277E8" w:rsidP="009277E8">
      <w:pPr>
        <w:pStyle w:val="Bezodstpw"/>
        <w:ind w:left="1134" w:hanging="1134"/>
        <w:rPr>
          <w:rFonts w:ascii="Times New Roman" w:hAnsi="Times New Roman" w:cs="Times New Roman"/>
          <w:lang w:val="de-AT"/>
        </w:rPr>
      </w:pPr>
      <w:r w:rsidRPr="009277E8">
        <w:rPr>
          <w:rFonts w:ascii="Times New Roman" w:hAnsi="Times New Roman" w:cs="Times New Roman"/>
          <w:lang w:val="de-AT"/>
        </w:rPr>
        <w:t xml:space="preserve">Ratzinger J., </w:t>
      </w:r>
      <w:r w:rsidRPr="009277E8">
        <w:rPr>
          <w:rFonts w:ascii="Times New Roman" w:hAnsi="Times New Roman" w:cs="Times New Roman"/>
          <w:i/>
          <w:lang w:val="de-AT"/>
        </w:rPr>
        <w:t>Einführung in das Christentum</w:t>
      </w:r>
      <w:r w:rsidRPr="009277E8">
        <w:rPr>
          <w:rFonts w:ascii="Times New Roman" w:hAnsi="Times New Roman" w:cs="Times New Roman"/>
          <w:lang w:val="de-AT"/>
        </w:rPr>
        <w:t xml:space="preserve">, </w:t>
      </w:r>
      <w:proofErr w:type="spellStart"/>
      <w:r w:rsidRPr="009277E8">
        <w:rPr>
          <w:rFonts w:ascii="Times New Roman" w:hAnsi="Times New Roman" w:cs="Times New Roman"/>
          <w:lang w:val="de-AT"/>
        </w:rPr>
        <w:t>Kösel</w:t>
      </w:r>
      <w:proofErr w:type="spellEnd"/>
      <w:r w:rsidRPr="009277E8">
        <w:rPr>
          <w:rFonts w:ascii="Times New Roman" w:hAnsi="Times New Roman" w:cs="Times New Roman"/>
          <w:lang w:val="de-AT"/>
        </w:rPr>
        <w:t xml:space="preserve"> 1968, 162.</w:t>
      </w:r>
    </w:p>
    <w:p w:rsidR="009277E8" w:rsidRPr="009277E8" w:rsidRDefault="009277E8" w:rsidP="009277E8">
      <w:pPr>
        <w:pStyle w:val="Bezodstpw"/>
        <w:ind w:left="1134" w:hanging="1134"/>
        <w:rPr>
          <w:rFonts w:ascii="Times New Roman" w:hAnsi="Times New Roman" w:cs="Times New Roman"/>
          <w:lang w:val="de-AT"/>
        </w:rPr>
      </w:pPr>
      <w:r w:rsidRPr="009277E8">
        <w:rPr>
          <w:rFonts w:ascii="Times New Roman" w:hAnsi="Times New Roman" w:cs="Times New Roman"/>
          <w:lang w:val="de-AT"/>
        </w:rPr>
        <w:lastRenderedPageBreak/>
        <w:t xml:space="preserve">Ratzinger J., </w:t>
      </w:r>
      <w:r w:rsidRPr="009277E8">
        <w:rPr>
          <w:rFonts w:ascii="Times New Roman" w:hAnsi="Times New Roman" w:cs="Times New Roman"/>
          <w:i/>
          <w:lang w:val="de-AT"/>
        </w:rPr>
        <w:t xml:space="preserve">Glaube, Wahrheit und Kultur. Reflexionen im </w:t>
      </w:r>
      <w:proofErr w:type="spellStart"/>
      <w:r w:rsidRPr="009277E8">
        <w:rPr>
          <w:rFonts w:ascii="Times New Roman" w:hAnsi="Times New Roman" w:cs="Times New Roman"/>
          <w:i/>
          <w:lang w:val="de-AT"/>
        </w:rPr>
        <w:t>Anschluß</w:t>
      </w:r>
      <w:proofErr w:type="spellEnd"/>
      <w:r w:rsidRPr="009277E8">
        <w:rPr>
          <w:rFonts w:ascii="Times New Roman" w:hAnsi="Times New Roman" w:cs="Times New Roman"/>
          <w:i/>
          <w:lang w:val="de-AT"/>
        </w:rPr>
        <w:t xml:space="preserve"> an die Enzyklika "</w:t>
      </w:r>
      <w:proofErr w:type="spellStart"/>
      <w:r w:rsidRPr="009277E8">
        <w:rPr>
          <w:rFonts w:ascii="Times New Roman" w:hAnsi="Times New Roman" w:cs="Times New Roman"/>
          <w:i/>
          <w:lang w:val="de-AT"/>
        </w:rPr>
        <w:t>Fides</w:t>
      </w:r>
      <w:proofErr w:type="spellEnd"/>
      <w:r w:rsidRPr="009277E8">
        <w:rPr>
          <w:rFonts w:ascii="Times New Roman" w:hAnsi="Times New Roman" w:cs="Times New Roman"/>
          <w:i/>
          <w:lang w:val="de-AT"/>
        </w:rPr>
        <w:t xml:space="preserve"> et </w:t>
      </w:r>
      <w:proofErr w:type="spellStart"/>
      <w:r w:rsidRPr="009277E8">
        <w:rPr>
          <w:rFonts w:ascii="Times New Roman" w:hAnsi="Times New Roman" w:cs="Times New Roman"/>
          <w:i/>
          <w:lang w:val="de-AT"/>
        </w:rPr>
        <w:t>ratio</w:t>
      </w:r>
      <w:proofErr w:type="spellEnd"/>
      <w:r w:rsidRPr="009277E8">
        <w:rPr>
          <w:rFonts w:ascii="Times New Roman" w:hAnsi="Times New Roman" w:cs="Times New Roman"/>
          <w:lang w:val="de-AT"/>
        </w:rPr>
        <w:t xml:space="preserve">", in </w:t>
      </w:r>
      <w:r w:rsidRPr="009277E8">
        <w:rPr>
          <w:rFonts w:ascii="Times New Roman" w:hAnsi="Times New Roman" w:cs="Times New Roman"/>
          <w:i/>
          <w:lang w:val="de-AT"/>
        </w:rPr>
        <w:t>Internationale katholische Zeitschrift Communio</w:t>
      </w:r>
      <w:r w:rsidRPr="009277E8">
        <w:rPr>
          <w:rFonts w:ascii="Times New Roman" w:hAnsi="Times New Roman" w:cs="Times New Roman"/>
          <w:lang w:val="de-AT"/>
        </w:rPr>
        <w:t xml:space="preserve"> 28(1999)4, s. 289-305.</w:t>
      </w:r>
    </w:p>
    <w:p w:rsidR="009277E8" w:rsidRPr="009277E8" w:rsidRDefault="009277E8" w:rsidP="009277E8">
      <w:pPr>
        <w:pStyle w:val="Bezodstpw"/>
        <w:ind w:left="1134" w:hanging="1134"/>
        <w:rPr>
          <w:rFonts w:ascii="Times New Roman" w:hAnsi="Times New Roman" w:cs="Times New Roman"/>
          <w:lang w:val="de-AT"/>
        </w:rPr>
      </w:pPr>
      <w:r w:rsidRPr="009277E8">
        <w:rPr>
          <w:rFonts w:ascii="Times New Roman" w:hAnsi="Times New Roman" w:cs="Times New Roman"/>
          <w:lang w:val="de-AT"/>
        </w:rPr>
        <w:t xml:space="preserve">Socrates, </w:t>
      </w:r>
      <w:proofErr w:type="spellStart"/>
      <w:r w:rsidRPr="009277E8">
        <w:rPr>
          <w:rFonts w:ascii="Times New Roman" w:hAnsi="Times New Roman" w:cs="Times New Roman"/>
          <w:i/>
          <w:iCs/>
          <w:lang w:val="de-AT"/>
        </w:rPr>
        <w:t>Historia</w:t>
      </w:r>
      <w:proofErr w:type="spellEnd"/>
      <w:r w:rsidRPr="009277E8">
        <w:rPr>
          <w:rFonts w:ascii="Times New Roman" w:hAnsi="Times New Roman" w:cs="Times New Roman"/>
          <w:i/>
          <w:iCs/>
          <w:lang w:val="de-AT"/>
        </w:rPr>
        <w:t xml:space="preserve"> </w:t>
      </w:r>
      <w:proofErr w:type="spellStart"/>
      <w:r w:rsidRPr="009277E8">
        <w:rPr>
          <w:rFonts w:ascii="Times New Roman" w:hAnsi="Times New Roman" w:cs="Times New Roman"/>
          <w:i/>
          <w:iCs/>
          <w:lang w:val="de-AT"/>
        </w:rPr>
        <w:t>Ecclesiastica</w:t>
      </w:r>
      <w:proofErr w:type="spellEnd"/>
      <w:r w:rsidRPr="009277E8">
        <w:rPr>
          <w:rFonts w:ascii="Times New Roman" w:hAnsi="Times New Roman" w:cs="Times New Roman"/>
          <w:lang w:val="de-AT"/>
        </w:rPr>
        <w:t>, 1,7.</w:t>
      </w:r>
    </w:p>
    <w:p w:rsidR="009277E8" w:rsidRPr="009277E8" w:rsidRDefault="009277E8" w:rsidP="009277E8">
      <w:pPr>
        <w:pStyle w:val="Bezodstpw"/>
        <w:ind w:left="1134" w:hanging="1134"/>
        <w:rPr>
          <w:rFonts w:ascii="Times New Roman" w:eastAsia="SimSun" w:hAnsi="Times New Roman" w:cs="Times New Roman"/>
          <w:kern w:val="1"/>
          <w:lang w:val="it-IT"/>
        </w:rPr>
      </w:pPr>
      <w:proofErr w:type="spellStart"/>
      <w:r w:rsidRPr="009277E8">
        <w:rPr>
          <w:rFonts w:ascii="Times New Roman" w:hAnsi="Times New Roman" w:cs="Times New Roman"/>
          <w:lang w:val="de-AT"/>
        </w:rPr>
        <w:t>Sodano</w:t>
      </w:r>
      <w:proofErr w:type="spellEnd"/>
      <w:r w:rsidRPr="009277E8">
        <w:rPr>
          <w:rFonts w:ascii="Times New Roman" w:hAnsi="Times New Roman" w:cs="Times New Roman"/>
          <w:lang w:val="de-AT"/>
        </w:rPr>
        <w:t xml:space="preserve"> A.R. (red.), </w:t>
      </w:r>
      <w:r w:rsidRPr="009277E8">
        <w:rPr>
          <w:rFonts w:ascii="Times New Roman" w:eastAsia="SimSun" w:hAnsi="Times New Roman" w:cs="Times New Roman"/>
          <w:kern w:val="1"/>
          <w:lang w:val="it-IT"/>
        </w:rPr>
        <w:t xml:space="preserve"> </w:t>
      </w:r>
      <w:r w:rsidRPr="009277E8">
        <w:rPr>
          <w:rFonts w:ascii="Times New Roman" w:eastAsia="SimSun" w:hAnsi="Times New Roman" w:cs="Times New Roman"/>
          <w:i/>
          <w:iCs/>
          <w:kern w:val="1"/>
          <w:lang w:val="it-IT"/>
        </w:rPr>
        <w:t xml:space="preserve">Porfirio: Vangelo di un pagano, </w:t>
      </w:r>
      <w:r w:rsidRPr="009277E8">
        <w:rPr>
          <w:rFonts w:ascii="Times New Roman" w:eastAsia="SimSun" w:hAnsi="Times New Roman" w:cs="Times New Roman"/>
          <w:kern w:val="1"/>
          <w:lang w:val="it-IT"/>
        </w:rPr>
        <w:t>Rusconi, Milano 1993.</w:t>
      </w:r>
    </w:p>
    <w:p w:rsidR="009277E8" w:rsidRPr="009277E8" w:rsidRDefault="009277E8" w:rsidP="009277E8">
      <w:pPr>
        <w:pStyle w:val="Bezodstpw"/>
        <w:ind w:left="1134" w:hanging="1134"/>
        <w:rPr>
          <w:rFonts w:ascii="Times New Roman" w:hAnsi="Times New Roman" w:cs="Times New Roman"/>
          <w:lang w:val="de-AT"/>
        </w:rPr>
      </w:pPr>
      <w:proofErr w:type="spellStart"/>
      <w:r w:rsidRPr="009277E8">
        <w:rPr>
          <w:rFonts w:ascii="Times New Roman" w:hAnsi="Times New Roman" w:cs="Times New Roman"/>
          <w:lang w:val="de-AT"/>
        </w:rPr>
        <w:t>Sozomenus</w:t>
      </w:r>
      <w:proofErr w:type="spellEnd"/>
      <w:r w:rsidRPr="009277E8">
        <w:rPr>
          <w:rFonts w:ascii="Times New Roman" w:hAnsi="Times New Roman" w:cs="Times New Roman"/>
          <w:lang w:val="de-AT"/>
        </w:rPr>
        <w:t xml:space="preserve">, </w:t>
      </w:r>
      <w:proofErr w:type="spellStart"/>
      <w:r w:rsidRPr="009277E8">
        <w:rPr>
          <w:rFonts w:ascii="Times New Roman" w:hAnsi="Times New Roman" w:cs="Times New Roman"/>
          <w:i/>
          <w:lang w:val="de-AT"/>
        </w:rPr>
        <w:t>Historia</w:t>
      </w:r>
      <w:proofErr w:type="spellEnd"/>
      <w:r w:rsidRPr="009277E8">
        <w:rPr>
          <w:rFonts w:ascii="Times New Roman" w:hAnsi="Times New Roman" w:cs="Times New Roman"/>
          <w:i/>
          <w:lang w:val="de-AT"/>
        </w:rPr>
        <w:t xml:space="preserve"> </w:t>
      </w:r>
      <w:proofErr w:type="spellStart"/>
      <w:r w:rsidRPr="009277E8">
        <w:rPr>
          <w:rFonts w:ascii="Times New Roman" w:hAnsi="Times New Roman" w:cs="Times New Roman"/>
          <w:i/>
          <w:lang w:val="de-AT"/>
        </w:rPr>
        <w:t>Ecclesistica</w:t>
      </w:r>
      <w:proofErr w:type="spellEnd"/>
      <w:r w:rsidRPr="009277E8">
        <w:rPr>
          <w:rFonts w:ascii="Times New Roman" w:hAnsi="Times New Roman" w:cs="Times New Roman"/>
          <w:lang w:val="de-AT"/>
        </w:rPr>
        <w:t xml:space="preserve"> IV, 15.2.</w:t>
      </w:r>
    </w:p>
    <w:p w:rsidR="009277E8" w:rsidRPr="009277E8" w:rsidRDefault="009277E8" w:rsidP="009277E8">
      <w:pPr>
        <w:pStyle w:val="Bezodstpw"/>
        <w:ind w:left="1134" w:hanging="1134"/>
        <w:rPr>
          <w:rFonts w:ascii="Times New Roman" w:hAnsi="Times New Roman" w:cs="Times New Roman"/>
        </w:rPr>
      </w:pPr>
      <w:r w:rsidRPr="009277E8">
        <w:rPr>
          <w:rFonts w:ascii="Times New Roman" w:hAnsi="Times New Roman" w:cs="Times New Roman"/>
          <w:lang w:val="de-AT"/>
        </w:rPr>
        <w:t xml:space="preserve">Williams </w:t>
      </w:r>
      <w:r w:rsidRPr="009277E8">
        <w:rPr>
          <w:rFonts w:ascii="Times New Roman" w:hAnsi="Times New Roman" w:cs="Times New Roman"/>
          <w:smallCaps/>
          <w:lang w:val="de-AT"/>
        </w:rPr>
        <w:t>R.</w:t>
      </w:r>
      <w:r w:rsidRPr="009277E8">
        <w:rPr>
          <w:rFonts w:ascii="Times New Roman" w:hAnsi="Times New Roman" w:cs="Times New Roman"/>
          <w:lang w:val="de-AT"/>
        </w:rPr>
        <w:t xml:space="preserve">, </w:t>
      </w:r>
      <w:r w:rsidRPr="009277E8">
        <w:rPr>
          <w:rFonts w:ascii="Times New Roman" w:hAnsi="Times New Roman" w:cs="Times New Roman"/>
          <w:i/>
          <w:lang w:val="de-AT"/>
        </w:rPr>
        <w:t xml:space="preserve">Arius. </w:t>
      </w:r>
      <w:r w:rsidRPr="009277E8">
        <w:rPr>
          <w:rFonts w:ascii="Times New Roman" w:hAnsi="Times New Roman" w:cs="Times New Roman"/>
          <w:i/>
        </w:rPr>
        <w:t>Heresy and Tradition</w:t>
      </w:r>
      <w:r w:rsidRPr="009277E8">
        <w:rPr>
          <w:rFonts w:ascii="Times New Roman" w:hAnsi="Times New Roman" w:cs="Times New Roman"/>
        </w:rPr>
        <w:t>, Grand Rapids MI 2002.</w:t>
      </w:r>
    </w:p>
    <w:p w:rsidR="009277E8" w:rsidRPr="00C57BB9" w:rsidRDefault="009277E8" w:rsidP="009277E8">
      <w:pPr>
        <w:pStyle w:val="Bezodstpw"/>
        <w:rPr>
          <w:rFonts w:ascii="Times New Roman" w:hAnsi="Times New Roman" w:cs="Times New Roman"/>
        </w:rPr>
      </w:pPr>
    </w:p>
    <w:sectPr w:rsidR="009277E8" w:rsidRPr="00C57BB9">
      <w:endnotePr>
        <w:numFmt w:val="decimal"/>
      </w:endnotePr>
      <w:pgSz w:w="11906" w:h="16838"/>
      <w:pgMar w:top="1134" w:right="1134" w:bottom="1134" w:left="1134" w:header="0"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C5B" w:rsidRDefault="00D90C5B">
      <w:pPr>
        <w:spacing w:after="0"/>
      </w:pPr>
      <w:r>
        <w:separator/>
      </w:r>
    </w:p>
  </w:endnote>
  <w:endnote w:type="continuationSeparator" w:id="0">
    <w:p w:rsidR="00D90C5B" w:rsidRDefault="00D90C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C5B" w:rsidRDefault="00D90C5B">
      <w:pPr>
        <w:spacing w:after="0"/>
      </w:pPr>
      <w:r>
        <w:separator/>
      </w:r>
    </w:p>
  </w:footnote>
  <w:footnote w:type="continuationSeparator" w:id="0">
    <w:p w:rsidR="00D90C5B" w:rsidRDefault="00D90C5B">
      <w:pPr>
        <w:spacing w:after="0"/>
      </w:pPr>
      <w:r>
        <w:continuationSeparator/>
      </w:r>
    </w:p>
  </w:footnote>
  <w:footnote w:id="1">
    <w:p w:rsidR="00E6136D" w:rsidRPr="006647D3" w:rsidRDefault="008727F0" w:rsidP="006647D3">
      <w:pPr>
        <w:pStyle w:val="Bezodstpw"/>
        <w:rPr>
          <w:rFonts w:ascii="Times New Roman" w:hAnsi="Times New Roman" w:cs="Times New Roman"/>
          <w:sz w:val="20"/>
          <w:szCs w:val="20"/>
          <w:lang w:val="de-AT"/>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de-AT"/>
        </w:rPr>
        <w:t xml:space="preserve"> </w:t>
      </w:r>
      <w:proofErr w:type="spellStart"/>
      <w:r w:rsidRPr="006647D3">
        <w:rPr>
          <w:rFonts w:ascii="Times New Roman" w:hAnsi="Times New Roman" w:cs="Times New Roman"/>
          <w:sz w:val="20"/>
          <w:szCs w:val="20"/>
          <w:lang w:val="de-AT"/>
        </w:rPr>
        <w:t>A.von</w:t>
      </w:r>
      <w:proofErr w:type="spellEnd"/>
      <w:r w:rsidRPr="006647D3">
        <w:rPr>
          <w:rFonts w:ascii="Times New Roman" w:hAnsi="Times New Roman" w:cs="Times New Roman"/>
          <w:sz w:val="20"/>
          <w:szCs w:val="20"/>
          <w:lang w:val="de-AT"/>
        </w:rPr>
        <w:t xml:space="preserve"> Harnack, </w:t>
      </w:r>
      <w:r w:rsidRPr="006647D3">
        <w:rPr>
          <w:rFonts w:ascii="Times New Roman" w:hAnsi="Times New Roman" w:cs="Times New Roman"/>
          <w:i/>
          <w:sz w:val="20"/>
          <w:szCs w:val="20"/>
          <w:lang w:val="de-AT"/>
        </w:rPr>
        <w:t>Lehrbuch der Dogmengeschichte</w:t>
      </w:r>
      <w:r w:rsidRPr="006647D3">
        <w:rPr>
          <w:rFonts w:ascii="Times New Roman" w:hAnsi="Times New Roman" w:cs="Times New Roman"/>
          <w:sz w:val="20"/>
          <w:szCs w:val="20"/>
          <w:lang w:val="de-AT"/>
        </w:rPr>
        <w:t xml:space="preserve">, I, Mohr Siebeck, Freiburg </w:t>
      </w:r>
      <w:proofErr w:type="spellStart"/>
      <w:r w:rsidRPr="006647D3">
        <w:rPr>
          <w:rFonts w:ascii="Times New Roman" w:hAnsi="Times New Roman" w:cs="Times New Roman"/>
          <w:sz w:val="20"/>
          <w:szCs w:val="20"/>
          <w:lang w:val="de-AT"/>
        </w:rPr>
        <w:t>i.B</w:t>
      </w:r>
      <w:proofErr w:type="spellEnd"/>
      <w:r w:rsidRPr="006647D3">
        <w:rPr>
          <w:rFonts w:ascii="Times New Roman" w:hAnsi="Times New Roman" w:cs="Times New Roman"/>
          <w:sz w:val="20"/>
          <w:szCs w:val="20"/>
          <w:lang w:val="de-AT"/>
        </w:rPr>
        <w:t>. 1888, ix-x.</w:t>
      </w:r>
    </w:p>
  </w:footnote>
  <w:footnote w:id="2">
    <w:p w:rsidR="00E6136D" w:rsidRPr="006647D3" w:rsidRDefault="008727F0" w:rsidP="006647D3">
      <w:pPr>
        <w:pStyle w:val="Bezodstpw"/>
        <w:rPr>
          <w:rFonts w:ascii="Times New Roman" w:hAnsi="Times New Roman" w:cs="Times New Roman"/>
          <w:sz w:val="20"/>
          <w:szCs w:val="20"/>
          <w:lang w:val="de-AT"/>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de-AT"/>
        </w:rPr>
        <w:t xml:space="preserve"> A. Grillmeier, </w:t>
      </w:r>
      <w:r w:rsidR="00937B0E">
        <w:rPr>
          <w:rFonts w:ascii="Times New Roman" w:hAnsi="Times New Roman" w:cs="Times New Roman"/>
          <w:i/>
          <w:sz w:val="20"/>
          <w:szCs w:val="20"/>
          <w:lang w:val="de-AT"/>
        </w:rPr>
        <w:t>Mit ihm und in ihm</w:t>
      </w:r>
      <w:r w:rsidRPr="006647D3">
        <w:rPr>
          <w:rFonts w:ascii="Times New Roman" w:hAnsi="Times New Roman" w:cs="Times New Roman"/>
          <w:i/>
          <w:sz w:val="20"/>
          <w:szCs w:val="20"/>
          <w:lang w:val="de-AT"/>
        </w:rPr>
        <w:t>: christologische Forschungen und Perspektiven</w:t>
      </w:r>
      <w:r w:rsidRPr="006647D3">
        <w:rPr>
          <w:rFonts w:ascii="Times New Roman" w:hAnsi="Times New Roman" w:cs="Times New Roman"/>
          <w:sz w:val="20"/>
          <w:szCs w:val="20"/>
          <w:lang w:val="de-AT"/>
        </w:rPr>
        <w:t>, Herder, Freiburg 1975, 423-488.</w:t>
      </w:r>
    </w:p>
  </w:footnote>
  <w:footnote w:id="3">
    <w:p w:rsidR="00E6136D" w:rsidRPr="006647D3" w:rsidRDefault="008727F0" w:rsidP="006647D3">
      <w:pPr>
        <w:pStyle w:val="Bezodstpw"/>
        <w:rPr>
          <w:rFonts w:ascii="Times New Roman" w:hAnsi="Times New Roman" w:cs="Times New Roman"/>
          <w:sz w:val="20"/>
          <w:szCs w:val="20"/>
          <w:lang w:val="de-AT"/>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A. Grillmeier, </w:t>
      </w:r>
      <w:r w:rsidRPr="006647D3">
        <w:rPr>
          <w:rFonts w:ascii="Times New Roman" w:hAnsi="Times New Roman" w:cs="Times New Roman"/>
          <w:i/>
          <w:sz w:val="20"/>
          <w:szCs w:val="20"/>
          <w:lang w:val="fr-FR"/>
        </w:rPr>
        <w:t xml:space="preserve">Christus licet uobis inuitis deus. </w:t>
      </w:r>
      <w:r w:rsidRPr="006647D3">
        <w:rPr>
          <w:rFonts w:ascii="Times New Roman" w:hAnsi="Times New Roman" w:cs="Times New Roman"/>
          <w:i/>
          <w:sz w:val="20"/>
          <w:szCs w:val="20"/>
          <w:lang w:val="de-AT"/>
        </w:rPr>
        <w:t>Ein Beitrag zur Diskussion über die Hellenisierung der christlichen Botschaft</w:t>
      </w:r>
      <w:r w:rsidRPr="006647D3">
        <w:rPr>
          <w:rFonts w:ascii="Times New Roman" w:hAnsi="Times New Roman" w:cs="Times New Roman"/>
          <w:sz w:val="20"/>
          <w:szCs w:val="20"/>
          <w:lang w:val="de-AT"/>
        </w:rPr>
        <w:t xml:space="preserve">, in M. Ritter, </w:t>
      </w:r>
      <w:r w:rsidRPr="006647D3">
        <w:rPr>
          <w:rFonts w:ascii="Times New Roman" w:hAnsi="Times New Roman" w:cs="Times New Roman"/>
          <w:i/>
          <w:sz w:val="20"/>
          <w:szCs w:val="20"/>
          <w:lang w:val="de-AT"/>
        </w:rPr>
        <w:t>Kerygma und Logos. Beiträge zu den geistesgeschichtlichen Beziehungen zwischen Antike und Christentum. Festschrift für Carl Andresen zum 70. Geburtstag</w:t>
      </w:r>
      <w:r w:rsidRPr="006647D3">
        <w:rPr>
          <w:rFonts w:ascii="Times New Roman" w:hAnsi="Times New Roman" w:cs="Times New Roman"/>
          <w:sz w:val="20"/>
          <w:szCs w:val="20"/>
          <w:lang w:val="de-AT"/>
        </w:rPr>
        <w:t xml:space="preserve">, </w:t>
      </w:r>
      <w:proofErr w:type="spellStart"/>
      <w:r w:rsidRPr="006647D3">
        <w:rPr>
          <w:rFonts w:ascii="Times New Roman" w:hAnsi="Times New Roman" w:cs="Times New Roman"/>
          <w:sz w:val="20"/>
          <w:szCs w:val="20"/>
          <w:lang w:val="de-AT"/>
        </w:rPr>
        <w:t>Vandenhoeck</w:t>
      </w:r>
      <w:proofErr w:type="spellEnd"/>
      <w:r w:rsidRPr="006647D3">
        <w:rPr>
          <w:rFonts w:ascii="Times New Roman" w:hAnsi="Times New Roman" w:cs="Times New Roman"/>
          <w:sz w:val="20"/>
          <w:szCs w:val="20"/>
          <w:lang w:val="de-AT"/>
        </w:rPr>
        <w:t xml:space="preserve"> und Ruprecht, Göttingen 1979, 226-257, </w:t>
      </w:r>
      <w:proofErr w:type="spellStart"/>
      <w:r w:rsidRPr="006647D3">
        <w:rPr>
          <w:rFonts w:ascii="Times New Roman" w:hAnsi="Times New Roman" w:cs="Times New Roman"/>
          <w:sz w:val="20"/>
          <w:szCs w:val="20"/>
          <w:lang w:val="de-AT"/>
        </w:rPr>
        <w:t>sp</w:t>
      </w:r>
      <w:proofErr w:type="spellEnd"/>
      <w:r w:rsidRPr="006647D3">
        <w:rPr>
          <w:rFonts w:ascii="Times New Roman" w:hAnsi="Times New Roman" w:cs="Times New Roman"/>
          <w:sz w:val="20"/>
          <w:szCs w:val="20"/>
          <w:lang w:val="de-AT"/>
        </w:rPr>
        <w:t>. 232-234.</w:t>
      </w:r>
    </w:p>
  </w:footnote>
  <w:footnote w:id="4">
    <w:p w:rsidR="00E6136D" w:rsidRPr="006647D3" w:rsidRDefault="008727F0" w:rsidP="006647D3">
      <w:pPr>
        <w:pStyle w:val="Bezodstpw"/>
        <w:rPr>
          <w:rFonts w:ascii="Times New Roman" w:hAnsi="Times New Roman" w:cs="Times New Roman"/>
          <w:sz w:val="20"/>
          <w:szCs w:val="20"/>
          <w:lang w:val="de-AT"/>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de-AT"/>
        </w:rPr>
        <w:t xml:space="preserve"> Cf. A.R. </w:t>
      </w:r>
      <w:proofErr w:type="spellStart"/>
      <w:r w:rsidRPr="006647D3">
        <w:rPr>
          <w:rFonts w:ascii="Times New Roman" w:hAnsi="Times New Roman" w:cs="Times New Roman"/>
          <w:sz w:val="20"/>
          <w:szCs w:val="20"/>
          <w:lang w:val="de-AT"/>
        </w:rPr>
        <w:t>Sodano</w:t>
      </w:r>
      <w:proofErr w:type="spellEnd"/>
      <w:r w:rsidRPr="006647D3">
        <w:rPr>
          <w:rFonts w:ascii="Times New Roman" w:hAnsi="Times New Roman" w:cs="Times New Roman"/>
          <w:sz w:val="20"/>
          <w:szCs w:val="20"/>
          <w:lang w:val="de-AT"/>
        </w:rPr>
        <w:t xml:space="preserve"> (Ed.), </w:t>
      </w:r>
      <w:r w:rsidRPr="006647D3">
        <w:rPr>
          <w:rFonts w:ascii="Times New Roman" w:eastAsia="SimSun" w:hAnsi="Times New Roman" w:cs="Times New Roman"/>
          <w:kern w:val="1"/>
          <w:sz w:val="20"/>
          <w:szCs w:val="20"/>
          <w:lang w:val="it-IT"/>
        </w:rPr>
        <w:t xml:space="preserve"> </w:t>
      </w:r>
      <w:r w:rsidRPr="006647D3">
        <w:rPr>
          <w:rFonts w:ascii="Times New Roman" w:eastAsia="SimSun" w:hAnsi="Times New Roman" w:cs="Times New Roman"/>
          <w:i/>
          <w:iCs/>
          <w:kern w:val="1"/>
          <w:sz w:val="20"/>
          <w:szCs w:val="20"/>
          <w:lang w:val="it-IT"/>
        </w:rPr>
        <w:t xml:space="preserve">Porfirio: Vangelo di un pagano, </w:t>
      </w:r>
      <w:r w:rsidRPr="006647D3">
        <w:rPr>
          <w:rFonts w:ascii="Times New Roman" w:eastAsia="SimSun" w:hAnsi="Times New Roman" w:cs="Times New Roman"/>
          <w:kern w:val="1"/>
          <w:sz w:val="20"/>
          <w:szCs w:val="20"/>
          <w:lang w:val="it-IT"/>
        </w:rPr>
        <w:t>Rusconi, Milano 1993</w:t>
      </w:r>
      <w:r w:rsidRPr="006647D3">
        <w:rPr>
          <w:rFonts w:ascii="Times New Roman" w:hAnsi="Times New Roman" w:cs="Times New Roman"/>
          <w:sz w:val="20"/>
          <w:szCs w:val="20"/>
          <w:lang w:val="de-AT"/>
        </w:rPr>
        <w:t xml:space="preserve">, 103-116 et W.H.C. </w:t>
      </w:r>
      <w:proofErr w:type="spellStart"/>
      <w:r w:rsidRPr="006647D3">
        <w:rPr>
          <w:rFonts w:ascii="Times New Roman" w:hAnsi="Times New Roman" w:cs="Times New Roman"/>
          <w:sz w:val="20"/>
          <w:szCs w:val="20"/>
          <w:lang w:val="de-AT"/>
        </w:rPr>
        <w:t>Frend</w:t>
      </w:r>
      <w:proofErr w:type="spellEnd"/>
      <w:r w:rsidRPr="006647D3">
        <w:rPr>
          <w:rFonts w:ascii="Times New Roman" w:hAnsi="Times New Roman" w:cs="Times New Roman"/>
          <w:sz w:val="20"/>
          <w:szCs w:val="20"/>
          <w:lang w:val="de-AT"/>
        </w:rPr>
        <w:t xml:space="preserve">, </w:t>
      </w:r>
      <w:proofErr w:type="spellStart"/>
      <w:r w:rsidRPr="006647D3">
        <w:rPr>
          <w:rFonts w:ascii="Times New Roman" w:hAnsi="Times New Roman" w:cs="Times New Roman"/>
          <w:i/>
          <w:sz w:val="20"/>
          <w:szCs w:val="20"/>
          <w:lang w:val="de-AT"/>
        </w:rPr>
        <w:t>Martyrdom</w:t>
      </w:r>
      <w:proofErr w:type="spellEnd"/>
      <w:r w:rsidRPr="006647D3">
        <w:rPr>
          <w:rFonts w:ascii="Times New Roman" w:hAnsi="Times New Roman" w:cs="Times New Roman"/>
          <w:i/>
          <w:sz w:val="20"/>
          <w:szCs w:val="20"/>
          <w:lang w:val="de-AT"/>
        </w:rPr>
        <w:t xml:space="preserve"> </w:t>
      </w:r>
      <w:proofErr w:type="spellStart"/>
      <w:r w:rsidRPr="006647D3">
        <w:rPr>
          <w:rFonts w:ascii="Times New Roman" w:hAnsi="Times New Roman" w:cs="Times New Roman"/>
          <w:i/>
          <w:sz w:val="20"/>
          <w:szCs w:val="20"/>
          <w:lang w:val="de-AT"/>
        </w:rPr>
        <w:t>and</w:t>
      </w:r>
      <w:proofErr w:type="spellEnd"/>
      <w:r w:rsidRPr="006647D3">
        <w:rPr>
          <w:rFonts w:ascii="Times New Roman" w:hAnsi="Times New Roman" w:cs="Times New Roman"/>
          <w:i/>
          <w:sz w:val="20"/>
          <w:szCs w:val="20"/>
          <w:lang w:val="de-AT"/>
        </w:rPr>
        <w:t xml:space="preserve"> </w:t>
      </w:r>
      <w:proofErr w:type="spellStart"/>
      <w:r w:rsidRPr="006647D3">
        <w:rPr>
          <w:rFonts w:ascii="Times New Roman" w:hAnsi="Times New Roman" w:cs="Times New Roman"/>
          <w:i/>
          <w:sz w:val="20"/>
          <w:szCs w:val="20"/>
          <w:lang w:val="de-AT"/>
        </w:rPr>
        <w:t>Persecution</w:t>
      </w:r>
      <w:proofErr w:type="spellEnd"/>
      <w:r w:rsidRPr="006647D3">
        <w:rPr>
          <w:rFonts w:ascii="Times New Roman" w:hAnsi="Times New Roman" w:cs="Times New Roman"/>
          <w:i/>
          <w:sz w:val="20"/>
          <w:szCs w:val="20"/>
          <w:lang w:val="de-AT"/>
        </w:rPr>
        <w:t xml:space="preserve"> in </w:t>
      </w:r>
      <w:proofErr w:type="spellStart"/>
      <w:r w:rsidRPr="006647D3">
        <w:rPr>
          <w:rFonts w:ascii="Times New Roman" w:hAnsi="Times New Roman" w:cs="Times New Roman"/>
          <w:i/>
          <w:sz w:val="20"/>
          <w:szCs w:val="20"/>
          <w:lang w:val="de-AT"/>
        </w:rPr>
        <w:t>the</w:t>
      </w:r>
      <w:proofErr w:type="spellEnd"/>
      <w:r w:rsidRPr="006647D3">
        <w:rPr>
          <w:rFonts w:ascii="Times New Roman" w:hAnsi="Times New Roman" w:cs="Times New Roman"/>
          <w:i/>
          <w:sz w:val="20"/>
          <w:szCs w:val="20"/>
          <w:lang w:val="de-AT"/>
        </w:rPr>
        <w:t xml:space="preserve"> Early Church : A Study </w:t>
      </w:r>
      <w:proofErr w:type="spellStart"/>
      <w:r w:rsidRPr="006647D3">
        <w:rPr>
          <w:rFonts w:ascii="Times New Roman" w:hAnsi="Times New Roman" w:cs="Times New Roman"/>
          <w:i/>
          <w:sz w:val="20"/>
          <w:szCs w:val="20"/>
          <w:lang w:val="de-AT"/>
        </w:rPr>
        <w:t>of</w:t>
      </w:r>
      <w:proofErr w:type="spellEnd"/>
      <w:r w:rsidRPr="006647D3">
        <w:rPr>
          <w:rFonts w:ascii="Times New Roman" w:hAnsi="Times New Roman" w:cs="Times New Roman"/>
          <w:i/>
          <w:sz w:val="20"/>
          <w:szCs w:val="20"/>
          <w:lang w:val="de-AT"/>
        </w:rPr>
        <w:t xml:space="preserve"> </w:t>
      </w:r>
      <w:proofErr w:type="spellStart"/>
      <w:r w:rsidRPr="006647D3">
        <w:rPr>
          <w:rFonts w:ascii="Times New Roman" w:hAnsi="Times New Roman" w:cs="Times New Roman"/>
          <w:i/>
          <w:sz w:val="20"/>
          <w:szCs w:val="20"/>
          <w:lang w:val="de-AT"/>
        </w:rPr>
        <w:t>Conflict</w:t>
      </w:r>
      <w:proofErr w:type="spellEnd"/>
      <w:r w:rsidRPr="006647D3">
        <w:rPr>
          <w:rFonts w:ascii="Times New Roman" w:hAnsi="Times New Roman" w:cs="Times New Roman"/>
          <w:i/>
          <w:sz w:val="20"/>
          <w:szCs w:val="20"/>
          <w:lang w:val="de-AT"/>
        </w:rPr>
        <w:t xml:space="preserve"> </w:t>
      </w:r>
      <w:proofErr w:type="spellStart"/>
      <w:r w:rsidRPr="006647D3">
        <w:rPr>
          <w:rFonts w:ascii="Times New Roman" w:hAnsi="Times New Roman" w:cs="Times New Roman"/>
          <w:i/>
          <w:sz w:val="20"/>
          <w:szCs w:val="20"/>
          <w:lang w:val="de-AT"/>
        </w:rPr>
        <w:t>from</w:t>
      </w:r>
      <w:proofErr w:type="spellEnd"/>
      <w:r w:rsidRPr="006647D3">
        <w:rPr>
          <w:rFonts w:ascii="Times New Roman" w:hAnsi="Times New Roman" w:cs="Times New Roman"/>
          <w:i/>
          <w:sz w:val="20"/>
          <w:szCs w:val="20"/>
          <w:lang w:val="de-AT"/>
        </w:rPr>
        <w:t xml:space="preserve"> </w:t>
      </w:r>
      <w:proofErr w:type="spellStart"/>
      <w:r w:rsidRPr="006647D3">
        <w:rPr>
          <w:rFonts w:ascii="Times New Roman" w:hAnsi="Times New Roman" w:cs="Times New Roman"/>
          <w:i/>
          <w:sz w:val="20"/>
          <w:szCs w:val="20"/>
          <w:lang w:val="de-AT"/>
        </w:rPr>
        <w:t>the</w:t>
      </w:r>
      <w:proofErr w:type="spellEnd"/>
      <w:r w:rsidRPr="006647D3">
        <w:rPr>
          <w:rFonts w:ascii="Times New Roman" w:hAnsi="Times New Roman" w:cs="Times New Roman"/>
          <w:i/>
          <w:sz w:val="20"/>
          <w:szCs w:val="20"/>
          <w:lang w:val="de-AT"/>
        </w:rPr>
        <w:t xml:space="preserve"> </w:t>
      </w:r>
      <w:proofErr w:type="spellStart"/>
      <w:r w:rsidRPr="006647D3">
        <w:rPr>
          <w:rFonts w:ascii="Times New Roman" w:hAnsi="Times New Roman" w:cs="Times New Roman"/>
          <w:i/>
          <w:sz w:val="20"/>
          <w:szCs w:val="20"/>
          <w:lang w:val="de-AT"/>
        </w:rPr>
        <w:t>Maccabees</w:t>
      </w:r>
      <w:proofErr w:type="spellEnd"/>
      <w:r w:rsidRPr="006647D3">
        <w:rPr>
          <w:rFonts w:ascii="Times New Roman" w:hAnsi="Times New Roman" w:cs="Times New Roman"/>
          <w:i/>
          <w:sz w:val="20"/>
          <w:szCs w:val="20"/>
          <w:lang w:val="de-AT"/>
        </w:rPr>
        <w:t xml:space="preserve"> </w:t>
      </w:r>
      <w:proofErr w:type="spellStart"/>
      <w:r w:rsidRPr="006647D3">
        <w:rPr>
          <w:rFonts w:ascii="Times New Roman" w:hAnsi="Times New Roman" w:cs="Times New Roman"/>
          <w:i/>
          <w:sz w:val="20"/>
          <w:szCs w:val="20"/>
          <w:lang w:val="de-AT"/>
        </w:rPr>
        <w:t>to</w:t>
      </w:r>
      <w:proofErr w:type="spellEnd"/>
      <w:r w:rsidRPr="006647D3">
        <w:rPr>
          <w:rFonts w:ascii="Times New Roman" w:hAnsi="Times New Roman" w:cs="Times New Roman"/>
          <w:i/>
          <w:sz w:val="20"/>
          <w:szCs w:val="20"/>
          <w:lang w:val="de-AT"/>
        </w:rPr>
        <w:t xml:space="preserve"> </w:t>
      </w:r>
      <w:proofErr w:type="spellStart"/>
      <w:r w:rsidRPr="006647D3">
        <w:rPr>
          <w:rFonts w:ascii="Times New Roman" w:hAnsi="Times New Roman" w:cs="Times New Roman"/>
          <w:i/>
          <w:sz w:val="20"/>
          <w:szCs w:val="20"/>
          <w:lang w:val="de-AT"/>
        </w:rPr>
        <w:t>Donatus</w:t>
      </w:r>
      <w:proofErr w:type="spellEnd"/>
      <w:r w:rsidRPr="006647D3">
        <w:rPr>
          <w:rFonts w:ascii="Times New Roman" w:hAnsi="Times New Roman" w:cs="Times New Roman"/>
          <w:sz w:val="20"/>
          <w:szCs w:val="20"/>
          <w:lang w:val="de-AT"/>
        </w:rPr>
        <w:t>, Blackwell, Oxford, 1965.</w:t>
      </w:r>
    </w:p>
  </w:footnote>
  <w:footnote w:id="5">
    <w:p w:rsidR="00E6136D" w:rsidRPr="006647D3" w:rsidRDefault="008727F0" w:rsidP="006647D3">
      <w:pPr>
        <w:pStyle w:val="Bezodstpw"/>
        <w:rPr>
          <w:rFonts w:ascii="Times New Roman" w:hAnsi="Times New Roman" w:cs="Times New Roman"/>
          <w:sz w:val="20"/>
          <w:szCs w:val="20"/>
          <w:lang w:val="de-AT"/>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de-AT"/>
        </w:rPr>
        <w:t xml:space="preserve"> Cf. Grillmeier, </w:t>
      </w:r>
      <w:r w:rsidRPr="006647D3">
        <w:rPr>
          <w:rFonts w:ascii="Times New Roman" w:hAnsi="Times New Roman" w:cs="Times New Roman"/>
          <w:i/>
          <w:sz w:val="20"/>
          <w:szCs w:val="20"/>
          <w:lang w:val="de-AT"/>
        </w:rPr>
        <w:t>Christus licet</w:t>
      </w:r>
      <w:r w:rsidRPr="006647D3">
        <w:rPr>
          <w:rFonts w:ascii="Times New Roman" w:hAnsi="Times New Roman" w:cs="Times New Roman"/>
          <w:sz w:val="20"/>
          <w:szCs w:val="20"/>
          <w:lang w:val="de-AT"/>
        </w:rPr>
        <w:t>, 250-251.</w:t>
      </w:r>
    </w:p>
  </w:footnote>
  <w:footnote w:id="6">
    <w:p w:rsidR="00E6136D" w:rsidRPr="006647D3" w:rsidRDefault="008727F0" w:rsidP="006647D3">
      <w:pPr>
        <w:pStyle w:val="Bezodstpw"/>
        <w:rPr>
          <w:rFonts w:ascii="Times New Roman" w:hAnsi="Times New Roman" w:cs="Times New Roman"/>
          <w:sz w:val="20"/>
          <w:szCs w:val="20"/>
          <w:lang w:val="de-AT"/>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de-AT"/>
        </w:rPr>
        <w:t xml:space="preserve"> J. Ratzinger, </w:t>
      </w:r>
      <w:r w:rsidRPr="006647D3">
        <w:rPr>
          <w:rFonts w:ascii="Times New Roman" w:hAnsi="Times New Roman" w:cs="Times New Roman"/>
          <w:i/>
          <w:sz w:val="20"/>
          <w:szCs w:val="20"/>
          <w:lang w:val="de-AT"/>
        </w:rPr>
        <w:t xml:space="preserve">Glaube, Wahrheit und Kultur. Reflexionen im </w:t>
      </w:r>
      <w:proofErr w:type="spellStart"/>
      <w:r w:rsidRPr="006647D3">
        <w:rPr>
          <w:rFonts w:ascii="Times New Roman" w:hAnsi="Times New Roman" w:cs="Times New Roman"/>
          <w:i/>
          <w:sz w:val="20"/>
          <w:szCs w:val="20"/>
          <w:lang w:val="de-AT"/>
        </w:rPr>
        <w:t>Anschluß</w:t>
      </w:r>
      <w:proofErr w:type="spellEnd"/>
      <w:r w:rsidRPr="006647D3">
        <w:rPr>
          <w:rFonts w:ascii="Times New Roman" w:hAnsi="Times New Roman" w:cs="Times New Roman"/>
          <w:i/>
          <w:sz w:val="20"/>
          <w:szCs w:val="20"/>
          <w:lang w:val="de-AT"/>
        </w:rPr>
        <w:t xml:space="preserve"> an die Enzyklika "</w:t>
      </w:r>
      <w:proofErr w:type="spellStart"/>
      <w:r w:rsidRPr="006647D3">
        <w:rPr>
          <w:rFonts w:ascii="Times New Roman" w:hAnsi="Times New Roman" w:cs="Times New Roman"/>
          <w:i/>
          <w:sz w:val="20"/>
          <w:szCs w:val="20"/>
          <w:lang w:val="de-AT"/>
        </w:rPr>
        <w:t>Fides</w:t>
      </w:r>
      <w:proofErr w:type="spellEnd"/>
      <w:r w:rsidRPr="006647D3">
        <w:rPr>
          <w:rFonts w:ascii="Times New Roman" w:hAnsi="Times New Roman" w:cs="Times New Roman"/>
          <w:i/>
          <w:sz w:val="20"/>
          <w:szCs w:val="20"/>
          <w:lang w:val="de-AT"/>
        </w:rPr>
        <w:t xml:space="preserve"> et </w:t>
      </w:r>
      <w:proofErr w:type="spellStart"/>
      <w:r w:rsidRPr="006647D3">
        <w:rPr>
          <w:rFonts w:ascii="Times New Roman" w:hAnsi="Times New Roman" w:cs="Times New Roman"/>
          <w:i/>
          <w:sz w:val="20"/>
          <w:szCs w:val="20"/>
          <w:lang w:val="de-AT"/>
        </w:rPr>
        <w:t>ratio</w:t>
      </w:r>
      <w:proofErr w:type="spellEnd"/>
      <w:r w:rsidRPr="006647D3">
        <w:rPr>
          <w:rFonts w:ascii="Times New Roman" w:hAnsi="Times New Roman" w:cs="Times New Roman"/>
          <w:sz w:val="20"/>
          <w:szCs w:val="20"/>
          <w:lang w:val="de-AT"/>
        </w:rPr>
        <w:t xml:space="preserve">", in </w:t>
      </w:r>
      <w:r w:rsidRPr="006647D3">
        <w:rPr>
          <w:rFonts w:ascii="Times New Roman" w:hAnsi="Times New Roman" w:cs="Times New Roman"/>
          <w:i/>
          <w:sz w:val="20"/>
          <w:szCs w:val="20"/>
          <w:lang w:val="de-AT"/>
        </w:rPr>
        <w:t>Internationale katholische Zeitschrift Communio</w:t>
      </w:r>
      <w:r w:rsidRPr="006647D3">
        <w:rPr>
          <w:rFonts w:ascii="Times New Roman" w:hAnsi="Times New Roman" w:cs="Times New Roman"/>
          <w:sz w:val="20"/>
          <w:szCs w:val="20"/>
          <w:lang w:val="de-AT"/>
        </w:rPr>
        <w:t xml:space="preserve"> 28/4 (1999) 289-305.</w:t>
      </w:r>
    </w:p>
  </w:footnote>
  <w:footnote w:id="7">
    <w:p w:rsidR="00E6136D" w:rsidRPr="006647D3" w:rsidRDefault="008727F0" w:rsidP="006647D3">
      <w:pPr>
        <w:pStyle w:val="Bezodstpw"/>
        <w:rPr>
          <w:rFonts w:ascii="Times New Roman" w:hAnsi="Times New Roman" w:cs="Times New Roman"/>
          <w:sz w:val="20"/>
          <w:szCs w:val="20"/>
          <w:lang w:val="fr-FR"/>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Dans une lettre manuscrite adressée à l’auteur et datée du 29 septembre 2017, Joseph Ratzinger, alors pape émérite, a déclaré que l’œuvre de Gnilka " a beaucoup à dire à la théologie " (cf. Ch. Gnilka, </w:t>
      </w:r>
      <w:r w:rsidRPr="006647D3">
        <w:rPr>
          <w:rFonts w:ascii="Times New Roman" w:hAnsi="Times New Roman" w:cs="Times New Roman"/>
          <w:i/>
          <w:sz w:val="20"/>
          <w:szCs w:val="20"/>
          <w:lang w:val="fr-FR"/>
        </w:rPr>
        <w:t>CHRÊSIS : Il concetto di retto uso</w:t>
      </w:r>
      <w:r w:rsidRPr="006647D3">
        <w:rPr>
          <w:rFonts w:ascii="Times New Roman" w:hAnsi="Times New Roman" w:cs="Times New Roman"/>
          <w:sz w:val="20"/>
          <w:szCs w:val="20"/>
          <w:lang w:val="fr-FR"/>
        </w:rPr>
        <w:t>, Morcelliana, Brescia 2020, p. 7).</w:t>
      </w:r>
    </w:p>
  </w:footnote>
  <w:footnote w:id="8">
    <w:p w:rsidR="00E6136D" w:rsidRPr="006647D3" w:rsidRDefault="008727F0" w:rsidP="006647D3">
      <w:pPr>
        <w:pStyle w:val="Bezodstpw"/>
        <w:rPr>
          <w:rFonts w:ascii="Times New Roman" w:hAnsi="Times New Roman" w:cs="Times New Roman"/>
          <w:sz w:val="20"/>
          <w:szCs w:val="20"/>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rPr>
        <w:t xml:space="preserve"> </w:t>
      </w:r>
      <w:proofErr w:type="spellStart"/>
      <w:r w:rsidRPr="006647D3">
        <w:rPr>
          <w:rFonts w:ascii="Times New Roman" w:hAnsi="Times New Roman" w:cs="Times New Roman"/>
          <w:sz w:val="20"/>
          <w:szCs w:val="20"/>
        </w:rPr>
        <w:t>Cyprien</w:t>
      </w:r>
      <w:proofErr w:type="spellEnd"/>
      <w:r w:rsidRPr="006647D3">
        <w:rPr>
          <w:rFonts w:ascii="Times New Roman" w:hAnsi="Times New Roman" w:cs="Times New Roman"/>
          <w:sz w:val="20"/>
          <w:szCs w:val="20"/>
        </w:rPr>
        <w:t xml:space="preserve">, </w:t>
      </w:r>
      <w:proofErr w:type="spellStart"/>
      <w:r w:rsidRPr="006647D3">
        <w:rPr>
          <w:rFonts w:ascii="Times New Roman" w:hAnsi="Times New Roman" w:cs="Times New Roman"/>
          <w:i/>
          <w:sz w:val="20"/>
          <w:szCs w:val="20"/>
        </w:rPr>
        <w:t>Epistula</w:t>
      </w:r>
      <w:proofErr w:type="spellEnd"/>
      <w:r w:rsidRPr="006647D3">
        <w:rPr>
          <w:rFonts w:ascii="Times New Roman" w:hAnsi="Times New Roman" w:cs="Times New Roman"/>
          <w:sz w:val="20"/>
          <w:szCs w:val="20"/>
        </w:rPr>
        <w:t xml:space="preserve"> 57,5.</w:t>
      </w:r>
    </w:p>
  </w:footnote>
  <w:footnote w:id="9">
    <w:p w:rsidR="00E6136D" w:rsidRPr="006647D3" w:rsidRDefault="008727F0" w:rsidP="006647D3">
      <w:pPr>
        <w:pStyle w:val="Bezodstpw"/>
        <w:rPr>
          <w:rFonts w:ascii="Times New Roman" w:hAnsi="Times New Roman" w:cs="Times New Roman"/>
          <w:sz w:val="20"/>
          <w:szCs w:val="20"/>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rPr>
        <w:t xml:space="preserve"> F. </w:t>
      </w:r>
      <w:proofErr w:type="spellStart"/>
      <w:r w:rsidRPr="006647D3">
        <w:rPr>
          <w:rFonts w:ascii="Times New Roman" w:hAnsi="Times New Roman" w:cs="Times New Roman"/>
          <w:sz w:val="20"/>
          <w:szCs w:val="20"/>
        </w:rPr>
        <w:t>Dvornik</w:t>
      </w:r>
      <w:proofErr w:type="spellEnd"/>
      <w:r w:rsidRPr="006647D3">
        <w:rPr>
          <w:rFonts w:ascii="Times New Roman" w:hAnsi="Times New Roman" w:cs="Times New Roman"/>
          <w:sz w:val="20"/>
          <w:szCs w:val="20"/>
        </w:rPr>
        <w:t xml:space="preserve">, </w:t>
      </w:r>
      <w:r w:rsidRPr="006647D3">
        <w:rPr>
          <w:rFonts w:ascii="Times New Roman" w:hAnsi="Times New Roman" w:cs="Times New Roman"/>
          <w:i/>
          <w:sz w:val="20"/>
          <w:szCs w:val="20"/>
        </w:rPr>
        <w:t>The General Councils of the Church,</w:t>
      </w:r>
      <w:r w:rsidRPr="006647D3">
        <w:rPr>
          <w:rFonts w:ascii="Times New Roman" w:hAnsi="Times New Roman" w:cs="Times New Roman"/>
          <w:sz w:val="20"/>
          <w:szCs w:val="20"/>
        </w:rPr>
        <w:t xml:space="preserve"> Burns &amp; Oats, </w:t>
      </w:r>
      <w:proofErr w:type="spellStart"/>
      <w:r w:rsidRPr="006647D3">
        <w:rPr>
          <w:rFonts w:ascii="Times New Roman" w:hAnsi="Times New Roman" w:cs="Times New Roman"/>
          <w:sz w:val="20"/>
          <w:szCs w:val="20"/>
        </w:rPr>
        <w:t>Londres</w:t>
      </w:r>
      <w:proofErr w:type="spellEnd"/>
      <w:r w:rsidRPr="006647D3">
        <w:rPr>
          <w:rFonts w:ascii="Times New Roman" w:hAnsi="Times New Roman" w:cs="Times New Roman"/>
          <w:sz w:val="20"/>
          <w:szCs w:val="20"/>
        </w:rPr>
        <w:t xml:space="preserve"> 1961, 10.</w:t>
      </w:r>
    </w:p>
  </w:footnote>
  <w:footnote w:id="10">
    <w:p w:rsidR="00E6136D" w:rsidRPr="006647D3" w:rsidRDefault="008727F0" w:rsidP="006647D3">
      <w:pPr>
        <w:pStyle w:val="Bezodstpw"/>
        <w:rPr>
          <w:rFonts w:ascii="Times New Roman" w:hAnsi="Times New Roman" w:cs="Times New Roman"/>
          <w:sz w:val="20"/>
          <w:szCs w:val="20"/>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rPr>
        <w:t xml:space="preserve"> </w:t>
      </w:r>
      <w:r w:rsidRPr="006647D3">
        <w:rPr>
          <w:rFonts w:ascii="Times New Roman" w:hAnsi="Times New Roman" w:cs="Times New Roman"/>
          <w:smallCaps/>
          <w:sz w:val="20"/>
          <w:szCs w:val="20"/>
        </w:rPr>
        <w:t>R.</w:t>
      </w:r>
      <w:r w:rsidRPr="006647D3">
        <w:rPr>
          <w:rFonts w:ascii="Times New Roman" w:hAnsi="Times New Roman" w:cs="Times New Roman"/>
          <w:sz w:val="20"/>
          <w:szCs w:val="20"/>
        </w:rPr>
        <w:t xml:space="preserve"> Williams, </w:t>
      </w:r>
      <w:r w:rsidRPr="006647D3">
        <w:rPr>
          <w:rFonts w:ascii="Times New Roman" w:hAnsi="Times New Roman" w:cs="Times New Roman"/>
          <w:i/>
          <w:sz w:val="20"/>
          <w:szCs w:val="20"/>
        </w:rPr>
        <w:t>Arius. Heresy and Tradition</w:t>
      </w:r>
      <w:r w:rsidRPr="006647D3">
        <w:rPr>
          <w:rFonts w:ascii="Times New Roman" w:hAnsi="Times New Roman" w:cs="Times New Roman"/>
          <w:sz w:val="20"/>
          <w:szCs w:val="20"/>
        </w:rPr>
        <w:t>, Grand Rapids MI 2002, 236.</w:t>
      </w:r>
    </w:p>
  </w:footnote>
  <w:footnote w:id="11">
    <w:p w:rsidR="00E6136D" w:rsidRPr="006647D3" w:rsidRDefault="008727F0" w:rsidP="006647D3">
      <w:pPr>
        <w:pStyle w:val="Bezodstpw"/>
        <w:rPr>
          <w:rFonts w:ascii="Times New Roman" w:hAnsi="Times New Roman" w:cs="Times New Roman"/>
          <w:sz w:val="20"/>
          <w:szCs w:val="20"/>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Sozomenus, </w:t>
      </w:r>
      <w:r w:rsidRPr="006647D3">
        <w:rPr>
          <w:rFonts w:ascii="Times New Roman" w:hAnsi="Times New Roman" w:cs="Times New Roman"/>
          <w:i/>
          <w:sz w:val="20"/>
          <w:szCs w:val="20"/>
          <w:lang w:val="fr-FR"/>
        </w:rPr>
        <w:t>Historia Ecclesistica</w:t>
      </w:r>
      <w:r w:rsidRPr="006647D3">
        <w:rPr>
          <w:rFonts w:ascii="Times New Roman" w:hAnsi="Times New Roman" w:cs="Times New Roman"/>
          <w:sz w:val="20"/>
          <w:szCs w:val="20"/>
          <w:lang w:val="fr-FR"/>
        </w:rPr>
        <w:t xml:space="preserve"> IV, 15.2 et Hilaire de Poitiers, </w:t>
      </w:r>
      <w:r w:rsidRPr="006647D3">
        <w:rPr>
          <w:rFonts w:ascii="Times New Roman" w:hAnsi="Times New Roman" w:cs="Times New Roman"/>
          <w:i/>
          <w:sz w:val="20"/>
          <w:szCs w:val="20"/>
          <w:lang w:val="fr-FR"/>
        </w:rPr>
        <w:t>De synodis</w:t>
      </w:r>
      <w:r w:rsidRPr="006647D3">
        <w:rPr>
          <w:rFonts w:ascii="Times New Roman" w:hAnsi="Times New Roman" w:cs="Times New Roman"/>
          <w:sz w:val="20"/>
          <w:szCs w:val="20"/>
          <w:lang w:val="fr-FR"/>
        </w:rPr>
        <w:t xml:space="preserve">, 81. Voir aussi P. de Navascués, </w:t>
      </w:r>
      <w:r w:rsidRPr="006647D3">
        <w:rPr>
          <w:rFonts w:ascii="Times New Roman" w:hAnsi="Times New Roman" w:cs="Times New Roman"/>
          <w:i/>
          <w:sz w:val="20"/>
          <w:szCs w:val="20"/>
          <w:lang w:val="fr-FR"/>
        </w:rPr>
        <w:t xml:space="preserve">Pablo de Samosata y sus adversarios. </w:t>
      </w:r>
      <w:proofErr w:type="spellStart"/>
      <w:r w:rsidRPr="006647D3">
        <w:rPr>
          <w:rFonts w:ascii="Times New Roman" w:hAnsi="Times New Roman" w:cs="Times New Roman"/>
          <w:i/>
          <w:sz w:val="20"/>
          <w:szCs w:val="20"/>
        </w:rPr>
        <w:t>Estudio</w:t>
      </w:r>
      <w:proofErr w:type="spellEnd"/>
      <w:r w:rsidRPr="006647D3">
        <w:rPr>
          <w:rFonts w:ascii="Times New Roman" w:hAnsi="Times New Roman" w:cs="Times New Roman"/>
          <w:i/>
          <w:sz w:val="20"/>
          <w:szCs w:val="20"/>
        </w:rPr>
        <w:t xml:space="preserve"> </w:t>
      </w:r>
      <w:proofErr w:type="spellStart"/>
      <w:r w:rsidRPr="006647D3">
        <w:rPr>
          <w:rFonts w:ascii="Times New Roman" w:hAnsi="Times New Roman" w:cs="Times New Roman"/>
          <w:i/>
          <w:sz w:val="20"/>
          <w:szCs w:val="20"/>
        </w:rPr>
        <w:t>histórico-teológico</w:t>
      </w:r>
      <w:proofErr w:type="spellEnd"/>
      <w:r w:rsidRPr="006647D3">
        <w:rPr>
          <w:rFonts w:ascii="Times New Roman" w:hAnsi="Times New Roman" w:cs="Times New Roman"/>
          <w:i/>
          <w:sz w:val="20"/>
          <w:szCs w:val="20"/>
        </w:rPr>
        <w:t xml:space="preserve"> del </w:t>
      </w:r>
      <w:proofErr w:type="spellStart"/>
      <w:r w:rsidRPr="006647D3">
        <w:rPr>
          <w:rFonts w:ascii="Times New Roman" w:hAnsi="Times New Roman" w:cs="Times New Roman"/>
          <w:i/>
          <w:sz w:val="20"/>
          <w:szCs w:val="20"/>
        </w:rPr>
        <w:t>cristianismo</w:t>
      </w:r>
      <w:proofErr w:type="spellEnd"/>
      <w:r w:rsidRPr="006647D3">
        <w:rPr>
          <w:rFonts w:ascii="Times New Roman" w:hAnsi="Times New Roman" w:cs="Times New Roman"/>
          <w:i/>
          <w:sz w:val="20"/>
          <w:szCs w:val="20"/>
        </w:rPr>
        <w:t xml:space="preserve"> </w:t>
      </w:r>
      <w:proofErr w:type="spellStart"/>
      <w:r w:rsidRPr="006647D3">
        <w:rPr>
          <w:rFonts w:ascii="Times New Roman" w:hAnsi="Times New Roman" w:cs="Times New Roman"/>
          <w:i/>
          <w:sz w:val="20"/>
          <w:szCs w:val="20"/>
        </w:rPr>
        <w:t>antioqueno</w:t>
      </w:r>
      <w:proofErr w:type="spellEnd"/>
      <w:r w:rsidRPr="006647D3">
        <w:rPr>
          <w:rFonts w:ascii="Times New Roman" w:hAnsi="Times New Roman" w:cs="Times New Roman"/>
          <w:i/>
          <w:sz w:val="20"/>
          <w:szCs w:val="20"/>
        </w:rPr>
        <w:t xml:space="preserve"> </w:t>
      </w:r>
      <w:proofErr w:type="spellStart"/>
      <w:r w:rsidRPr="006647D3">
        <w:rPr>
          <w:rFonts w:ascii="Times New Roman" w:hAnsi="Times New Roman" w:cs="Times New Roman"/>
          <w:i/>
          <w:sz w:val="20"/>
          <w:szCs w:val="20"/>
        </w:rPr>
        <w:t>en</w:t>
      </w:r>
      <w:proofErr w:type="spellEnd"/>
      <w:r w:rsidRPr="006647D3">
        <w:rPr>
          <w:rFonts w:ascii="Times New Roman" w:hAnsi="Times New Roman" w:cs="Times New Roman"/>
          <w:i/>
          <w:sz w:val="20"/>
          <w:szCs w:val="20"/>
        </w:rPr>
        <w:t xml:space="preserve"> el </w:t>
      </w:r>
      <w:proofErr w:type="spellStart"/>
      <w:r w:rsidRPr="006647D3">
        <w:rPr>
          <w:rFonts w:ascii="Times New Roman" w:hAnsi="Times New Roman" w:cs="Times New Roman"/>
          <w:i/>
          <w:sz w:val="20"/>
          <w:szCs w:val="20"/>
        </w:rPr>
        <w:t>siglo</w:t>
      </w:r>
      <w:proofErr w:type="spellEnd"/>
      <w:r w:rsidRPr="006647D3">
        <w:rPr>
          <w:rFonts w:ascii="Times New Roman" w:hAnsi="Times New Roman" w:cs="Times New Roman"/>
          <w:i/>
          <w:sz w:val="20"/>
          <w:szCs w:val="20"/>
        </w:rPr>
        <w:t xml:space="preserve"> III</w:t>
      </w:r>
      <w:r w:rsidRPr="006647D3">
        <w:rPr>
          <w:rFonts w:ascii="Times New Roman" w:hAnsi="Times New Roman" w:cs="Times New Roman"/>
          <w:sz w:val="20"/>
          <w:szCs w:val="20"/>
        </w:rPr>
        <w:t xml:space="preserve">, </w:t>
      </w:r>
      <w:proofErr w:type="spellStart"/>
      <w:r w:rsidRPr="006647D3">
        <w:rPr>
          <w:rFonts w:ascii="Times New Roman" w:hAnsi="Times New Roman" w:cs="Times New Roman"/>
          <w:sz w:val="20"/>
          <w:szCs w:val="20"/>
        </w:rPr>
        <w:t>Insitutum</w:t>
      </w:r>
      <w:proofErr w:type="spellEnd"/>
      <w:r w:rsidRPr="006647D3">
        <w:rPr>
          <w:rFonts w:ascii="Times New Roman" w:hAnsi="Times New Roman" w:cs="Times New Roman"/>
          <w:sz w:val="20"/>
          <w:szCs w:val="20"/>
        </w:rPr>
        <w:t xml:space="preserve"> </w:t>
      </w:r>
      <w:proofErr w:type="spellStart"/>
      <w:r w:rsidRPr="006647D3">
        <w:rPr>
          <w:rFonts w:ascii="Times New Roman" w:hAnsi="Times New Roman" w:cs="Times New Roman"/>
          <w:sz w:val="20"/>
          <w:szCs w:val="20"/>
        </w:rPr>
        <w:t>Patristicum</w:t>
      </w:r>
      <w:proofErr w:type="spellEnd"/>
      <w:r w:rsidRPr="006647D3">
        <w:rPr>
          <w:rFonts w:ascii="Times New Roman" w:hAnsi="Times New Roman" w:cs="Times New Roman"/>
          <w:sz w:val="20"/>
          <w:szCs w:val="20"/>
        </w:rPr>
        <w:t xml:space="preserve"> </w:t>
      </w:r>
      <w:proofErr w:type="spellStart"/>
      <w:r w:rsidRPr="006647D3">
        <w:rPr>
          <w:rFonts w:ascii="Times New Roman" w:hAnsi="Times New Roman" w:cs="Times New Roman"/>
          <w:sz w:val="20"/>
          <w:szCs w:val="20"/>
        </w:rPr>
        <w:t>Augustinianum</w:t>
      </w:r>
      <w:proofErr w:type="spellEnd"/>
      <w:r w:rsidRPr="006647D3">
        <w:rPr>
          <w:rFonts w:ascii="Times New Roman" w:hAnsi="Times New Roman" w:cs="Times New Roman"/>
          <w:sz w:val="20"/>
          <w:szCs w:val="20"/>
        </w:rPr>
        <w:t xml:space="preserve"> ("</w:t>
      </w:r>
      <w:proofErr w:type="spellStart"/>
      <w:r w:rsidRPr="006647D3">
        <w:rPr>
          <w:rFonts w:ascii="Times New Roman" w:hAnsi="Times New Roman" w:cs="Times New Roman"/>
          <w:sz w:val="20"/>
          <w:szCs w:val="20"/>
        </w:rPr>
        <w:t>Studia</w:t>
      </w:r>
      <w:proofErr w:type="spellEnd"/>
      <w:r w:rsidRPr="006647D3">
        <w:rPr>
          <w:rFonts w:ascii="Times New Roman" w:hAnsi="Times New Roman" w:cs="Times New Roman"/>
          <w:sz w:val="20"/>
          <w:szCs w:val="20"/>
        </w:rPr>
        <w:t xml:space="preserve"> Ephemerides </w:t>
      </w:r>
      <w:proofErr w:type="spellStart"/>
      <w:r w:rsidRPr="006647D3">
        <w:rPr>
          <w:rFonts w:ascii="Times New Roman" w:hAnsi="Times New Roman" w:cs="Times New Roman"/>
          <w:sz w:val="20"/>
          <w:szCs w:val="20"/>
        </w:rPr>
        <w:t>Augustinianum</w:t>
      </w:r>
      <w:proofErr w:type="spellEnd"/>
      <w:r w:rsidRPr="006647D3">
        <w:rPr>
          <w:rFonts w:ascii="Times New Roman" w:hAnsi="Times New Roman" w:cs="Times New Roman"/>
          <w:sz w:val="20"/>
          <w:szCs w:val="20"/>
        </w:rPr>
        <w:t>", 87), Rome 2004.</w:t>
      </w:r>
    </w:p>
  </w:footnote>
  <w:footnote w:id="12">
    <w:p w:rsidR="00E6136D" w:rsidRPr="006647D3" w:rsidRDefault="008727F0" w:rsidP="006647D3">
      <w:pPr>
        <w:pStyle w:val="Bezodstpw"/>
        <w:rPr>
          <w:rFonts w:ascii="Times New Roman" w:hAnsi="Times New Roman" w:cs="Times New Roman"/>
          <w:sz w:val="20"/>
          <w:szCs w:val="20"/>
          <w:lang w:val="fr-FR"/>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Justin, </w:t>
      </w:r>
      <w:r w:rsidRPr="006647D3">
        <w:rPr>
          <w:rFonts w:ascii="Times New Roman" w:hAnsi="Times New Roman" w:cs="Times New Roman"/>
          <w:i/>
          <w:sz w:val="20"/>
          <w:szCs w:val="20"/>
          <w:lang w:val="fr-FR"/>
        </w:rPr>
        <w:t>Apologia secunda,</w:t>
      </w:r>
      <w:r w:rsidRPr="006647D3">
        <w:rPr>
          <w:rFonts w:ascii="Times New Roman" w:hAnsi="Times New Roman" w:cs="Times New Roman"/>
          <w:sz w:val="20"/>
          <w:szCs w:val="20"/>
          <w:lang w:val="fr-FR"/>
        </w:rPr>
        <w:t xml:space="preserve"> 6, 1,1-2,39.</w:t>
      </w:r>
    </w:p>
  </w:footnote>
  <w:footnote w:id="13">
    <w:p w:rsidR="00E6136D" w:rsidRPr="006647D3" w:rsidRDefault="008727F0" w:rsidP="006647D3">
      <w:pPr>
        <w:pStyle w:val="Bezodstpw"/>
        <w:rPr>
          <w:rFonts w:ascii="Times New Roman" w:hAnsi="Times New Roman" w:cs="Times New Roman"/>
          <w:sz w:val="20"/>
          <w:szCs w:val="20"/>
          <w:lang w:val="fr-FR"/>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Cf. Idem, </w:t>
      </w:r>
      <w:r w:rsidRPr="006647D3">
        <w:rPr>
          <w:rFonts w:ascii="Times New Roman" w:hAnsi="Times New Roman" w:cs="Times New Roman"/>
          <w:i/>
          <w:sz w:val="20"/>
          <w:szCs w:val="20"/>
          <w:lang w:val="fr-FR"/>
        </w:rPr>
        <w:t>Dialogus com Tryphone</w:t>
      </w:r>
      <w:r w:rsidRPr="006647D3">
        <w:rPr>
          <w:rFonts w:ascii="Times New Roman" w:hAnsi="Times New Roman" w:cs="Times New Roman"/>
          <w:sz w:val="20"/>
          <w:szCs w:val="20"/>
          <w:lang w:val="fr-FR"/>
        </w:rPr>
        <w:t>, 127.</w:t>
      </w:r>
    </w:p>
  </w:footnote>
  <w:footnote w:id="14">
    <w:p w:rsidR="00E6136D" w:rsidRPr="006647D3" w:rsidRDefault="008727F0" w:rsidP="006647D3">
      <w:pPr>
        <w:pStyle w:val="Bezodstpw"/>
        <w:rPr>
          <w:rFonts w:ascii="Times New Roman" w:hAnsi="Times New Roman" w:cs="Times New Roman"/>
          <w:sz w:val="20"/>
          <w:szCs w:val="20"/>
          <w:lang w:val="fr-FR"/>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Clément</w:t>
      </w:r>
      <w:r w:rsidRPr="006647D3">
        <w:rPr>
          <w:rFonts w:ascii="Times New Roman" w:hAnsi="Times New Roman" w:cs="Times New Roman"/>
          <w:smallCaps/>
          <w:sz w:val="20"/>
          <w:szCs w:val="20"/>
          <w:lang w:val="fr-FR"/>
        </w:rPr>
        <w:t xml:space="preserve"> </w:t>
      </w:r>
      <w:r w:rsidRPr="006647D3">
        <w:rPr>
          <w:rFonts w:ascii="Times New Roman" w:hAnsi="Times New Roman" w:cs="Times New Roman"/>
          <w:sz w:val="20"/>
          <w:szCs w:val="20"/>
          <w:lang w:val="fr-FR"/>
        </w:rPr>
        <w:t xml:space="preserve">d’Alexandrie, </w:t>
      </w:r>
      <w:r w:rsidRPr="006647D3">
        <w:rPr>
          <w:rFonts w:ascii="Times New Roman" w:hAnsi="Times New Roman" w:cs="Times New Roman"/>
          <w:i/>
          <w:sz w:val="20"/>
          <w:szCs w:val="20"/>
          <w:lang w:val="fr-FR"/>
        </w:rPr>
        <w:t>Excerpta ex Theodotus</w:t>
      </w:r>
      <w:r w:rsidRPr="006647D3">
        <w:rPr>
          <w:rFonts w:ascii="Times New Roman" w:hAnsi="Times New Roman" w:cs="Times New Roman"/>
          <w:sz w:val="20"/>
          <w:szCs w:val="20"/>
          <w:lang w:val="fr-FR"/>
        </w:rPr>
        <w:t>, 19,1.</w:t>
      </w:r>
    </w:p>
  </w:footnote>
  <w:footnote w:id="15">
    <w:p w:rsidR="00E6136D" w:rsidRPr="006647D3" w:rsidRDefault="008727F0" w:rsidP="006647D3">
      <w:pPr>
        <w:pStyle w:val="Bezodstpw"/>
        <w:rPr>
          <w:rFonts w:ascii="Times New Roman" w:hAnsi="Times New Roman" w:cs="Times New Roman"/>
          <w:sz w:val="20"/>
          <w:szCs w:val="20"/>
          <w:lang w:val="fr-FR"/>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Origène, </w:t>
      </w:r>
      <w:r w:rsidRPr="006647D3">
        <w:rPr>
          <w:rFonts w:ascii="Times New Roman" w:hAnsi="Times New Roman" w:cs="Times New Roman"/>
          <w:i/>
          <w:sz w:val="20"/>
          <w:szCs w:val="20"/>
          <w:lang w:val="fr-FR"/>
        </w:rPr>
        <w:t>Commentarii in evangelium Joannis</w:t>
      </w:r>
      <w:r w:rsidRPr="006647D3">
        <w:rPr>
          <w:rFonts w:ascii="Times New Roman" w:hAnsi="Times New Roman" w:cs="Times New Roman"/>
          <w:sz w:val="20"/>
          <w:szCs w:val="20"/>
          <w:lang w:val="fr-FR"/>
        </w:rPr>
        <w:t>, II, 23, 144,6-7 et 146,6-7.</w:t>
      </w:r>
    </w:p>
  </w:footnote>
  <w:footnote w:id="16">
    <w:p w:rsidR="00E6136D" w:rsidRPr="006647D3" w:rsidRDefault="008727F0" w:rsidP="006647D3">
      <w:pPr>
        <w:pStyle w:val="Bezodstpw"/>
        <w:rPr>
          <w:rFonts w:ascii="Times New Roman" w:hAnsi="Times New Roman" w:cs="Times New Roman"/>
          <w:sz w:val="20"/>
          <w:szCs w:val="20"/>
          <w:lang w:val="fr-FR"/>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Origène, </w:t>
      </w:r>
      <w:r w:rsidRPr="006647D3">
        <w:rPr>
          <w:rFonts w:ascii="Times New Roman" w:hAnsi="Times New Roman" w:cs="Times New Roman"/>
          <w:i/>
          <w:sz w:val="20"/>
          <w:szCs w:val="20"/>
          <w:lang w:val="fr-FR"/>
        </w:rPr>
        <w:t>Contra Celsum</w:t>
      </w:r>
      <w:r w:rsidRPr="006647D3">
        <w:rPr>
          <w:rFonts w:ascii="Times New Roman" w:hAnsi="Times New Roman" w:cs="Times New Roman"/>
          <w:sz w:val="20"/>
          <w:szCs w:val="20"/>
          <w:lang w:val="fr-FR"/>
        </w:rPr>
        <w:t xml:space="preserve">, 5, 39 et </w:t>
      </w:r>
      <w:r w:rsidRPr="006647D3">
        <w:rPr>
          <w:rFonts w:ascii="Times New Roman" w:hAnsi="Times New Roman" w:cs="Times New Roman"/>
          <w:i/>
          <w:sz w:val="20"/>
          <w:szCs w:val="20"/>
          <w:lang w:val="fr-FR"/>
        </w:rPr>
        <w:t>Commentarii in evangelium Joannis</w:t>
      </w:r>
      <w:r w:rsidRPr="006647D3">
        <w:rPr>
          <w:rFonts w:ascii="Times New Roman" w:hAnsi="Times New Roman" w:cs="Times New Roman"/>
          <w:sz w:val="20"/>
          <w:szCs w:val="20"/>
          <w:lang w:val="fr-FR"/>
        </w:rPr>
        <w:t>, II, 2.</w:t>
      </w:r>
    </w:p>
  </w:footnote>
  <w:footnote w:id="17">
    <w:p w:rsidR="00E6136D" w:rsidRPr="006647D3" w:rsidRDefault="008727F0" w:rsidP="006647D3">
      <w:pPr>
        <w:pStyle w:val="Bezodstpw"/>
        <w:rPr>
          <w:rFonts w:ascii="Times New Roman" w:hAnsi="Times New Roman" w:cs="Times New Roman"/>
          <w:sz w:val="20"/>
          <w:szCs w:val="20"/>
          <w:lang w:val="fr-FR"/>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Arius, dans Athanase, </w:t>
      </w:r>
      <w:r w:rsidRPr="006647D3">
        <w:rPr>
          <w:rFonts w:ascii="Times New Roman" w:hAnsi="Times New Roman" w:cs="Times New Roman"/>
          <w:i/>
          <w:iCs/>
          <w:sz w:val="20"/>
          <w:szCs w:val="20"/>
          <w:lang w:val="fr-FR"/>
        </w:rPr>
        <w:t xml:space="preserve">De synodis </w:t>
      </w:r>
      <w:r w:rsidRPr="006647D3">
        <w:rPr>
          <w:rFonts w:ascii="Times New Roman" w:hAnsi="Times New Roman" w:cs="Times New Roman"/>
          <w:sz w:val="20"/>
          <w:szCs w:val="20"/>
          <w:lang w:val="fr-FR"/>
        </w:rPr>
        <w:t>15, 3, 25-31.</w:t>
      </w:r>
    </w:p>
  </w:footnote>
  <w:footnote w:id="18">
    <w:p w:rsidR="00E6136D" w:rsidRPr="006647D3" w:rsidRDefault="008727F0" w:rsidP="006647D3">
      <w:pPr>
        <w:pStyle w:val="Bezodstpw"/>
        <w:rPr>
          <w:rFonts w:ascii="Times New Roman" w:hAnsi="Times New Roman" w:cs="Times New Roman"/>
          <w:sz w:val="20"/>
          <w:szCs w:val="20"/>
          <w:lang w:val="fr-FR"/>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DS 126.</w:t>
      </w:r>
    </w:p>
  </w:footnote>
  <w:footnote w:id="19">
    <w:p w:rsidR="00E6136D" w:rsidRPr="006647D3" w:rsidRDefault="008727F0" w:rsidP="006647D3">
      <w:pPr>
        <w:pStyle w:val="Bezodstpw"/>
        <w:rPr>
          <w:rFonts w:ascii="Times New Roman" w:hAnsi="Times New Roman" w:cs="Times New Roman"/>
          <w:sz w:val="20"/>
          <w:szCs w:val="20"/>
          <w:lang w:val="fr-FR"/>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Arius, cité dans Athanase, </w:t>
      </w:r>
      <w:r w:rsidRPr="006647D3">
        <w:rPr>
          <w:rFonts w:ascii="Times New Roman" w:hAnsi="Times New Roman" w:cs="Times New Roman"/>
          <w:i/>
          <w:sz w:val="20"/>
          <w:szCs w:val="20"/>
          <w:lang w:val="fr-FR"/>
        </w:rPr>
        <w:t>De synodis,</w:t>
      </w:r>
      <w:r w:rsidRPr="006647D3">
        <w:rPr>
          <w:rFonts w:ascii="Times New Roman" w:hAnsi="Times New Roman" w:cs="Times New Roman"/>
          <w:sz w:val="20"/>
          <w:szCs w:val="20"/>
          <w:lang w:val="fr-FR"/>
        </w:rPr>
        <w:t xml:space="preserve"> 16,4.</w:t>
      </w:r>
    </w:p>
  </w:footnote>
  <w:footnote w:id="20">
    <w:p w:rsidR="00E6136D" w:rsidRPr="006647D3" w:rsidRDefault="008727F0" w:rsidP="006647D3">
      <w:pPr>
        <w:pStyle w:val="Bezodstpw"/>
        <w:rPr>
          <w:rFonts w:ascii="Times New Roman" w:hAnsi="Times New Roman" w:cs="Times New Roman"/>
          <w:sz w:val="20"/>
          <w:szCs w:val="20"/>
          <w:lang w:val="fr-FR"/>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Eusèbe de Césarée, </w:t>
      </w:r>
      <w:r w:rsidRPr="006647D3">
        <w:rPr>
          <w:rFonts w:ascii="Times New Roman" w:hAnsi="Times New Roman" w:cs="Times New Roman"/>
          <w:i/>
          <w:sz w:val="20"/>
          <w:szCs w:val="20"/>
          <w:lang w:val="fr-FR"/>
        </w:rPr>
        <w:t>De ecclesiastica theologia</w:t>
      </w:r>
      <w:r w:rsidRPr="006647D3">
        <w:rPr>
          <w:rFonts w:ascii="Times New Roman" w:hAnsi="Times New Roman" w:cs="Times New Roman"/>
          <w:sz w:val="20"/>
          <w:szCs w:val="20"/>
          <w:lang w:val="fr-FR"/>
        </w:rPr>
        <w:t>, 2, 14, 4,1-5,1.</w:t>
      </w:r>
    </w:p>
  </w:footnote>
  <w:footnote w:id="21">
    <w:p w:rsidR="00E6136D" w:rsidRPr="006647D3" w:rsidRDefault="008727F0" w:rsidP="006647D3">
      <w:pPr>
        <w:pStyle w:val="Bezodstpw"/>
        <w:rPr>
          <w:rFonts w:ascii="Times New Roman" w:hAnsi="Times New Roman" w:cs="Times New Roman"/>
          <w:sz w:val="20"/>
          <w:szCs w:val="20"/>
          <w:lang w:val="fr-FR"/>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Athanase, </w:t>
      </w:r>
      <w:r w:rsidRPr="006647D3">
        <w:rPr>
          <w:rFonts w:ascii="Times New Roman" w:hAnsi="Times New Roman" w:cs="Times New Roman"/>
          <w:i/>
          <w:sz w:val="20"/>
          <w:szCs w:val="20"/>
          <w:lang w:val="fr-FR"/>
        </w:rPr>
        <w:t>Orationes contra Arianos,</w:t>
      </w:r>
      <w:r w:rsidRPr="006647D3">
        <w:rPr>
          <w:rFonts w:ascii="Times New Roman" w:hAnsi="Times New Roman" w:cs="Times New Roman"/>
          <w:sz w:val="20"/>
          <w:szCs w:val="20"/>
          <w:lang w:val="fr-FR"/>
        </w:rPr>
        <w:t xml:space="preserve"> III, 66,10-13.</w:t>
      </w:r>
    </w:p>
  </w:footnote>
  <w:footnote w:id="22">
    <w:p w:rsidR="00E6136D" w:rsidRPr="006647D3" w:rsidRDefault="008727F0" w:rsidP="006647D3">
      <w:pPr>
        <w:pStyle w:val="Bezodstpw"/>
        <w:rPr>
          <w:rFonts w:ascii="Times New Roman" w:hAnsi="Times New Roman" w:cs="Times New Roman"/>
          <w:sz w:val="20"/>
          <w:szCs w:val="20"/>
          <w:lang w:val="fr-FR"/>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Grégoire de Nysse,</w:t>
      </w:r>
      <w:r w:rsidRPr="006647D3">
        <w:rPr>
          <w:rFonts w:ascii="Times New Roman" w:hAnsi="Times New Roman" w:cs="Times New Roman"/>
          <w:i/>
          <w:sz w:val="20"/>
          <w:szCs w:val="20"/>
          <w:lang w:val="fr-FR"/>
        </w:rPr>
        <w:t xml:space="preserve"> Oratio Cathechetica Magna</w:t>
      </w:r>
      <w:r w:rsidRPr="006647D3">
        <w:rPr>
          <w:rFonts w:ascii="Times New Roman" w:hAnsi="Times New Roman" w:cs="Times New Roman"/>
          <w:sz w:val="20"/>
          <w:szCs w:val="20"/>
          <w:lang w:val="fr-FR"/>
        </w:rPr>
        <w:t>, 1, 73-77.</w:t>
      </w:r>
    </w:p>
  </w:footnote>
  <w:footnote w:id="23">
    <w:p w:rsidR="00E6136D" w:rsidRPr="006647D3" w:rsidRDefault="008727F0" w:rsidP="006647D3">
      <w:pPr>
        <w:pStyle w:val="Bezodstpw"/>
        <w:rPr>
          <w:rFonts w:ascii="Times New Roman" w:hAnsi="Times New Roman" w:cs="Times New Roman"/>
          <w:sz w:val="20"/>
          <w:szCs w:val="20"/>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rPr>
        <w:t xml:space="preserve"> Cf. G. </w:t>
      </w:r>
      <w:proofErr w:type="spellStart"/>
      <w:r w:rsidRPr="006647D3">
        <w:rPr>
          <w:rFonts w:ascii="Times New Roman" w:hAnsi="Times New Roman" w:cs="Times New Roman"/>
          <w:sz w:val="20"/>
          <w:szCs w:val="20"/>
        </w:rPr>
        <w:t>Maspero</w:t>
      </w:r>
      <w:proofErr w:type="spellEnd"/>
      <w:r w:rsidRPr="006647D3">
        <w:rPr>
          <w:rFonts w:ascii="Times New Roman" w:hAnsi="Times New Roman" w:cs="Times New Roman"/>
          <w:sz w:val="20"/>
          <w:szCs w:val="20"/>
        </w:rPr>
        <w:t xml:space="preserve">, </w:t>
      </w:r>
      <w:r w:rsidRPr="006647D3">
        <w:rPr>
          <w:rFonts w:ascii="Times New Roman" w:hAnsi="Times New Roman" w:cs="Times New Roman"/>
          <w:i/>
          <w:sz w:val="20"/>
          <w:szCs w:val="20"/>
        </w:rPr>
        <w:t>Relational Being. The Cappadocian Reshaping of Metaphysics</w:t>
      </w:r>
      <w:r w:rsidRPr="006647D3">
        <w:rPr>
          <w:rFonts w:ascii="Times New Roman" w:hAnsi="Times New Roman" w:cs="Times New Roman"/>
          <w:sz w:val="20"/>
          <w:szCs w:val="20"/>
        </w:rPr>
        <w:t>, Cambridge University Press, Cambridge 2024.</w:t>
      </w:r>
    </w:p>
  </w:footnote>
  <w:footnote w:id="24">
    <w:p w:rsidR="00E6136D" w:rsidRPr="006647D3" w:rsidRDefault="008727F0" w:rsidP="006647D3">
      <w:pPr>
        <w:pStyle w:val="Bezodstpw"/>
        <w:rPr>
          <w:rFonts w:ascii="Times New Roman" w:hAnsi="Times New Roman" w:cs="Times New Roman"/>
          <w:sz w:val="20"/>
          <w:szCs w:val="20"/>
          <w:lang w:val="fr-FR"/>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fr-FR"/>
        </w:rPr>
        <w:t xml:space="preserve"> Constantin, </w:t>
      </w:r>
      <w:r w:rsidRPr="006647D3">
        <w:rPr>
          <w:rFonts w:ascii="Times New Roman" w:hAnsi="Times New Roman" w:cs="Times New Roman"/>
          <w:i/>
          <w:iCs/>
          <w:sz w:val="20"/>
          <w:szCs w:val="20"/>
          <w:lang w:val="fr-FR"/>
        </w:rPr>
        <w:t>Epistola ad Alexandrum episcupum et Arium presbyterum</w:t>
      </w:r>
      <w:r w:rsidRPr="006647D3">
        <w:rPr>
          <w:rFonts w:ascii="Times New Roman" w:hAnsi="Times New Roman" w:cs="Times New Roman"/>
          <w:sz w:val="20"/>
          <w:szCs w:val="20"/>
          <w:lang w:val="fr-FR"/>
        </w:rPr>
        <w:t xml:space="preserve">, dans Eusèbe de Césarée, </w:t>
      </w:r>
      <w:r w:rsidRPr="006647D3">
        <w:rPr>
          <w:rFonts w:ascii="Times New Roman" w:hAnsi="Times New Roman" w:cs="Times New Roman"/>
          <w:i/>
          <w:iCs/>
          <w:sz w:val="20"/>
          <w:szCs w:val="20"/>
          <w:lang w:val="fr-FR"/>
        </w:rPr>
        <w:t>De vita Constantini</w:t>
      </w:r>
      <w:r w:rsidRPr="006647D3">
        <w:rPr>
          <w:rFonts w:ascii="Times New Roman" w:hAnsi="Times New Roman" w:cs="Times New Roman"/>
          <w:sz w:val="20"/>
          <w:szCs w:val="20"/>
          <w:lang w:val="fr-FR"/>
        </w:rPr>
        <w:t xml:space="preserve">, 2, 64-72 (aussi dans Socrates, </w:t>
      </w:r>
      <w:r w:rsidRPr="006647D3">
        <w:rPr>
          <w:rFonts w:ascii="Times New Roman" w:hAnsi="Times New Roman" w:cs="Times New Roman"/>
          <w:i/>
          <w:iCs/>
          <w:sz w:val="20"/>
          <w:szCs w:val="20"/>
          <w:lang w:val="fr-FR"/>
        </w:rPr>
        <w:t>Historia Ecclesiastica</w:t>
      </w:r>
      <w:r w:rsidRPr="006647D3">
        <w:rPr>
          <w:rFonts w:ascii="Times New Roman" w:hAnsi="Times New Roman" w:cs="Times New Roman"/>
          <w:sz w:val="20"/>
          <w:szCs w:val="20"/>
          <w:lang w:val="fr-FR"/>
        </w:rPr>
        <w:t>, 1,7).</w:t>
      </w:r>
    </w:p>
  </w:footnote>
  <w:footnote w:id="25">
    <w:p w:rsidR="00E6136D" w:rsidRPr="006647D3" w:rsidRDefault="008727F0" w:rsidP="006647D3">
      <w:pPr>
        <w:pStyle w:val="Bezodstpw"/>
        <w:rPr>
          <w:rFonts w:ascii="Times New Roman" w:hAnsi="Times New Roman" w:cs="Times New Roman"/>
          <w:sz w:val="20"/>
          <w:szCs w:val="20"/>
          <w:lang w:val="de-AT"/>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de-AT"/>
        </w:rPr>
        <w:t xml:space="preserve"> Athanase, </w:t>
      </w:r>
      <w:r w:rsidRPr="006647D3">
        <w:rPr>
          <w:rFonts w:ascii="Times New Roman" w:hAnsi="Times New Roman" w:cs="Times New Roman"/>
          <w:i/>
          <w:sz w:val="20"/>
          <w:szCs w:val="20"/>
          <w:lang w:val="de-AT"/>
        </w:rPr>
        <w:t xml:space="preserve">De </w:t>
      </w:r>
      <w:proofErr w:type="spellStart"/>
      <w:r w:rsidRPr="006647D3">
        <w:rPr>
          <w:rFonts w:ascii="Times New Roman" w:hAnsi="Times New Roman" w:cs="Times New Roman"/>
          <w:i/>
          <w:sz w:val="20"/>
          <w:szCs w:val="20"/>
          <w:lang w:val="de-AT"/>
        </w:rPr>
        <w:t>synodis</w:t>
      </w:r>
      <w:proofErr w:type="spellEnd"/>
      <w:r w:rsidRPr="006647D3">
        <w:rPr>
          <w:rFonts w:ascii="Times New Roman" w:hAnsi="Times New Roman" w:cs="Times New Roman"/>
          <w:sz w:val="20"/>
          <w:szCs w:val="20"/>
          <w:lang w:val="de-AT"/>
        </w:rPr>
        <w:t xml:space="preserve"> 16,3.</w:t>
      </w:r>
    </w:p>
  </w:footnote>
  <w:footnote w:id="26">
    <w:p w:rsidR="00E6136D" w:rsidRPr="006647D3" w:rsidRDefault="008727F0" w:rsidP="006647D3">
      <w:pPr>
        <w:pStyle w:val="Bezodstpw"/>
        <w:rPr>
          <w:rFonts w:ascii="Times New Roman" w:hAnsi="Times New Roman" w:cs="Times New Roman"/>
          <w:sz w:val="20"/>
          <w:szCs w:val="20"/>
          <w:lang w:val="de-AT"/>
        </w:rPr>
      </w:pPr>
      <w:r w:rsidRPr="006647D3">
        <w:rPr>
          <w:rStyle w:val="Odwoanieprzypisudolnego"/>
          <w:rFonts w:ascii="Times New Roman" w:eastAsia="Times New Roman" w:hAnsi="Times New Roman" w:cs="Times New Roman"/>
          <w:sz w:val="20"/>
          <w:szCs w:val="20"/>
        </w:rPr>
        <w:footnoteRef/>
      </w:r>
      <w:r w:rsidRPr="006647D3">
        <w:rPr>
          <w:rFonts w:ascii="Times New Roman" w:hAnsi="Times New Roman" w:cs="Times New Roman"/>
          <w:sz w:val="20"/>
          <w:szCs w:val="20"/>
          <w:lang w:val="de-AT"/>
        </w:rPr>
        <w:t xml:space="preserve"> Cf. J. Ratzinger, </w:t>
      </w:r>
      <w:r w:rsidRPr="006647D3">
        <w:rPr>
          <w:rFonts w:ascii="Times New Roman" w:hAnsi="Times New Roman" w:cs="Times New Roman"/>
          <w:i/>
          <w:sz w:val="20"/>
          <w:szCs w:val="20"/>
          <w:lang w:val="de-AT"/>
        </w:rPr>
        <w:t>Einführung in das Christentum</w:t>
      </w:r>
      <w:r w:rsidRPr="006647D3">
        <w:rPr>
          <w:rFonts w:ascii="Times New Roman" w:hAnsi="Times New Roman" w:cs="Times New Roman"/>
          <w:sz w:val="20"/>
          <w:szCs w:val="20"/>
          <w:lang w:val="de-AT"/>
        </w:rPr>
        <w:t xml:space="preserve">, </w:t>
      </w:r>
      <w:proofErr w:type="spellStart"/>
      <w:r w:rsidRPr="006647D3">
        <w:rPr>
          <w:rFonts w:ascii="Times New Roman" w:hAnsi="Times New Roman" w:cs="Times New Roman"/>
          <w:sz w:val="20"/>
          <w:szCs w:val="20"/>
          <w:lang w:val="de-AT"/>
        </w:rPr>
        <w:t>Kösel</w:t>
      </w:r>
      <w:proofErr w:type="spellEnd"/>
      <w:r w:rsidRPr="006647D3">
        <w:rPr>
          <w:rFonts w:ascii="Times New Roman" w:hAnsi="Times New Roman" w:cs="Times New Roman"/>
          <w:sz w:val="20"/>
          <w:szCs w:val="20"/>
          <w:lang w:val="de-AT"/>
        </w:rPr>
        <w:t xml:space="preserve"> 1968, 162.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868"/>
    <w:multiLevelType w:val="hybridMultilevel"/>
    <w:tmpl w:val="118A5718"/>
    <w:name w:val="Elenco numerato 1"/>
    <w:lvl w:ilvl="0" w:tplc="C0422270">
      <w:numFmt w:val="bullet"/>
      <w:lvlText w:val=" "/>
      <w:lvlJc w:val="left"/>
      <w:pPr>
        <w:ind w:left="0" w:firstLine="0"/>
      </w:pPr>
    </w:lvl>
    <w:lvl w:ilvl="1" w:tplc="97EA6716">
      <w:numFmt w:val="bullet"/>
      <w:lvlText w:val=" "/>
      <w:lvlJc w:val="left"/>
      <w:pPr>
        <w:ind w:left="720" w:firstLine="0"/>
      </w:pPr>
    </w:lvl>
    <w:lvl w:ilvl="2" w:tplc="3B4408F2">
      <w:numFmt w:val="bullet"/>
      <w:lvlText w:val=" "/>
      <w:lvlJc w:val="left"/>
      <w:pPr>
        <w:ind w:left="1440" w:firstLine="0"/>
      </w:pPr>
    </w:lvl>
    <w:lvl w:ilvl="3" w:tplc="A74EE30A">
      <w:numFmt w:val="bullet"/>
      <w:lvlText w:val=" "/>
      <w:lvlJc w:val="left"/>
      <w:pPr>
        <w:ind w:left="2160" w:firstLine="0"/>
      </w:pPr>
    </w:lvl>
    <w:lvl w:ilvl="4" w:tplc="9A066ECE">
      <w:numFmt w:val="bullet"/>
      <w:lvlText w:val=" "/>
      <w:lvlJc w:val="left"/>
      <w:pPr>
        <w:ind w:left="2880" w:firstLine="0"/>
      </w:pPr>
    </w:lvl>
    <w:lvl w:ilvl="5" w:tplc="43F689C2">
      <w:numFmt w:val="bullet"/>
      <w:lvlText w:val=" "/>
      <w:lvlJc w:val="left"/>
      <w:pPr>
        <w:ind w:left="3600" w:firstLine="0"/>
      </w:pPr>
    </w:lvl>
    <w:lvl w:ilvl="6" w:tplc="6D04D078">
      <w:numFmt w:val="bullet"/>
      <w:lvlText w:val=" "/>
      <w:lvlJc w:val="left"/>
      <w:pPr>
        <w:ind w:left="4320" w:firstLine="0"/>
      </w:pPr>
    </w:lvl>
    <w:lvl w:ilvl="7" w:tplc="3F9EF1F2">
      <w:numFmt w:val="bullet"/>
      <w:lvlText w:val=" "/>
      <w:lvlJc w:val="left"/>
      <w:pPr>
        <w:ind w:left="5040" w:firstLine="0"/>
      </w:pPr>
    </w:lvl>
    <w:lvl w:ilvl="8" w:tplc="9A2629EC">
      <w:numFmt w:val="bullet"/>
      <w:lvlText w:val=" "/>
      <w:lvlJc w:val="left"/>
      <w:pPr>
        <w:ind w:left="5760" w:firstLine="0"/>
      </w:pPr>
    </w:lvl>
  </w:abstractNum>
  <w:abstractNum w:abstractNumId="1">
    <w:nsid w:val="7ED15E01"/>
    <w:multiLevelType w:val="hybridMultilevel"/>
    <w:tmpl w:val="1FB85068"/>
    <w:lvl w:ilvl="0" w:tplc="F80CB09C">
      <w:numFmt w:val="none"/>
      <w:lvlText w:val=""/>
      <w:lvlJc w:val="left"/>
      <w:pPr>
        <w:tabs>
          <w:tab w:val="num" w:pos="360"/>
        </w:tabs>
        <w:ind w:left="360" w:hanging="360"/>
      </w:pPr>
    </w:lvl>
    <w:lvl w:ilvl="1" w:tplc="D52CA796">
      <w:numFmt w:val="none"/>
      <w:lvlText w:val=""/>
      <w:lvlJc w:val="left"/>
      <w:pPr>
        <w:tabs>
          <w:tab w:val="num" w:pos="360"/>
        </w:tabs>
        <w:ind w:left="360" w:hanging="360"/>
      </w:pPr>
    </w:lvl>
    <w:lvl w:ilvl="2" w:tplc="AB4E60F4">
      <w:numFmt w:val="none"/>
      <w:lvlText w:val=""/>
      <w:lvlJc w:val="left"/>
      <w:pPr>
        <w:tabs>
          <w:tab w:val="num" w:pos="360"/>
        </w:tabs>
        <w:ind w:left="360" w:hanging="360"/>
      </w:pPr>
    </w:lvl>
    <w:lvl w:ilvl="3" w:tplc="CB18F638">
      <w:numFmt w:val="none"/>
      <w:lvlText w:val=""/>
      <w:lvlJc w:val="left"/>
      <w:pPr>
        <w:tabs>
          <w:tab w:val="num" w:pos="360"/>
        </w:tabs>
        <w:ind w:left="360" w:hanging="360"/>
      </w:pPr>
    </w:lvl>
    <w:lvl w:ilvl="4" w:tplc="552016B4">
      <w:numFmt w:val="none"/>
      <w:lvlText w:val=""/>
      <w:lvlJc w:val="left"/>
      <w:pPr>
        <w:tabs>
          <w:tab w:val="num" w:pos="360"/>
        </w:tabs>
        <w:ind w:left="360" w:hanging="360"/>
      </w:pPr>
    </w:lvl>
    <w:lvl w:ilvl="5" w:tplc="641269C4">
      <w:numFmt w:val="none"/>
      <w:lvlText w:val=""/>
      <w:lvlJc w:val="left"/>
      <w:pPr>
        <w:tabs>
          <w:tab w:val="num" w:pos="360"/>
        </w:tabs>
        <w:ind w:left="360" w:hanging="360"/>
      </w:pPr>
    </w:lvl>
    <w:lvl w:ilvl="6" w:tplc="EDA8D12E">
      <w:numFmt w:val="none"/>
      <w:lvlText w:val=""/>
      <w:lvlJc w:val="left"/>
      <w:pPr>
        <w:tabs>
          <w:tab w:val="num" w:pos="360"/>
        </w:tabs>
        <w:ind w:left="360" w:hanging="360"/>
      </w:pPr>
    </w:lvl>
    <w:lvl w:ilvl="7" w:tplc="6FF20D1E">
      <w:numFmt w:val="none"/>
      <w:lvlText w:val=""/>
      <w:lvlJc w:val="left"/>
      <w:pPr>
        <w:tabs>
          <w:tab w:val="num" w:pos="360"/>
        </w:tabs>
        <w:ind w:left="360" w:hanging="360"/>
      </w:pPr>
    </w:lvl>
    <w:lvl w:ilvl="8" w:tplc="9E44485A">
      <w:numFmt w:val="none"/>
      <w:lvlText w:val=""/>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hyphenationZone w:val="425"/>
  <w:drawingGridHorizontalSpacing w:val="360"/>
  <w:drawingGridVerticalSpacing w:val="360"/>
  <w:characterSpacingControl w:val="doNotCompress"/>
  <w:footnotePr>
    <w:footnote w:id="-1"/>
    <w:footnote w:id="0"/>
  </w:footnotePr>
  <w:endnotePr>
    <w:numFmt w:val="decimal"/>
    <w:endnote w:id="-1"/>
    <w:endnote w:id="0"/>
  </w:endnotePr>
  <w:compat>
    <w:compatSetting w:name="compatibilityMode" w:uri="http://schemas.microsoft.com/office/word" w:val="14"/>
  </w:compat>
  <w:rsids>
    <w:rsidRoot w:val="00E6136D"/>
    <w:rsid w:val="00100071"/>
    <w:rsid w:val="0019665D"/>
    <w:rsid w:val="004D125D"/>
    <w:rsid w:val="006647D3"/>
    <w:rsid w:val="00765208"/>
    <w:rsid w:val="00767345"/>
    <w:rsid w:val="008727F0"/>
    <w:rsid w:val="008C4DCF"/>
    <w:rsid w:val="009277E8"/>
    <w:rsid w:val="00937B0E"/>
    <w:rsid w:val="00A33AB6"/>
    <w:rsid w:val="00BD356E"/>
    <w:rsid w:val="00C57BB9"/>
    <w:rsid w:val="00D155EC"/>
    <w:rsid w:val="00D90C5B"/>
    <w:rsid w:val="00E6136D"/>
    <w:rsid w:val="00F64F1D"/>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zh-CN" w:bidi="ar-SA"/>
      </w:rPr>
    </w:rPrDefault>
    <w:pPrDefault>
      <w:pPr>
        <w:spacing w:after="20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kstpodstawowy"/>
    <w:qFormat/>
    <w:pPr>
      <w:keepNext/>
      <w:keepLines/>
      <w:spacing w:before="480" w:after="0"/>
      <w:outlineLvl w:val="0"/>
    </w:pPr>
    <w:rPr>
      <w:rFonts w:ascii="Calibri" w:eastAsia="Calibri" w:hAnsi="Calibri" w:cs="Calibri"/>
      <w:b/>
      <w:bCs/>
      <w:color w:val="4F81BD"/>
      <w:sz w:val="32"/>
      <w:szCs w:val="32"/>
    </w:rPr>
  </w:style>
  <w:style w:type="paragraph" w:styleId="Nagwek2">
    <w:name w:val="heading 2"/>
    <w:basedOn w:val="Normalny"/>
    <w:next w:val="Tekstpodstawowy"/>
    <w:qFormat/>
    <w:pPr>
      <w:keepNext/>
      <w:keepLines/>
      <w:spacing w:before="200" w:after="0"/>
      <w:outlineLvl w:val="1"/>
    </w:pPr>
    <w:rPr>
      <w:rFonts w:ascii="Calibri" w:eastAsia="Calibri" w:hAnsi="Calibri" w:cs="Calibri"/>
      <w:b/>
      <w:bCs/>
      <w:color w:val="4F81BD"/>
      <w:sz w:val="28"/>
      <w:szCs w:val="28"/>
    </w:rPr>
  </w:style>
  <w:style w:type="paragraph" w:styleId="Nagwek3">
    <w:name w:val="heading 3"/>
    <w:basedOn w:val="Normalny"/>
    <w:next w:val="Tekstpodstawowy"/>
    <w:qFormat/>
    <w:pPr>
      <w:keepNext/>
      <w:keepLines/>
      <w:spacing w:before="200" w:after="0"/>
      <w:outlineLvl w:val="2"/>
    </w:pPr>
    <w:rPr>
      <w:rFonts w:ascii="Calibri" w:eastAsia="Calibri" w:hAnsi="Calibri" w:cs="Calibri"/>
      <w:b/>
      <w:bCs/>
      <w:color w:val="4F81BD"/>
    </w:rPr>
  </w:style>
  <w:style w:type="paragraph" w:styleId="Nagwek4">
    <w:name w:val="heading 4"/>
    <w:basedOn w:val="Normalny"/>
    <w:next w:val="Tekstpodstawowy"/>
    <w:qFormat/>
    <w:pPr>
      <w:keepNext/>
      <w:keepLines/>
      <w:spacing w:before="200" w:after="0"/>
      <w:outlineLvl w:val="3"/>
    </w:pPr>
    <w:rPr>
      <w:rFonts w:ascii="Calibri" w:eastAsia="Calibri" w:hAnsi="Calibri" w:cs="Calibri"/>
      <w:bCs/>
      <w:i/>
      <w:color w:val="4F81BD"/>
    </w:rPr>
  </w:style>
  <w:style w:type="paragraph" w:styleId="Nagwek5">
    <w:name w:val="heading 5"/>
    <w:basedOn w:val="Normalny"/>
    <w:next w:val="Tekstpodstawowy"/>
    <w:qFormat/>
    <w:pPr>
      <w:keepNext/>
      <w:keepLines/>
      <w:spacing w:before="200" w:after="0"/>
      <w:outlineLvl w:val="4"/>
    </w:pPr>
    <w:rPr>
      <w:rFonts w:ascii="Calibri" w:eastAsia="Calibri" w:hAnsi="Calibri" w:cs="Calibri"/>
      <w:iCs/>
      <w:color w:val="4F81BD"/>
    </w:rPr>
  </w:style>
  <w:style w:type="paragraph" w:styleId="Nagwek6">
    <w:name w:val="heading 6"/>
    <w:basedOn w:val="Normalny"/>
    <w:next w:val="Tekstpodstawowy"/>
    <w:qFormat/>
    <w:pPr>
      <w:keepNext/>
      <w:keepLines/>
      <w:spacing w:before="200" w:after="0"/>
      <w:outlineLvl w:val="5"/>
    </w:pPr>
    <w:rPr>
      <w:rFonts w:ascii="Calibri" w:eastAsia="Calibri" w:hAnsi="Calibri" w:cs="Calibri"/>
      <w:color w:val="4F81BD"/>
    </w:rPr>
  </w:style>
  <w:style w:type="paragraph" w:styleId="Nagwek7">
    <w:name w:val="heading 7"/>
    <w:basedOn w:val="Normalny"/>
    <w:next w:val="Tekstpodstawowy"/>
    <w:qFormat/>
    <w:pPr>
      <w:keepNext/>
      <w:keepLines/>
      <w:spacing w:before="200" w:after="0"/>
      <w:outlineLvl w:val="6"/>
    </w:pPr>
    <w:rPr>
      <w:rFonts w:ascii="Calibri" w:eastAsia="Calibri" w:hAnsi="Calibri" w:cs="Calibri"/>
      <w:color w:val="4F81BD"/>
    </w:rPr>
  </w:style>
  <w:style w:type="paragraph" w:styleId="Nagwek8">
    <w:name w:val="heading 8"/>
    <w:basedOn w:val="Normalny"/>
    <w:next w:val="Tekstpodstawowy"/>
    <w:qFormat/>
    <w:pPr>
      <w:keepNext/>
      <w:keepLines/>
      <w:spacing w:before="200" w:after="0"/>
      <w:outlineLvl w:val="7"/>
    </w:pPr>
    <w:rPr>
      <w:rFonts w:ascii="Calibri" w:eastAsia="Calibri" w:hAnsi="Calibri" w:cs="Calibri"/>
      <w:color w:val="4F81BD"/>
    </w:rPr>
  </w:style>
  <w:style w:type="paragraph" w:styleId="Nagwek9">
    <w:name w:val="heading 9"/>
    <w:basedOn w:val="Normalny"/>
    <w:next w:val="Tekstpodstawowy"/>
    <w:qFormat/>
    <w:pPr>
      <w:keepNext/>
      <w:keepLines/>
      <w:spacing w:before="200" w:after="0"/>
      <w:outlineLvl w:val="8"/>
    </w:pPr>
    <w:rPr>
      <w:rFonts w:ascii="Calibri" w:eastAsia="Calibri" w:hAnsi="Calibri" w:cs="Calibri"/>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qFormat/>
    <w:pPr>
      <w:keepNext/>
      <w:keepLines/>
      <w:spacing w:before="480" w:after="240"/>
      <w:jc w:val="center"/>
    </w:pPr>
    <w:rPr>
      <w:rFonts w:ascii="Calibri" w:eastAsia="Calibri" w:hAnsi="Calibri" w:cs="Calibri"/>
      <w:b/>
      <w:bCs/>
      <w:color w:val="345A8A"/>
      <w:sz w:val="36"/>
      <w:szCs w:val="36"/>
    </w:rPr>
  </w:style>
  <w:style w:type="paragraph" w:styleId="Podtytu">
    <w:name w:val="Subtitle"/>
    <w:basedOn w:val="Tytu"/>
    <w:next w:val="Tekstpodstawowy"/>
    <w:qFormat/>
    <w:pPr>
      <w:spacing w:before="240"/>
    </w:pPr>
    <w:rPr>
      <w:sz w:val="30"/>
      <w:szCs w:val="30"/>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
    <w:name w:val="Abstract"/>
    <w:basedOn w:val="Normalny"/>
    <w:next w:val="Tekstpodstawowy"/>
    <w:qFormat/>
    <w:pPr>
      <w:keepNext/>
      <w:keepLines/>
      <w:spacing w:before="300" w:after="300"/>
    </w:pPr>
    <w:rPr>
      <w:sz w:val="20"/>
      <w:szCs w:val="20"/>
    </w:rPr>
  </w:style>
  <w:style w:type="paragraph" w:styleId="Bibliografia">
    <w:name w:val="Bibliography"/>
    <w:basedOn w:val="Normalny"/>
    <w:qFormat/>
  </w:style>
  <w:style w:type="paragraph" w:styleId="Tekstblokowy">
    <w:name w:val="Block Text"/>
    <w:basedOn w:val="Tekstpodstawowy"/>
    <w:next w:val="Tekstpodstawowy"/>
    <w:qFormat/>
    <w:pPr>
      <w:spacing w:before="100" w:after="100"/>
      <w:ind w:left="480" w:right="480"/>
    </w:pPr>
  </w:style>
  <w:style w:type="paragraph" w:styleId="Tekstprzypisudolnego">
    <w:name w:val="footnote text"/>
    <w:basedOn w:val="Normalny"/>
    <w:qFormat/>
    <w:pPr>
      <w:jc w:val="both"/>
    </w:pPr>
    <w:rPr>
      <w:rFonts w:ascii="Times New Roman" w:eastAsia="Times New Roman" w:hAnsi="Times New Roman" w:cs="Times New Roman"/>
      <w:sz w:val="20"/>
      <w:szCs w:val="20"/>
    </w:rPr>
  </w:style>
  <w:style w:type="paragraph" w:customStyle="1" w:styleId="DefinitionTerm">
    <w:name w:val="Definition Term"/>
    <w:basedOn w:val="Normalny"/>
    <w:next w:val="Definition"/>
    <w:qFormat/>
    <w:pPr>
      <w:keepNext/>
      <w:keepLines/>
      <w:spacing w:after="0"/>
    </w:pPr>
    <w:rPr>
      <w:b/>
    </w:rPr>
  </w:style>
  <w:style w:type="paragraph" w:customStyle="1" w:styleId="Definition">
    <w:name w:val="Definition"/>
    <w:basedOn w:val="Normalny"/>
    <w:qFormat/>
  </w:style>
  <w:style w:type="paragraph" w:styleId="Legenda">
    <w:name w:val="caption"/>
    <w:basedOn w:val="Normalny"/>
    <w:qFormat/>
    <w:pPr>
      <w:spacing w:after="120"/>
    </w:pPr>
    <w:rPr>
      <w:i/>
    </w:rPr>
  </w:style>
  <w:style w:type="paragraph" w:customStyle="1" w:styleId="TableCaption">
    <w:name w:val="Table Caption"/>
    <w:basedOn w:val="Legenda"/>
    <w:qFormat/>
    <w:pPr>
      <w:keepNext/>
    </w:pPr>
  </w:style>
  <w:style w:type="paragraph" w:customStyle="1" w:styleId="ImageCaption">
    <w:name w:val="Image Caption"/>
    <w:basedOn w:val="Legenda"/>
    <w:qFormat/>
  </w:style>
  <w:style w:type="paragraph" w:customStyle="1" w:styleId="Figure">
    <w:name w:val="Figure"/>
    <w:basedOn w:val="Normalny"/>
    <w:qFormat/>
  </w:style>
  <w:style w:type="paragraph" w:customStyle="1" w:styleId="CaptionedFigure">
    <w:name w:val="Captioned Figure"/>
    <w:basedOn w:val="Figure"/>
    <w:qFormat/>
    <w:pPr>
      <w:keepNext/>
    </w:pPr>
  </w:style>
  <w:style w:type="paragraph" w:styleId="Nagwekspisutreci">
    <w:name w:val="TOC Heading"/>
    <w:basedOn w:val="Nagwek1"/>
    <w:next w:val="Tekstpodstawowy"/>
    <w:qFormat/>
    <w:pPr>
      <w:spacing w:before="240" w:line="259" w:lineRule="auto"/>
      <w:outlineLvl w:val="9"/>
    </w:pPr>
    <w:rPr>
      <w:b w:val="0"/>
      <w:bCs w:val="0"/>
      <w:color w:val="365F91"/>
    </w:rPr>
  </w:style>
  <w:style w:type="paragraph" w:customStyle="1" w:styleId="SourceCode">
    <w:name w:val="Source Code"/>
    <w:basedOn w:val="Normalny"/>
    <w:qFormat/>
  </w:style>
  <w:style w:type="paragraph" w:styleId="Stopka">
    <w:name w:val="footer"/>
    <w:basedOn w:val="Normalny"/>
    <w:qFormat/>
    <w:pPr>
      <w:tabs>
        <w:tab w:val="center" w:pos="4819"/>
        <w:tab w:val="right" w:pos="9638"/>
      </w:tabs>
      <w:spacing w:after="0"/>
    </w:pPr>
  </w:style>
  <w:style w:type="character" w:customStyle="1" w:styleId="BodyTextChar">
    <w:name w:val="Body Text Char"/>
    <w:basedOn w:val="Domylnaczcionkaakapitu"/>
  </w:style>
  <w:style w:type="character" w:customStyle="1" w:styleId="VerbatimChar">
    <w:name w:val="Verbatim Char"/>
    <w:basedOn w:val="BodyTextChar"/>
    <w:rPr>
      <w:rFonts w:ascii="Consolas" w:hAnsi="Consolas"/>
      <w:sz w:val="22"/>
    </w:rPr>
  </w:style>
  <w:style w:type="character" w:styleId="Odwoanieprzypisudolnego">
    <w:name w:val="footnote reference"/>
    <w:basedOn w:val="BodyTextChar"/>
    <w:rPr>
      <w:vertAlign w:val="superscript"/>
    </w:rPr>
  </w:style>
  <w:style w:type="character" w:styleId="Hipercze">
    <w:name w:val="Hyperlink"/>
    <w:basedOn w:val="BodyTextChar"/>
    <w:rPr>
      <w:color w:val="4F81BD"/>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customStyle="1" w:styleId="Tabellanormale">
    <w:name w:val="Tabella normale"/>
    <w:uiPriority w:val="99"/>
    <w:semiHidden/>
    <w:unhideWhenUsed/>
    <w:tblPr>
      <w:tblStyleRowBandSize w:val="1"/>
      <w:tblStyleColBandSize w:val="1"/>
      <w:tblInd w:w="0" w:type="dxa"/>
      <w:tblCellMar>
        <w:top w:w="0" w:type="dxa"/>
        <w:left w:w="108" w:type="dxa"/>
        <w:bottom w:w="0" w:type="dxa"/>
        <w:right w:w="108" w:type="dxa"/>
      </w:tblCellMar>
    </w:tblPr>
  </w:style>
  <w:style w:type="table" w:customStyle="1" w:styleId="Table">
    <w:name w:val="Table"/>
    <w:tblPr>
      <w:tblInd w:w="0" w:type="dxa"/>
      <w:tblCellMar>
        <w:top w:w="0" w:type="dxa"/>
        <w:left w:w="108" w:type="dxa"/>
        <w:bottom w:w="0" w:type="dxa"/>
        <w:right w:w="108" w:type="dxa"/>
      </w:tblCellMar>
    </w:tblPr>
  </w:style>
  <w:style w:type="paragraph" w:styleId="Bezodstpw">
    <w:name w:val="No Spacing"/>
    <w:uiPriority w:val="1"/>
    <w:qFormat/>
    <w:rsid w:val="006647D3"/>
    <w:pPr>
      <w:spacing w:after="0"/>
    </w:pPr>
  </w:style>
  <w:style w:type="paragraph" w:styleId="Nagwek">
    <w:name w:val="header"/>
    <w:basedOn w:val="Normalny"/>
    <w:link w:val="NagwekZnak"/>
    <w:uiPriority w:val="99"/>
    <w:rsid w:val="006647D3"/>
    <w:pPr>
      <w:tabs>
        <w:tab w:val="center" w:pos="4536"/>
        <w:tab w:val="right" w:pos="9072"/>
      </w:tabs>
      <w:spacing w:after="0"/>
    </w:pPr>
  </w:style>
  <w:style w:type="character" w:customStyle="1" w:styleId="NagwekZnak">
    <w:name w:val="Nagłówek Znak"/>
    <w:basedOn w:val="Domylnaczcionkaakapitu"/>
    <w:link w:val="Nagwek"/>
    <w:uiPriority w:val="99"/>
    <w:rsid w:val="006647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zh-CN" w:bidi="ar-SA"/>
      </w:rPr>
    </w:rPrDefault>
    <w:pPrDefault>
      <w:pPr>
        <w:spacing w:after="20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kstpodstawowy"/>
    <w:qFormat/>
    <w:pPr>
      <w:keepNext/>
      <w:keepLines/>
      <w:spacing w:before="480" w:after="0"/>
      <w:outlineLvl w:val="0"/>
    </w:pPr>
    <w:rPr>
      <w:rFonts w:ascii="Calibri" w:eastAsia="Calibri" w:hAnsi="Calibri" w:cs="Calibri"/>
      <w:b/>
      <w:bCs/>
      <w:color w:val="4F81BD"/>
      <w:sz w:val="32"/>
      <w:szCs w:val="32"/>
    </w:rPr>
  </w:style>
  <w:style w:type="paragraph" w:styleId="Nagwek2">
    <w:name w:val="heading 2"/>
    <w:basedOn w:val="Normalny"/>
    <w:next w:val="Tekstpodstawowy"/>
    <w:qFormat/>
    <w:pPr>
      <w:keepNext/>
      <w:keepLines/>
      <w:spacing w:before="200" w:after="0"/>
      <w:outlineLvl w:val="1"/>
    </w:pPr>
    <w:rPr>
      <w:rFonts w:ascii="Calibri" w:eastAsia="Calibri" w:hAnsi="Calibri" w:cs="Calibri"/>
      <w:b/>
      <w:bCs/>
      <w:color w:val="4F81BD"/>
      <w:sz w:val="28"/>
      <w:szCs w:val="28"/>
    </w:rPr>
  </w:style>
  <w:style w:type="paragraph" w:styleId="Nagwek3">
    <w:name w:val="heading 3"/>
    <w:basedOn w:val="Normalny"/>
    <w:next w:val="Tekstpodstawowy"/>
    <w:qFormat/>
    <w:pPr>
      <w:keepNext/>
      <w:keepLines/>
      <w:spacing w:before="200" w:after="0"/>
      <w:outlineLvl w:val="2"/>
    </w:pPr>
    <w:rPr>
      <w:rFonts w:ascii="Calibri" w:eastAsia="Calibri" w:hAnsi="Calibri" w:cs="Calibri"/>
      <w:b/>
      <w:bCs/>
      <w:color w:val="4F81BD"/>
    </w:rPr>
  </w:style>
  <w:style w:type="paragraph" w:styleId="Nagwek4">
    <w:name w:val="heading 4"/>
    <w:basedOn w:val="Normalny"/>
    <w:next w:val="Tekstpodstawowy"/>
    <w:qFormat/>
    <w:pPr>
      <w:keepNext/>
      <w:keepLines/>
      <w:spacing w:before="200" w:after="0"/>
      <w:outlineLvl w:val="3"/>
    </w:pPr>
    <w:rPr>
      <w:rFonts w:ascii="Calibri" w:eastAsia="Calibri" w:hAnsi="Calibri" w:cs="Calibri"/>
      <w:bCs/>
      <w:i/>
      <w:color w:val="4F81BD"/>
    </w:rPr>
  </w:style>
  <w:style w:type="paragraph" w:styleId="Nagwek5">
    <w:name w:val="heading 5"/>
    <w:basedOn w:val="Normalny"/>
    <w:next w:val="Tekstpodstawowy"/>
    <w:qFormat/>
    <w:pPr>
      <w:keepNext/>
      <w:keepLines/>
      <w:spacing w:before="200" w:after="0"/>
      <w:outlineLvl w:val="4"/>
    </w:pPr>
    <w:rPr>
      <w:rFonts w:ascii="Calibri" w:eastAsia="Calibri" w:hAnsi="Calibri" w:cs="Calibri"/>
      <w:iCs/>
      <w:color w:val="4F81BD"/>
    </w:rPr>
  </w:style>
  <w:style w:type="paragraph" w:styleId="Nagwek6">
    <w:name w:val="heading 6"/>
    <w:basedOn w:val="Normalny"/>
    <w:next w:val="Tekstpodstawowy"/>
    <w:qFormat/>
    <w:pPr>
      <w:keepNext/>
      <w:keepLines/>
      <w:spacing w:before="200" w:after="0"/>
      <w:outlineLvl w:val="5"/>
    </w:pPr>
    <w:rPr>
      <w:rFonts w:ascii="Calibri" w:eastAsia="Calibri" w:hAnsi="Calibri" w:cs="Calibri"/>
      <w:color w:val="4F81BD"/>
    </w:rPr>
  </w:style>
  <w:style w:type="paragraph" w:styleId="Nagwek7">
    <w:name w:val="heading 7"/>
    <w:basedOn w:val="Normalny"/>
    <w:next w:val="Tekstpodstawowy"/>
    <w:qFormat/>
    <w:pPr>
      <w:keepNext/>
      <w:keepLines/>
      <w:spacing w:before="200" w:after="0"/>
      <w:outlineLvl w:val="6"/>
    </w:pPr>
    <w:rPr>
      <w:rFonts w:ascii="Calibri" w:eastAsia="Calibri" w:hAnsi="Calibri" w:cs="Calibri"/>
      <w:color w:val="4F81BD"/>
    </w:rPr>
  </w:style>
  <w:style w:type="paragraph" w:styleId="Nagwek8">
    <w:name w:val="heading 8"/>
    <w:basedOn w:val="Normalny"/>
    <w:next w:val="Tekstpodstawowy"/>
    <w:qFormat/>
    <w:pPr>
      <w:keepNext/>
      <w:keepLines/>
      <w:spacing w:before="200" w:after="0"/>
      <w:outlineLvl w:val="7"/>
    </w:pPr>
    <w:rPr>
      <w:rFonts w:ascii="Calibri" w:eastAsia="Calibri" w:hAnsi="Calibri" w:cs="Calibri"/>
      <w:color w:val="4F81BD"/>
    </w:rPr>
  </w:style>
  <w:style w:type="paragraph" w:styleId="Nagwek9">
    <w:name w:val="heading 9"/>
    <w:basedOn w:val="Normalny"/>
    <w:next w:val="Tekstpodstawowy"/>
    <w:qFormat/>
    <w:pPr>
      <w:keepNext/>
      <w:keepLines/>
      <w:spacing w:before="200" w:after="0"/>
      <w:outlineLvl w:val="8"/>
    </w:pPr>
    <w:rPr>
      <w:rFonts w:ascii="Calibri" w:eastAsia="Calibri" w:hAnsi="Calibri" w:cs="Calibri"/>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qFormat/>
    <w:pPr>
      <w:keepNext/>
      <w:keepLines/>
      <w:spacing w:before="480" w:after="240"/>
      <w:jc w:val="center"/>
    </w:pPr>
    <w:rPr>
      <w:rFonts w:ascii="Calibri" w:eastAsia="Calibri" w:hAnsi="Calibri" w:cs="Calibri"/>
      <w:b/>
      <w:bCs/>
      <w:color w:val="345A8A"/>
      <w:sz w:val="36"/>
      <w:szCs w:val="36"/>
    </w:rPr>
  </w:style>
  <w:style w:type="paragraph" w:styleId="Podtytu">
    <w:name w:val="Subtitle"/>
    <w:basedOn w:val="Tytu"/>
    <w:next w:val="Tekstpodstawowy"/>
    <w:qFormat/>
    <w:pPr>
      <w:spacing w:before="240"/>
    </w:pPr>
    <w:rPr>
      <w:sz w:val="30"/>
      <w:szCs w:val="30"/>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
    <w:name w:val="Abstract"/>
    <w:basedOn w:val="Normalny"/>
    <w:next w:val="Tekstpodstawowy"/>
    <w:qFormat/>
    <w:pPr>
      <w:keepNext/>
      <w:keepLines/>
      <w:spacing w:before="300" w:after="300"/>
    </w:pPr>
    <w:rPr>
      <w:sz w:val="20"/>
      <w:szCs w:val="20"/>
    </w:rPr>
  </w:style>
  <w:style w:type="paragraph" w:styleId="Bibliografia">
    <w:name w:val="Bibliography"/>
    <w:basedOn w:val="Normalny"/>
    <w:qFormat/>
  </w:style>
  <w:style w:type="paragraph" w:styleId="Tekstblokowy">
    <w:name w:val="Block Text"/>
    <w:basedOn w:val="Tekstpodstawowy"/>
    <w:next w:val="Tekstpodstawowy"/>
    <w:qFormat/>
    <w:pPr>
      <w:spacing w:before="100" w:after="100"/>
      <w:ind w:left="480" w:right="480"/>
    </w:pPr>
  </w:style>
  <w:style w:type="paragraph" w:styleId="Tekstprzypisudolnego">
    <w:name w:val="footnote text"/>
    <w:basedOn w:val="Normalny"/>
    <w:qFormat/>
    <w:pPr>
      <w:jc w:val="both"/>
    </w:pPr>
    <w:rPr>
      <w:rFonts w:ascii="Times New Roman" w:eastAsia="Times New Roman" w:hAnsi="Times New Roman" w:cs="Times New Roman"/>
      <w:sz w:val="20"/>
      <w:szCs w:val="20"/>
    </w:rPr>
  </w:style>
  <w:style w:type="paragraph" w:customStyle="1" w:styleId="DefinitionTerm">
    <w:name w:val="Definition Term"/>
    <w:basedOn w:val="Normalny"/>
    <w:next w:val="Definition"/>
    <w:qFormat/>
    <w:pPr>
      <w:keepNext/>
      <w:keepLines/>
      <w:spacing w:after="0"/>
    </w:pPr>
    <w:rPr>
      <w:b/>
    </w:rPr>
  </w:style>
  <w:style w:type="paragraph" w:customStyle="1" w:styleId="Definition">
    <w:name w:val="Definition"/>
    <w:basedOn w:val="Normalny"/>
    <w:qFormat/>
  </w:style>
  <w:style w:type="paragraph" w:styleId="Legenda">
    <w:name w:val="caption"/>
    <w:basedOn w:val="Normalny"/>
    <w:qFormat/>
    <w:pPr>
      <w:spacing w:after="120"/>
    </w:pPr>
    <w:rPr>
      <w:i/>
    </w:rPr>
  </w:style>
  <w:style w:type="paragraph" w:customStyle="1" w:styleId="TableCaption">
    <w:name w:val="Table Caption"/>
    <w:basedOn w:val="Legenda"/>
    <w:qFormat/>
    <w:pPr>
      <w:keepNext/>
    </w:pPr>
  </w:style>
  <w:style w:type="paragraph" w:customStyle="1" w:styleId="ImageCaption">
    <w:name w:val="Image Caption"/>
    <w:basedOn w:val="Legenda"/>
    <w:qFormat/>
  </w:style>
  <w:style w:type="paragraph" w:customStyle="1" w:styleId="Figure">
    <w:name w:val="Figure"/>
    <w:basedOn w:val="Normalny"/>
    <w:qFormat/>
  </w:style>
  <w:style w:type="paragraph" w:customStyle="1" w:styleId="CaptionedFigure">
    <w:name w:val="Captioned Figure"/>
    <w:basedOn w:val="Figure"/>
    <w:qFormat/>
    <w:pPr>
      <w:keepNext/>
    </w:pPr>
  </w:style>
  <w:style w:type="paragraph" w:styleId="Nagwekspisutreci">
    <w:name w:val="TOC Heading"/>
    <w:basedOn w:val="Nagwek1"/>
    <w:next w:val="Tekstpodstawowy"/>
    <w:qFormat/>
    <w:pPr>
      <w:spacing w:before="240" w:line="259" w:lineRule="auto"/>
      <w:outlineLvl w:val="9"/>
    </w:pPr>
    <w:rPr>
      <w:b w:val="0"/>
      <w:bCs w:val="0"/>
      <w:color w:val="365F91"/>
    </w:rPr>
  </w:style>
  <w:style w:type="paragraph" w:customStyle="1" w:styleId="SourceCode">
    <w:name w:val="Source Code"/>
    <w:basedOn w:val="Normalny"/>
    <w:qFormat/>
  </w:style>
  <w:style w:type="paragraph" w:styleId="Stopka">
    <w:name w:val="footer"/>
    <w:basedOn w:val="Normalny"/>
    <w:qFormat/>
    <w:pPr>
      <w:tabs>
        <w:tab w:val="center" w:pos="4819"/>
        <w:tab w:val="right" w:pos="9638"/>
      </w:tabs>
      <w:spacing w:after="0"/>
    </w:pPr>
  </w:style>
  <w:style w:type="character" w:customStyle="1" w:styleId="BodyTextChar">
    <w:name w:val="Body Text Char"/>
    <w:basedOn w:val="Domylnaczcionkaakapitu"/>
  </w:style>
  <w:style w:type="character" w:customStyle="1" w:styleId="VerbatimChar">
    <w:name w:val="Verbatim Char"/>
    <w:basedOn w:val="BodyTextChar"/>
    <w:rPr>
      <w:rFonts w:ascii="Consolas" w:hAnsi="Consolas"/>
      <w:sz w:val="22"/>
    </w:rPr>
  </w:style>
  <w:style w:type="character" w:styleId="Odwoanieprzypisudolnego">
    <w:name w:val="footnote reference"/>
    <w:basedOn w:val="BodyTextChar"/>
    <w:rPr>
      <w:vertAlign w:val="superscript"/>
    </w:rPr>
  </w:style>
  <w:style w:type="character" w:styleId="Hipercze">
    <w:name w:val="Hyperlink"/>
    <w:basedOn w:val="BodyTextChar"/>
    <w:rPr>
      <w:color w:val="4F81BD"/>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customStyle="1" w:styleId="Tabellanormale">
    <w:name w:val="Tabella normale"/>
    <w:uiPriority w:val="99"/>
    <w:semiHidden/>
    <w:unhideWhenUsed/>
    <w:tblPr>
      <w:tblStyleRowBandSize w:val="1"/>
      <w:tblStyleColBandSize w:val="1"/>
      <w:tblInd w:w="0" w:type="dxa"/>
      <w:tblCellMar>
        <w:top w:w="0" w:type="dxa"/>
        <w:left w:w="108" w:type="dxa"/>
        <w:bottom w:w="0" w:type="dxa"/>
        <w:right w:w="108" w:type="dxa"/>
      </w:tblCellMar>
    </w:tblPr>
  </w:style>
  <w:style w:type="table" w:customStyle="1" w:styleId="Table">
    <w:name w:val="Table"/>
    <w:tblPr>
      <w:tblInd w:w="0" w:type="dxa"/>
      <w:tblCellMar>
        <w:top w:w="0" w:type="dxa"/>
        <w:left w:w="108" w:type="dxa"/>
        <w:bottom w:w="0" w:type="dxa"/>
        <w:right w:w="108" w:type="dxa"/>
      </w:tblCellMar>
    </w:tblPr>
  </w:style>
  <w:style w:type="paragraph" w:styleId="Bezodstpw">
    <w:name w:val="No Spacing"/>
    <w:uiPriority w:val="1"/>
    <w:qFormat/>
    <w:rsid w:val="006647D3"/>
    <w:pPr>
      <w:spacing w:after="0"/>
    </w:pPr>
  </w:style>
  <w:style w:type="paragraph" w:styleId="Nagwek">
    <w:name w:val="header"/>
    <w:basedOn w:val="Normalny"/>
    <w:link w:val="NagwekZnak"/>
    <w:uiPriority w:val="99"/>
    <w:rsid w:val="006647D3"/>
    <w:pPr>
      <w:tabs>
        <w:tab w:val="center" w:pos="4536"/>
        <w:tab w:val="right" w:pos="9072"/>
      </w:tabs>
      <w:spacing w:after="0"/>
    </w:pPr>
  </w:style>
  <w:style w:type="character" w:customStyle="1" w:styleId="NagwekZnak">
    <w:name w:val="Nagłówek Znak"/>
    <w:basedOn w:val="Domylnaczcionkaakapitu"/>
    <w:link w:val="Nagwek"/>
    <w:uiPriority w:val="99"/>
    <w:rsid w:val="00664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maspero@pusc.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6827-4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4479</Words>
  <Characters>26876</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Pallotti</dc:creator>
  <cp:lastModifiedBy>Pallotti</cp:lastModifiedBy>
  <cp:revision>2</cp:revision>
  <dcterms:created xsi:type="dcterms:W3CDTF">2026-03-30T13:49:00Z</dcterms:created>
  <dcterms:modified xsi:type="dcterms:W3CDTF">2026-03-30T13:49:00Z</dcterms:modified>
</cp:coreProperties>
</file>