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3914" w14:textId="434E63F0" w:rsidR="00F61E43" w:rsidRPr="00E276D9" w:rsidRDefault="00842F52" w:rsidP="00E276D9">
      <w:pPr>
        <w:rPr>
          <w:rFonts w:ascii="Times New Roman" w:hAnsi="Times New Roman" w:cs="Times New Roman"/>
          <w:lang w:val="en-US"/>
        </w:rPr>
      </w:pPr>
      <w:r w:rsidRPr="00842F52">
        <w:rPr>
          <w:rFonts w:ascii="Times New Roman" w:hAnsi="Times New Roman" w:cs="Times New Roman"/>
          <w:u w:val="single"/>
          <w:lang w:val="en-US"/>
        </w:rPr>
        <w:t>KS. LIBE</w:t>
      </w:r>
      <w:r w:rsidRPr="00842F52">
        <w:rPr>
          <w:rFonts w:ascii="Times New Roman" w:hAnsi="Times New Roman" w:cs="Times New Roman"/>
          <w:sz w:val="24"/>
          <w:szCs w:val="24"/>
          <w:u w:val="single"/>
          <w:lang w:val="en-US"/>
        </w:rPr>
        <w:t xml:space="preserve">RO GEROSA </w:t>
      </w:r>
      <w:r w:rsidRPr="00842F52">
        <w:rPr>
          <w:rFonts w:ascii="Times New Roman" w:hAnsi="Times New Roman" w:cs="Times New Roman"/>
          <w:sz w:val="24"/>
          <w:szCs w:val="24"/>
          <w:u w:val="single"/>
          <w:lang w:val="en-US"/>
        </w:rPr>
        <w:br/>
      </w:r>
      <w:r w:rsidR="00E276D9" w:rsidRPr="00E276D9">
        <w:rPr>
          <w:rFonts w:ascii="Times New Roman" w:hAnsi="Times New Roman" w:cs="Times New Roman"/>
          <w:sz w:val="24"/>
          <w:szCs w:val="24"/>
          <w:lang w:val="en-US"/>
        </w:rPr>
        <w:t>University of Italian</w:t>
      </w:r>
      <w:r w:rsidR="00E276D9">
        <w:rPr>
          <w:rFonts w:ascii="Times New Roman" w:hAnsi="Times New Roman" w:cs="Times New Roman"/>
          <w:sz w:val="24"/>
          <w:szCs w:val="24"/>
          <w:lang w:val="en-US"/>
        </w:rPr>
        <w:t>,</w:t>
      </w:r>
      <w:r w:rsidR="00E276D9" w:rsidRPr="00E276D9">
        <w:rPr>
          <w:rFonts w:ascii="Times New Roman" w:hAnsi="Times New Roman" w:cs="Times New Roman"/>
          <w:sz w:val="24"/>
          <w:szCs w:val="24"/>
          <w:lang w:val="en-US"/>
        </w:rPr>
        <w:t xml:space="preserve"> Switzerland</w:t>
      </w:r>
      <w:r w:rsidR="00E276D9" w:rsidRPr="00E276D9">
        <w:rPr>
          <w:rFonts w:ascii="Times New Roman" w:hAnsi="Times New Roman" w:cs="Times New Roman"/>
          <w:sz w:val="24"/>
          <w:szCs w:val="24"/>
          <w:lang w:val="en-US"/>
        </w:rPr>
        <w:br/>
        <w:t xml:space="preserve">e-mail: </w:t>
      </w:r>
      <w:hyperlink r:id="rId8" w:history="1">
        <w:r w:rsidR="00E276D9" w:rsidRPr="00E276D9">
          <w:rPr>
            <w:rStyle w:val="Hyperlink"/>
            <w:rFonts w:ascii="Times New Roman" w:hAnsi="Times New Roman" w:cs="Times New Roman"/>
            <w:color w:val="000000"/>
            <w:sz w:val="24"/>
            <w:szCs w:val="24"/>
            <w:u w:val="none"/>
            <w:bdr w:val="none" w:sz="0" w:space="0" w:color="auto" w:frame="1"/>
            <w:shd w:val="clear" w:color="auto" w:fill="FFFFFF"/>
            <w:lang w:val="en-US"/>
          </w:rPr>
          <w:t>libero.gerosa@usi.ch</w:t>
        </w:r>
      </w:hyperlink>
      <w:r w:rsidR="00E276D9" w:rsidRPr="00E276D9">
        <w:rPr>
          <w:rFonts w:ascii="Times New Roman" w:hAnsi="Times New Roman" w:cs="Times New Roman"/>
          <w:sz w:val="24"/>
          <w:szCs w:val="24"/>
          <w:lang w:val="en-US"/>
        </w:rPr>
        <w:br/>
        <w:t>DOI:</w:t>
      </w:r>
      <w:r w:rsidR="00B13AED">
        <w:rPr>
          <w:rFonts w:ascii="Times New Roman" w:hAnsi="Times New Roman" w:cs="Times New Roman"/>
          <w:sz w:val="24"/>
          <w:szCs w:val="24"/>
          <w:lang w:val="en-US"/>
        </w:rPr>
        <w:t xml:space="preserve"> </w:t>
      </w:r>
      <w:r w:rsidR="00B13AED" w:rsidRPr="00B13AED">
        <w:rPr>
          <w:rFonts w:ascii="Times New Roman" w:hAnsi="Times New Roman" w:cs="Times New Roman"/>
          <w:sz w:val="24"/>
          <w:szCs w:val="24"/>
          <w:lang w:val="en-US"/>
        </w:rPr>
        <w:t>10.48224/COM-230-2025-67</w:t>
      </w:r>
    </w:p>
    <w:p w14:paraId="5E6E8650" w14:textId="77777777" w:rsidR="00735037" w:rsidRDefault="00735037" w:rsidP="00735037">
      <w:pPr>
        <w:pStyle w:val="NoSpacing"/>
        <w:jc w:val="bot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735037" w14:paraId="5A160A71" w14:textId="77777777" w:rsidTr="00735037">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512380EE" w14:textId="77777777" w:rsidR="00735037" w:rsidRDefault="00735037">
            <w:pPr>
              <w:pStyle w:val="NoSpacing"/>
              <w:spacing w:line="276" w:lineRule="auto"/>
              <w:jc w:val="center"/>
              <w:rPr>
                <w:rFonts w:ascii="Times New Roman" w:hAnsi="Times New Roman" w:cs="Times New Roman"/>
                <w:sz w:val="20"/>
                <w:szCs w:val="20"/>
              </w:rPr>
            </w:pPr>
            <w:r>
              <w:rPr>
                <w:sz w:val="20"/>
                <w:szCs w:val="20"/>
                <w:lang w:val="en-US"/>
              </w:rPr>
              <w:br/>
            </w:r>
            <w:r>
              <w:rPr>
                <w:rFonts w:ascii="Times New Roman" w:hAnsi="Times New Roman" w:cs="Times New Roman"/>
                <w:sz w:val="20"/>
                <w:szCs w:val="20"/>
              </w:rPr>
              <w:t>Communio 45(2025)2, s. 2-2</w:t>
            </w:r>
          </w:p>
        </w:tc>
      </w:tr>
    </w:tbl>
    <w:p w14:paraId="1A9B850B" w14:textId="77777777" w:rsidR="00735037" w:rsidRDefault="00735037" w:rsidP="00735037">
      <w:pPr>
        <w:pStyle w:val="NoSpacing"/>
        <w:jc w:val="both"/>
        <w:rPr>
          <w:b/>
        </w:rPr>
      </w:pPr>
    </w:p>
    <w:p w14:paraId="5B4BB15D" w14:textId="77777777" w:rsidR="002D3368" w:rsidRPr="00842F52" w:rsidRDefault="002D3368" w:rsidP="001874FB">
      <w:pPr>
        <w:pStyle w:val="NormalWeb"/>
        <w:jc w:val="center"/>
        <w:rPr>
          <w:rStyle w:val="Strong"/>
          <w:bCs w:val="0"/>
          <w:sz w:val="28"/>
          <w:szCs w:val="28"/>
        </w:rPr>
      </w:pPr>
      <w:r w:rsidRPr="00842F52">
        <w:rPr>
          <w:rStyle w:val="Strong"/>
          <w:bCs w:val="0"/>
          <w:sz w:val="28"/>
          <w:szCs w:val="28"/>
        </w:rPr>
        <w:t>A</w:t>
      </w:r>
      <w:r w:rsidR="0058391C" w:rsidRPr="00842F52">
        <w:rPr>
          <w:rStyle w:val="Strong"/>
          <w:bCs w:val="0"/>
          <w:sz w:val="28"/>
          <w:szCs w:val="28"/>
        </w:rPr>
        <w:t>utentyczna synodalność</w:t>
      </w:r>
      <w:r w:rsidR="0058391C" w:rsidRPr="00842F52">
        <w:rPr>
          <w:bCs/>
          <w:sz w:val="28"/>
          <w:szCs w:val="28"/>
        </w:rPr>
        <w:br/>
      </w:r>
      <w:r w:rsidRPr="00842F52">
        <w:rPr>
          <w:rStyle w:val="Strong"/>
          <w:bCs w:val="0"/>
          <w:i/>
          <w:iCs/>
          <w:sz w:val="28"/>
          <w:szCs w:val="28"/>
        </w:rPr>
        <w:t>Cooperatio</w:t>
      </w:r>
      <w:r w:rsidR="0058391C" w:rsidRPr="00842F52">
        <w:rPr>
          <w:rStyle w:val="Strong"/>
          <w:bCs w:val="0"/>
          <w:sz w:val="28"/>
          <w:szCs w:val="28"/>
        </w:rPr>
        <w:t xml:space="preserve"> wszystkich wiernych w </w:t>
      </w:r>
      <w:r w:rsidR="0058391C" w:rsidRPr="00842F52">
        <w:rPr>
          <w:rStyle w:val="Strong"/>
          <w:bCs w:val="0"/>
          <w:i/>
          <w:iCs/>
          <w:sz w:val="28"/>
          <w:szCs w:val="28"/>
        </w:rPr>
        <w:t>exercitium</w:t>
      </w:r>
      <w:r w:rsidRPr="00842F52">
        <w:rPr>
          <w:rStyle w:val="Strong"/>
          <w:bCs w:val="0"/>
          <w:sz w:val="28"/>
          <w:szCs w:val="28"/>
        </w:rPr>
        <w:t xml:space="preserve"> władzy kierowania w Kościele</w:t>
      </w:r>
    </w:p>
    <w:p w14:paraId="01E029BC" w14:textId="77777777" w:rsidR="000F6417" w:rsidRPr="00842F52" w:rsidRDefault="000F6417" w:rsidP="000F6417">
      <w:pPr>
        <w:pStyle w:val="NormalWeb"/>
        <w:jc w:val="center"/>
        <w:rPr>
          <w:rStyle w:val="Strong"/>
          <w:bCs w:val="0"/>
          <w:sz w:val="28"/>
          <w:szCs w:val="28"/>
          <w:lang w:val="en-US"/>
        </w:rPr>
      </w:pPr>
      <w:r w:rsidRPr="00842F52">
        <w:rPr>
          <w:rStyle w:val="Strong"/>
          <w:bCs w:val="0"/>
          <w:sz w:val="28"/>
          <w:szCs w:val="28"/>
          <w:lang w:val="en-US"/>
        </w:rPr>
        <w:t>Authentic Synodality</w:t>
      </w:r>
      <w:r w:rsidRPr="00842F52">
        <w:rPr>
          <w:rStyle w:val="Strong"/>
          <w:bCs w:val="0"/>
          <w:sz w:val="28"/>
          <w:szCs w:val="28"/>
          <w:lang w:val="en-US"/>
        </w:rPr>
        <w:br/>
      </w:r>
      <w:r w:rsidRPr="00842F52">
        <w:rPr>
          <w:rStyle w:val="Strong"/>
          <w:bCs w:val="0"/>
          <w:i/>
          <w:iCs/>
          <w:sz w:val="28"/>
          <w:szCs w:val="28"/>
          <w:lang w:val="en-US"/>
        </w:rPr>
        <w:t>Cooperatio</w:t>
      </w:r>
      <w:r w:rsidRPr="00842F52">
        <w:rPr>
          <w:rStyle w:val="Strong"/>
          <w:bCs w:val="0"/>
          <w:sz w:val="28"/>
          <w:szCs w:val="28"/>
          <w:lang w:val="en-US"/>
        </w:rPr>
        <w:t xml:space="preserve"> of all the faithful in the </w:t>
      </w:r>
      <w:r w:rsidRPr="00842F52">
        <w:rPr>
          <w:rStyle w:val="Strong"/>
          <w:bCs w:val="0"/>
          <w:i/>
          <w:iCs/>
          <w:sz w:val="28"/>
          <w:szCs w:val="28"/>
          <w:lang w:val="en-US"/>
        </w:rPr>
        <w:t>exercitium</w:t>
      </w:r>
      <w:r w:rsidRPr="00842F52">
        <w:rPr>
          <w:rStyle w:val="Strong"/>
          <w:bCs w:val="0"/>
          <w:sz w:val="28"/>
          <w:szCs w:val="28"/>
          <w:lang w:val="en-US"/>
        </w:rPr>
        <w:t xml:space="preserve"> of governing power in the Church</w:t>
      </w:r>
    </w:p>
    <w:p w14:paraId="0FADC8D2" w14:textId="77777777" w:rsidR="000F6417" w:rsidRPr="000F6417" w:rsidRDefault="000F6417" w:rsidP="000F6417">
      <w:pPr>
        <w:pStyle w:val="NormalWeb"/>
        <w:ind w:firstLine="708"/>
        <w:jc w:val="both"/>
        <w:rPr>
          <w:rStyle w:val="Strong"/>
          <w:b w:val="0"/>
          <w:lang w:val="en-US"/>
        </w:rPr>
      </w:pPr>
    </w:p>
    <w:p w14:paraId="18FDEA9F" w14:textId="77777777" w:rsidR="000F6417" w:rsidRPr="000F6417" w:rsidRDefault="000F6417" w:rsidP="000F6417">
      <w:pPr>
        <w:pStyle w:val="NoSpacing"/>
        <w:jc w:val="center"/>
        <w:rPr>
          <w:rStyle w:val="Strong"/>
          <w:rFonts w:ascii="Times New Roman" w:hAnsi="Times New Roman" w:cs="Times New Roman"/>
          <w:bCs w:val="0"/>
          <w:sz w:val="20"/>
          <w:szCs w:val="20"/>
          <w:lang w:val="en-US"/>
        </w:rPr>
      </w:pPr>
      <w:r w:rsidRPr="000F6417">
        <w:rPr>
          <w:rStyle w:val="Strong"/>
          <w:rFonts w:ascii="Times New Roman" w:hAnsi="Times New Roman" w:cs="Times New Roman"/>
          <w:bCs w:val="0"/>
          <w:sz w:val="20"/>
          <w:szCs w:val="20"/>
          <w:lang w:val="en-US"/>
        </w:rPr>
        <w:t>Abstract</w:t>
      </w:r>
    </w:p>
    <w:p w14:paraId="601EA76F" w14:textId="77777777" w:rsidR="000F6417" w:rsidRPr="000F6417" w:rsidRDefault="000F6417" w:rsidP="000F6417">
      <w:pPr>
        <w:pStyle w:val="NoSpacing"/>
        <w:jc w:val="both"/>
        <w:rPr>
          <w:rStyle w:val="Strong"/>
          <w:rFonts w:ascii="Times New Roman" w:hAnsi="Times New Roman" w:cs="Times New Roman"/>
          <w:b w:val="0"/>
          <w:sz w:val="20"/>
          <w:szCs w:val="20"/>
          <w:lang w:val="en-US"/>
        </w:rPr>
      </w:pPr>
      <w:r w:rsidRPr="000F6417">
        <w:rPr>
          <w:rStyle w:val="Strong"/>
          <w:rFonts w:ascii="Times New Roman" w:hAnsi="Times New Roman" w:cs="Times New Roman"/>
          <w:b w:val="0"/>
          <w:sz w:val="20"/>
          <w:szCs w:val="20"/>
          <w:lang w:val="en-US"/>
        </w:rPr>
        <w:t>"Synodality" is a topic that frequently arises in discussions following the Second Vatican Council, yet it is also a delicate and complex issue. Many people talk about synodality, but not everyone understands its true meaning and theological foundations. As a result, instead of genuinely "walking together," we often fall into unproductive conversations. To avoid this trap, which can lead to confusion, it is worthwhile to return to the authority of the teaching of the Second Vatican Council regarding power in the Church.</w:t>
      </w:r>
    </w:p>
    <w:p w14:paraId="130A26B7" w14:textId="77777777" w:rsidR="000F6417" w:rsidRPr="000F6417" w:rsidRDefault="000F6417" w:rsidP="000F6417">
      <w:pPr>
        <w:pStyle w:val="NormalWeb"/>
        <w:jc w:val="both"/>
        <w:rPr>
          <w:rStyle w:val="Strong"/>
          <w:b w:val="0"/>
          <w:sz w:val="20"/>
          <w:szCs w:val="20"/>
          <w:lang w:val="en-US"/>
        </w:rPr>
      </w:pPr>
      <w:r w:rsidRPr="000F6417">
        <w:rPr>
          <w:rStyle w:val="Strong"/>
          <w:bCs w:val="0"/>
          <w:sz w:val="20"/>
          <w:szCs w:val="20"/>
          <w:lang w:val="en-US"/>
        </w:rPr>
        <w:t>Keywords:</w:t>
      </w:r>
      <w:r w:rsidRPr="000F6417">
        <w:rPr>
          <w:rStyle w:val="Strong"/>
          <w:b w:val="0"/>
          <w:sz w:val="20"/>
          <w:szCs w:val="20"/>
          <w:lang w:val="en-US"/>
        </w:rPr>
        <w:t xml:space="preserve"> Synodality – Church – authority – Second Vatican Council – sacra potestas</w:t>
      </w:r>
    </w:p>
    <w:p w14:paraId="077C08B6" w14:textId="77777777" w:rsidR="000F6417" w:rsidRPr="000F6417" w:rsidRDefault="000F6417" w:rsidP="000F6417">
      <w:pPr>
        <w:pStyle w:val="NoSpacing"/>
        <w:jc w:val="center"/>
        <w:rPr>
          <w:rStyle w:val="Strong"/>
          <w:rFonts w:ascii="Times New Roman" w:hAnsi="Times New Roman" w:cs="Times New Roman"/>
          <w:bCs w:val="0"/>
          <w:sz w:val="20"/>
          <w:szCs w:val="20"/>
        </w:rPr>
      </w:pPr>
      <w:r w:rsidRPr="000F6417">
        <w:rPr>
          <w:rStyle w:val="Strong"/>
          <w:rFonts w:ascii="Times New Roman" w:hAnsi="Times New Roman" w:cs="Times New Roman"/>
          <w:bCs w:val="0"/>
          <w:sz w:val="20"/>
          <w:szCs w:val="20"/>
        </w:rPr>
        <w:t>Streszczenie</w:t>
      </w:r>
    </w:p>
    <w:p w14:paraId="3C66D382" w14:textId="77777777" w:rsidR="000F6417" w:rsidRPr="000F6417" w:rsidRDefault="000F6417" w:rsidP="000F6417">
      <w:pPr>
        <w:pStyle w:val="NoSpacing"/>
        <w:jc w:val="both"/>
        <w:rPr>
          <w:rStyle w:val="Strong"/>
          <w:rFonts w:ascii="Times New Roman" w:hAnsi="Times New Roman" w:cs="Times New Roman"/>
          <w:b w:val="0"/>
          <w:sz w:val="20"/>
          <w:szCs w:val="20"/>
        </w:rPr>
      </w:pPr>
      <w:r w:rsidRPr="000F6417">
        <w:rPr>
          <w:rStyle w:val="Strong"/>
          <w:rFonts w:ascii="Times New Roman" w:hAnsi="Times New Roman" w:cs="Times New Roman"/>
          <w:b w:val="0"/>
          <w:sz w:val="20"/>
          <w:szCs w:val="20"/>
        </w:rPr>
        <w:t>„Synodalność” to temat, który pojawia się bardzo często w dyskusjach po II Soborze Watykańskim, ale jest to jednocześnie zagadnienie delikatne i złożone. Wiele osób mówi o synodalności, jednak nie każdy rozumie jej prawdziwe znaczenie oraz teologiczne fundamenty. Z tego powodu</w:t>
      </w:r>
      <w:r w:rsidR="00C43494">
        <w:rPr>
          <w:rStyle w:val="Strong"/>
          <w:rFonts w:ascii="Times New Roman" w:hAnsi="Times New Roman" w:cs="Times New Roman"/>
          <w:b w:val="0"/>
          <w:sz w:val="20"/>
          <w:szCs w:val="20"/>
        </w:rPr>
        <w:t>,</w:t>
      </w:r>
      <w:r w:rsidRPr="000F6417">
        <w:rPr>
          <w:rStyle w:val="Strong"/>
          <w:rFonts w:ascii="Times New Roman" w:hAnsi="Times New Roman" w:cs="Times New Roman"/>
          <w:b w:val="0"/>
          <w:sz w:val="20"/>
          <w:szCs w:val="20"/>
        </w:rPr>
        <w:t xml:space="preserve"> zamiast autentycznie „iść razem”, często wpada się w mało konstruktywne rozmowy. Aby uniknąć tego </w:t>
      </w:r>
      <w:r w:rsidR="0072737C">
        <w:rPr>
          <w:rStyle w:val="Strong"/>
          <w:rFonts w:ascii="Times New Roman" w:hAnsi="Times New Roman" w:cs="Times New Roman"/>
          <w:b w:val="0"/>
          <w:sz w:val="20"/>
          <w:szCs w:val="20"/>
        </w:rPr>
        <w:t xml:space="preserve">rodzaju </w:t>
      </w:r>
      <w:r w:rsidRPr="000F6417">
        <w:rPr>
          <w:rStyle w:val="Strong"/>
          <w:rFonts w:ascii="Times New Roman" w:hAnsi="Times New Roman" w:cs="Times New Roman"/>
          <w:b w:val="0"/>
          <w:sz w:val="20"/>
          <w:szCs w:val="20"/>
        </w:rPr>
        <w:t>pułapki, która może prowadzić do zamieszania, warto wrócić do autorytetu nauczania II Soboru Watykańskiego na temat władzy w Kościele.</w:t>
      </w:r>
    </w:p>
    <w:p w14:paraId="4FCCEE34" w14:textId="77777777" w:rsidR="000F6417" w:rsidRPr="000F6417" w:rsidRDefault="000F6417" w:rsidP="000F6417">
      <w:pPr>
        <w:pStyle w:val="NoSpacing"/>
        <w:rPr>
          <w:rStyle w:val="Strong"/>
          <w:rFonts w:ascii="Times New Roman" w:hAnsi="Times New Roman" w:cs="Times New Roman"/>
          <w:b w:val="0"/>
          <w:sz w:val="20"/>
          <w:szCs w:val="20"/>
        </w:rPr>
      </w:pPr>
    </w:p>
    <w:p w14:paraId="03DB21C7" w14:textId="77777777" w:rsidR="000F6417" w:rsidRPr="000F6417" w:rsidRDefault="000F6417" w:rsidP="000F6417">
      <w:pPr>
        <w:pStyle w:val="NoSpacing"/>
        <w:rPr>
          <w:rStyle w:val="Strong"/>
          <w:rFonts w:ascii="Times New Roman" w:hAnsi="Times New Roman" w:cs="Times New Roman"/>
          <w:b w:val="0"/>
          <w:sz w:val="20"/>
          <w:szCs w:val="20"/>
        </w:rPr>
      </w:pPr>
      <w:r w:rsidRPr="000F6417">
        <w:rPr>
          <w:rStyle w:val="Strong"/>
          <w:rFonts w:ascii="Times New Roman" w:hAnsi="Times New Roman" w:cs="Times New Roman"/>
          <w:bCs w:val="0"/>
          <w:sz w:val="20"/>
          <w:szCs w:val="20"/>
        </w:rPr>
        <w:t>Słowa kluczowe:</w:t>
      </w:r>
      <w:r w:rsidRPr="000F6417">
        <w:rPr>
          <w:rStyle w:val="Strong"/>
          <w:rFonts w:ascii="Times New Roman" w:hAnsi="Times New Roman" w:cs="Times New Roman"/>
          <w:b w:val="0"/>
          <w:sz w:val="20"/>
          <w:szCs w:val="20"/>
        </w:rPr>
        <w:t xml:space="preserve"> Synodalność – Kościół – autorytet – II Sobór Watykański - </w:t>
      </w:r>
      <w:r w:rsidRPr="000F6417">
        <w:rPr>
          <w:rStyle w:val="Strong"/>
          <w:rFonts w:ascii="Times New Roman" w:hAnsi="Times New Roman" w:cs="Times New Roman"/>
          <w:b w:val="0"/>
          <w:i/>
          <w:sz w:val="20"/>
          <w:szCs w:val="20"/>
        </w:rPr>
        <w:t>sacra potestas</w:t>
      </w:r>
    </w:p>
    <w:p w14:paraId="08AB7D74" w14:textId="77777777" w:rsidR="000F6417" w:rsidRDefault="000F6417" w:rsidP="0058391C">
      <w:pPr>
        <w:pStyle w:val="NormalWeb"/>
        <w:ind w:firstLine="708"/>
        <w:jc w:val="both"/>
        <w:rPr>
          <w:rStyle w:val="Strong"/>
          <w:b w:val="0"/>
        </w:rPr>
      </w:pPr>
    </w:p>
    <w:p w14:paraId="35F87A6C" w14:textId="77777777" w:rsidR="002D3368" w:rsidRDefault="0058391C" w:rsidP="0058391C">
      <w:pPr>
        <w:pStyle w:val="NormalWeb"/>
        <w:ind w:firstLine="708"/>
        <w:jc w:val="both"/>
      </w:pPr>
      <w:r w:rsidRPr="001874FB">
        <w:rPr>
          <w:rStyle w:val="Strong"/>
          <w:b w:val="0"/>
        </w:rPr>
        <w:t xml:space="preserve"> </w:t>
      </w:r>
      <w:r w:rsidR="002D3368" w:rsidRPr="001874FB">
        <w:rPr>
          <w:rStyle w:val="Strong"/>
          <w:b w:val="0"/>
        </w:rPr>
        <w:t>„Synodalność”</w:t>
      </w:r>
      <w:r w:rsidR="002D3368">
        <w:t xml:space="preserve"> jest jednym z najczęściej powracających, najbardziej delikatnych i złożonych tematów okresu po soborze. Wszyscy o niej mówią, ale nie każdy zna jej właściwe znaczenie oraz teologiczne podstawy. Zamiast więc rzeczywiście </w:t>
      </w:r>
      <w:r w:rsidR="002D3368" w:rsidRPr="001874FB">
        <w:rPr>
          <w:rStyle w:val="Strong"/>
          <w:b w:val="0"/>
        </w:rPr>
        <w:t>„iść razem”</w:t>
      </w:r>
      <w:r w:rsidR="002D3368" w:rsidRPr="001874FB">
        <w:rPr>
          <w:rStyle w:val="FootnoteReference"/>
          <w:bCs/>
        </w:rPr>
        <w:footnoteReference w:id="1"/>
      </w:r>
      <w:r w:rsidR="002D3368" w:rsidRPr="001874FB">
        <w:rPr>
          <w:b/>
        </w:rPr>
        <w:t>,</w:t>
      </w:r>
      <w:r w:rsidR="002D3368">
        <w:t xml:space="preserve"> często popada się w mało konstruktywne </w:t>
      </w:r>
      <w:r w:rsidR="002D3368" w:rsidRPr="001874FB">
        <w:rPr>
          <w:rStyle w:val="Strong"/>
          <w:b w:val="0"/>
        </w:rPr>
        <w:t>„gadanie”</w:t>
      </w:r>
      <w:r w:rsidR="002D3368" w:rsidRPr="001874FB">
        <w:rPr>
          <w:b/>
        </w:rPr>
        <w:t>.</w:t>
      </w:r>
      <w:r w:rsidR="002D3368">
        <w:t xml:space="preserve"> Aby uniknąć tego ukrytego zagrożenia, które jest stale </w:t>
      </w:r>
      <w:r w:rsidR="002D3368">
        <w:lastRenderedPageBreak/>
        <w:t>obecne, oraz wynikającego z niego zamieszania, konie</w:t>
      </w:r>
      <w:r w:rsidR="000F6417">
        <w:t>czne jest wyjście od nauczania II S</w:t>
      </w:r>
      <w:r w:rsidR="002D3368">
        <w:t xml:space="preserve">oboru </w:t>
      </w:r>
      <w:r w:rsidR="000F6417">
        <w:t xml:space="preserve">Watykańskiego </w:t>
      </w:r>
      <w:r w:rsidR="002D3368">
        <w:t xml:space="preserve">dotyczącego </w:t>
      </w:r>
      <w:r w:rsidR="002D3368" w:rsidRPr="001874FB">
        <w:rPr>
          <w:rStyle w:val="Strong"/>
          <w:b w:val="0"/>
        </w:rPr>
        <w:t>władzy w Kościele</w:t>
      </w:r>
      <w:r w:rsidR="002D3368" w:rsidRPr="001874FB">
        <w:rPr>
          <w:rStyle w:val="FootnoteReference"/>
          <w:bCs/>
        </w:rPr>
        <w:footnoteReference w:id="2"/>
      </w:r>
      <w:r w:rsidR="002D3368" w:rsidRPr="001874FB">
        <w:rPr>
          <w:b/>
        </w:rPr>
        <w:t>.</w:t>
      </w:r>
    </w:p>
    <w:p w14:paraId="187D4C51" w14:textId="77777777" w:rsidR="002D3368" w:rsidRPr="0058391C" w:rsidRDefault="002D3368" w:rsidP="0058391C">
      <w:pPr>
        <w:pStyle w:val="NormalWeb"/>
        <w:spacing w:before="0" w:beforeAutospacing="0" w:after="0" w:afterAutospacing="0"/>
        <w:ind w:left="709"/>
        <w:rPr>
          <w:bCs/>
          <w:iCs/>
        </w:rPr>
      </w:pPr>
      <w:r w:rsidRPr="0058391C">
        <w:rPr>
          <w:rStyle w:val="Strong"/>
          <w:bCs w:val="0"/>
          <w:iCs/>
        </w:rPr>
        <w:t>1.Władza kierowania i wspólnota w Kościele</w:t>
      </w:r>
    </w:p>
    <w:p w14:paraId="19E5730E" w14:textId="77777777" w:rsidR="002D3368" w:rsidRPr="0058391C" w:rsidRDefault="002D3368" w:rsidP="0058391C">
      <w:pPr>
        <w:pStyle w:val="NormalWeb"/>
        <w:spacing w:before="0" w:beforeAutospacing="0" w:after="0" w:afterAutospacing="0"/>
        <w:ind w:left="709"/>
        <w:rPr>
          <w:bCs/>
          <w:iCs/>
        </w:rPr>
      </w:pPr>
      <w:r w:rsidRPr="0058391C">
        <w:rPr>
          <w:rStyle w:val="Strong"/>
          <w:bCs w:val="0"/>
          <w:iCs/>
        </w:rPr>
        <w:t>1.1 Naucz</w:t>
      </w:r>
      <w:r w:rsidR="000F6417">
        <w:rPr>
          <w:rStyle w:val="Strong"/>
          <w:bCs w:val="0"/>
          <w:iCs/>
        </w:rPr>
        <w:t xml:space="preserve">anie II Soboru Watykańskiego o </w:t>
      </w:r>
      <w:r w:rsidRPr="000F6417">
        <w:rPr>
          <w:rStyle w:val="Strong"/>
          <w:bCs w:val="0"/>
          <w:i/>
        </w:rPr>
        <w:t>sacra potestas</w:t>
      </w:r>
      <w:r w:rsidRPr="0058391C">
        <w:rPr>
          <w:rStyle w:val="Strong"/>
          <w:bCs w:val="0"/>
          <w:iCs/>
        </w:rPr>
        <w:t xml:space="preserve"> we wspólnocie</w:t>
      </w:r>
    </w:p>
    <w:p w14:paraId="127B9956" w14:textId="77777777" w:rsidR="002D3368" w:rsidRDefault="002D3368" w:rsidP="002D3368">
      <w:pPr>
        <w:spacing w:after="0"/>
        <w:jc w:val="both"/>
      </w:pPr>
    </w:p>
    <w:p w14:paraId="2AB62307" w14:textId="77777777" w:rsidR="00E30C39" w:rsidRPr="0058391C" w:rsidRDefault="002D3368" w:rsidP="0058391C">
      <w:pPr>
        <w:pStyle w:val="NormalWeb"/>
        <w:spacing w:before="0" w:beforeAutospacing="0" w:after="0" w:afterAutospacing="0"/>
        <w:ind w:firstLine="708"/>
        <w:jc w:val="both"/>
      </w:pPr>
      <w:r>
        <w:t xml:space="preserve">W tekstach soborowych termin </w:t>
      </w:r>
      <w:r w:rsidRPr="0058391C">
        <w:rPr>
          <w:rStyle w:val="Strong"/>
          <w:b w:val="0"/>
          <w:i/>
          <w:iCs/>
        </w:rPr>
        <w:t>potestas</w:t>
      </w:r>
      <w:r>
        <w:t xml:space="preserve"> pojawia się nie mniej niż </w:t>
      </w:r>
      <w:r w:rsidRPr="001874FB">
        <w:rPr>
          <w:rStyle w:val="Strong"/>
          <w:b w:val="0"/>
        </w:rPr>
        <w:t>83 razy</w:t>
      </w:r>
      <w:r>
        <w:t xml:space="preserve">: w </w:t>
      </w:r>
      <w:r w:rsidRPr="001874FB">
        <w:rPr>
          <w:rStyle w:val="Strong"/>
          <w:b w:val="0"/>
        </w:rPr>
        <w:t>38 miejscach</w:t>
      </w:r>
      <w:r>
        <w:t xml:space="preserve"> opisuje władzę w społeczeństwie ludzkim, natomiast </w:t>
      </w:r>
      <w:r w:rsidRPr="001874FB">
        <w:rPr>
          <w:rStyle w:val="Strong"/>
          <w:b w:val="0"/>
        </w:rPr>
        <w:t>45 razy</w:t>
      </w:r>
      <w:r>
        <w:t xml:space="preserve"> wyraża coś odnoszącego się do Boga i Jego ludu. W tym drugim znaczeniu staje się jasne, że chodzi o </w:t>
      </w:r>
      <w:r w:rsidRPr="001874FB">
        <w:rPr>
          <w:rStyle w:val="Strong"/>
          <w:b w:val="0"/>
        </w:rPr>
        <w:t>władzę (pełnomocnictwo)</w:t>
      </w:r>
      <w:r>
        <w:t xml:space="preserve"> rozumianą jako </w:t>
      </w:r>
      <w:r w:rsidRPr="001874FB">
        <w:rPr>
          <w:rStyle w:val="Strong"/>
          <w:b w:val="0"/>
        </w:rPr>
        <w:t>udział we władzy Jezusa Chrystusa</w:t>
      </w:r>
      <w:r>
        <w:t xml:space="preserve">, a tym samym jako </w:t>
      </w:r>
      <w:r w:rsidRPr="001874FB">
        <w:rPr>
          <w:rStyle w:val="Strong"/>
          <w:b w:val="0"/>
        </w:rPr>
        <w:t>służbę całemu Ludowi Bożemu, którym jest Kościół</w:t>
      </w:r>
      <w:r w:rsidRPr="001874FB">
        <w:rPr>
          <w:rStyle w:val="FootnoteReference"/>
          <w:bCs/>
        </w:rPr>
        <w:footnoteReference w:id="3"/>
      </w:r>
      <w:r w:rsidRPr="001874FB">
        <w:rPr>
          <w:b/>
        </w:rPr>
        <w:t>.</w:t>
      </w:r>
      <w:r>
        <w:t xml:space="preserve"> Aby podkreślić szczególny charakter tej władzy biskupów i kapłanów, ojcowie soborowi określają ją jako </w:t>
      </w:r>
      <w:r w:rsidR="0058391C" w:rsidRPr="0058391C">
        <w:rPr>
          <w:rStyle w:val="Strong"/>
          <w:b w:val="0"/>
          <w:i/>
          <w:iCs/>
        </w:rPr>
        <w:t>sacra</w:t>
      </w:r>
      <w:r>
        <w:t xml:space="preserve"> (świętą) lub </w:t>
      </w:r>
      <w:r w:rsidR="0058391C" w:rsidRPr="0058391C">
        <w:rPr>
          <w:rStyle w:val="Strong"/>
          <w:b w:val="0"/>
          <w:i/>
          <w:iCs/>
        </w:rPr>
        <w:t>spirituale</w:t>
      </w:r>
      <w:r w:rsidRPr="001874FB">
        <w:rPr>
          <w:b/>
        </w:rPr>
        <w:t xml:space="preserve"> </w:t>
      </w:r>
      <w:r>
        <w:t xml:space="preserve">(duchową) i zwykle używają wyrażenia </w:t>
      </w:r>
      <w:r w:rsidRPr="00057D75">
        <w:rPr>
          <w:rStyle w:val="Strong"/>
          <w:b w:val="0"/>
          <w:i/>
        </w:rPr>
        <w:t>sacra potestas</w:t>
      </w:r>
      <w:r w:rsidRPr="001874FB">
        <w:rPr>
          <w:rStyle w:val="FootnoteReference"/>
          <w:bCs/>
        </w:rPr>
        <w:footnoteReference w:id="4"/>
      </w:r>
      <w:r w:rsidRPr="001874FB">
        <w:t>,</w:t>
      </w:r>
      <w:r>
        <w:t xml:space="preserve"> czasem także </w:t>
      </w:r>
      <w:r w:rsidRPr="0058391C">
        <w:rPr>
          <w:rStyle w:val="Strong"/>
          <w:b w:val="0"/>
          <w:i/>
          <w:iCs/>
        </w:rPr>
        <w:t>potestas</w:t>
      </w:r>
      <w:r w:rsidRPr="0058391C">
        <w:rPr>
          <w:rStyle w:val="Strong"/>
          <w:i/>
          <w:iCs/>
        </w:rPr>
        <w:t xml:space="preserve"> </w:t>
      </w:r>
      <w:r w:rsidRPr="0058391C">
        <w:rPr>
          <w:rStyle w:val="Strong"/>
          <w:b w:val="0"/>
          <w:i/>
          <w:iCs/>
        </w:rPr>
        <w:t>spiritualis</w:t>
      </w:r>
      <w:r w:rsidRPr="0058391C">
        <w:rPr>
          <w:rStyle w:val="FootnoteReference"/>
        </w:rPr>
        <w:footnoteReference w:id="5"/>
      </w:r>
      <w:r>
        <w:t xml:space="preserve">. Jest ona sprawowana </w:t>
      </w:r>
      <w:r w:rsidRPr="001874FB">
        <w:rPr>
          <w:rStyle w:val="Strong"/>
          <w:b w:val="0"/>
        </w:rPr>
        <w:t>w imieniu Chrystusa i Kościoła</w:t>
      </w:r>
      <w:r w:rsidRPr="001874FB">
        <w:rPr>
          <w:b/>
        </w:rPr>
        <w:t xml:space="preserve">, </w:t>
      </w:r>
      <w:r w:rsidRPr="001874FB">
        <w:rPr>
          <w:rStyle w:val="Strong"/>
          <w:b w:val="0"/>
        </w:rPr>
        <w:t>„w hierarchicznej komunii z głową i członkami kolegium”</w:t>
      </w:r>
      <w:r>
        <w:t xml:space="preserve"> (LG 21,2), aby </w:t>
      </w:r>
      <w:r w:rsidRPr="001874FB">
        <w:rPr>
          <w:rStyle w:val="Strong"/>
          <w:b w:val="0"/>
        </w:rPr>
        <w:t>wszyscy należący do Ludu Bożego — a więc cieszący się prawdziwą godnością chrześcijanina — mogli w sposób wolny i uporządkowany dążyć do tego samego celu i w ten sposób osiągnąć zbawienie</w:t>
      </w:r>
      <w:r w:rsidRPr="001874FB">
        <w:rPr>
          <w:b/>
        </w:rPr>
        <w:t xml:space="preserve"> </w:t>
      </w:r>
      <w:r>
        <w:t xml:space="preserve">(LG 18,1). Decydujące jest jednak nie tylko na poziomie terminologicznym, ale także koncepcyjnym to, że </w:t>
      </w:r>
      <w:r w:rsidRPr="001874FB">
        <w:rPr>
          <w:rStyle w:val="Strong"/>
          <w:b w:val="0"/>
        </w:rPr>
        <w:t xml:space="preserve">tradycyjne rozróżnienie między </w:t>
      </w:r>
      <w:r w:rsidRPr="001874FB">
        <w:rPr>
          <w:rStyle w:val="Emphasis"/>
          <w:bCs/>
        </w:rPr>
        <w:t>potestas ordinis</w:t>
      </w:r>
      <w:r w:rsidRPr="001874FB">
        <w:rPr>
          <w:rStyle w:val="Strong"/>
        </w:rPr>
        <w:t xml:space="preserve"> </w:t>
      </w:r>
      <w:r w:rsidRPr="001874FB">
        <w:rPr>
          <w:rStyle w:val="Strong"/>
          <w:b w:val="0"/>
        </w:rPr>
        <w:t>a</w:t>
      </w:r>
      <w:r w:rsidRPr="001874FB">
        <w:rPr>
          <w:rStyle w:val="Strong"/>
        </w:rPr>
        <w:t xml:space="preserve"> </w:t>
      </w:r>
      <w:r w:rsidRPr="001874FB">
        <w:rPr>
          <w:rStyle w:val="Emphasis"/>
          <w:bCs/>
        </w:rPr>
        <w:t>potestas iurisdictionis</w:t>
      </w:r>
      <w:r w:rsidRPr="001874FB">
        <w:rPr>
          <w:rStyle w:val="Strong"/>
        </w:rPr>
        <w:t xml:space="preserve"> </w:t>
      </w:r>
      <w:r w:rsidRPr="001874FB">
        <w:rPr>
          <w:rStyle w:val="Strong"/>
          <w:b w:val="0"/>
        </w:rPr>
        <w:t>nie zostało użyte w żadnym tekście soborowym</w:t>
      </w:r>
      <w:r w:rsidRPr="0058391C">
        <w:rPr>
          <w:rStyle w:val="FootnoteReference"/>
        </w:rPr>
        <w:footnoteReference w:id="6"/>
      </w:r>
      <w:r w:rsidRPr="0058391C">
        <w:t>.</w:t>
      </w:r>
    </w:p>
    <w:p w14:paraId="286A9285" w14:textId="77777777" w:rsidR="001B618C" w:rsidRDefault="00E30C39" w:rsidP="001B618C">
      <w:pPr>
        <w:pStyle w:val="NormalWeb"/>
        <w:spacing w:before="0" w:beforeAutospacing="0" w:after="0" w:afterAutospacing="0"/>
        <w:ind w:firstLine="708"/>
        <w:jc w:val="both"/>
      </w:pPr>
      <w:r>
        <w:t xml:space="preserve">Fakt ten — niezależnie od wszelkich interpretacji teologicznych i prawnych — jasno pokazuje, że ojcowie II Soboru Watykańskiego posługują się jednolitym rozumieniem </w:t>
      </w:r>
      <w:r>
        <w:rPr>
          <w:rStyle w:val="Emphasis"/>
        </w:rPr>
        <w:t>sacra potestas</w:t>
      </w:r>
      <w:r>
        <w:t>. Ich nacisk na jedność i oryginalność tej świętej władzy ukazuje, że byli świadomi stale istniejącego zagrożenia popadnięcia w niebezpieczne i niedopuszczalne rozdzielenie między władzą święceń a władzą rządzenia, jak gdyby pierwsza miała charakter magiczny, a druga czysto świecki</w:t>
      </w:r>
      <w:r>
        <w:rPr>
          <w:rStyle w:val="FootnoteReference"/>
        </w:rPr>
        <w:footnoteReference w:id="7"/>
      </w:r>
      <w:r>
        <w:t>.</w:t>
      </w:r>
      <w:r w:rsidR="001B618C">
        <w:t xml:space="preserve"> To jednolite rozumienie </w:t>
      </w:r>
      <w:r w:rsidR="001B618C">
        <w:rPr>
          <w:rStyle w:val="Emphasis"/>
        </w:rPr>
        <w:t>sacra potestas</w:t>
      </w:r>
      <w:r w:rsidR="001B618C">
        <w:t xml:space="preserve"> w nauczaniu II Soboru </w:t>
      </w:r>
      <w:r w:rsidR="001B618C">
        <w:lastRenderedPageBreak/>
        <w:t>Watykańskiego opiera się na dwóch podstawowych zasadach: sakramentalnym pochodzeniu władzy kościelnej oraz nierozdzielności jej wymiaru osobowego i synodalnego. Obie zasady podkreślają oryginalność tej władzy, która różni się od każdej innej formy władzy i określa zarówno jej różne funkcje, jak i różne sposoby jej wykonywania.</w:t>
      </w:r>
    </w:p>
    <w:p w14:paraId="1B83BD07" w14:textId="77777777" w:rsidR="001B618C" w:rsidRDefault="001B618C" w:rsidP="001B618C">
      <w:pPr>
        <w:pStyle w:val="NormalWeb"/>
        <w:spacing w:before="0" w:beforeAutospacing="0" w:after="0" w:afterAutospacing="0"/>
        <w:ind w:firstLine="708"/>
        <w:jc w:val="both"/>
      </w:pPr>
    </w:p>
    <w:p w14:paraId="27F77EAD" w14:textId="77777777" w:rsidR="00E75EBE" w:rsidRDefault="00E75EBE" w:rsidP="001B618C">
      <w:pPr>
        <w:pStyle w:val="NormalWeb"/>
        <w:spacing w:before="0" w:beforeAutospacing="0" w:after="0" w:afterAutospacing="0"/>
        <w:ind w:firstLine="708"/>
        <w:jc w:val="both"/>
      </w:pPr>
    </w:p>
    <w:p w14:paraId="5CC3711D" w14:textId="77777777" w:rsidR="00E75EBE" w:rsidRPr="0058391C" w:rsidRDefault="00E75EBE" w:rsidP="0058391C">
      <w:pPr>
        <w:pStyle w:val="NormalWeb"/>
        <w:spacing w:before="0" w:beforeAutospacing="0" w:after="0" w:afterAutospacing="0"/>
        <w:ind w:firstLine="708"/>
        <w:jc w:val="both"/>
        <w:rPr>
          <w:b/>
          <w:bCs/>
          <w:iCs/>
        </w:rPr>
      </w:pPr>
      <w:r w:rsidRPr="0058391C">
        <w:rPr>
          <w:b/>
          <w:bCs/>
          <w:iCs/>
        </w:rPr>
        <w:t>1.2 Sprzeczna r</w:t>
      </w:r>
      <w:r w:rsidR="0058391C">
        <w:rPr>
          <w:b/>
          <w:bCs/>
          <w:iCs/>
        </w:rPr>
        <w:t xml:space="preserve">ecepcja jednolitego rozumienia </w:t>
      </w:r>
      <w:r w:rsidRPr="0058391C">
        <w:rPr>
          <w:b/>
          <w:bCs/>
          <w:i/>
        </w:rPr>
        <w:t>sacra potestas</w:t>
      </w:r>
      <w:r w:rsidRPr="0058391C">
        <w:rPr>
          <w:b/>
          <w:bCs/>
          <w:iCs/>
        </w:rPr>
        <w:t xml:space="preserve"> w Kodeksie</w:t>
      </w:r>
    </w:p>
    <w:p w14:paraId="50D73D33" w14:textId="77777777" w:rsidR="00293AB8" w:rsidRPr="00E75EBE" w:rsidRDefault="00293AB8" w:rsidP="001B618C">
      <w:pPr>
        <w:pStyle w:val="NormalWeb"/>
        <w:spacing w:before="0" w:beforeAutospacing="0" w:after="0" w:afterAutospacing="0"/>
        <w:ind w:firstLine="708"/>
        <w:jc w:val="both"/>
        <w:rPr>
          <w:i/>
        </w:rPr>
      </w:pPr>
    </w:p>
    <w:p w14:paraId="6C53BB4B" w14:textId="77777777" w:rsidR="00293AB8" w:rsidRDefault="00E75EBE" w:rsidP="0058391C">
      <w:pPr>
        <w:pStyle w:val="NormalWeb"/>
        <w:spacing w:before="0" w:beforeAutospacing="0" w:after="0" w:afterAutospacing="0"/>
        <w:ind w:firstLine="708"/>
        <w:jc w:val="both"/>
      </w:pPr>
      <w:r>
        <w:t xml:space="preserve">Prawne uregulowanie władzy w Kościele nie uwzględniło niestety najważniejszej nowości II Soboru Watykańskiego dotyczącej pochodzenia i istoty tej </w:t>
      </w:r>
      <w:r>
        <w:rPr>
          <w:rStyle w:val="Emphasis"/>
        </w:rPr>
        <w:t>potestas spiritualis</w:t>
      </w:r>
      <w:r>
        <w:t xml:space="preserve"> (PO 6,1), czyli jednolitego rozumienia </w:t>
      </w:r>
      <w:r>
        <w:rPr>
          <w:rStyle w:val="Emphasis"/>
        </w:rPr>
        <w:t>sacra potestas</w:t>
      </w:r>
      <w:r>
        <w:t xml:space="preserve"> w nowym Kodeksie Prawa Kanonicznego (CIC). W kanonie 375 § 2 słusznie stwierdza się, że „biskupi poprzez samą sakrę biskupią otrzymują wraz z posługą uświęcania także posługi nauczania i kierowania”. W konsekwencji słusznie kanon 379 wymaga, aby wyznaczeni biskupi przyjęli sakrę biskupią przed objęciem urzędu. Również prawdą jest, że kanon 381 wyraźnie stwierdza, że biskup w powierzonym mu diecezjalnym Kościele posiada „wszelką zwyczajną, własną i bezpośrednią władzę potrzebną do wykonywania swojej posługi pasterskiej”. Jednak rozumienie </w:t>
      </w:r>
      <w:r>
        <w:rPr>
          <w:rStyle w:val="Emphasis"/>
        </w:rPr>
        <w:t>potestas</w:t>
      </w:r>
      <w:r>
        <w:t xml:space="preserve">, którym posługuje się prawodawca kościelny, nie jest jednolite. Przeciwnie, co zaskakujące, nigdy nie używa się wyrażenia </w:t>
      </w:r>
      <w:r>
        <w:rPr>
          <w:rStyle w:val="Emphasis"/>
        </w:rPr>
        <w:t>sacra potestas</w:t>
      </w:r>
      <w:r>
        <w:t xml:space="preserve"> i wprowadza się na nowo tradycyjne rozróżnienie między władzą sakramentalną a władzą kierowniczą, odrzucone przez sobór, przy czym tę ostatnią określa się między innymi po prostu jako </w:t>
      </w:r>
      <w:r>
        <w:rPr>
          <w:rStyle w:val="Emphasis"/>
        </w:rPr>
        <w:t>potestas regiminis</w:t>
      </w:r>
      <w:r w:rsidR="00D46003">
        <w:rPr>
          <w:rStyle w:val="FootnoteReference"/>
          <w:i/>
          <w:iCs/>
        </w:rPr>
        <w:footnoteReference w:id="8"/>
      </w:r>
      <w:r>
        <w:t>.</w:t>
      </w:r>
    </w:p>
    <w:p w14:paraId="6345306B" w14:textId="77777777" w:rsidR="00293AB8" w:rsidRDefault="00293AB8" w:rsidP="00293AB8">
      <w:pPr>
        <w:pStyle w:val="NormalWeb"/>
        <w:spacing w:before="0" w:beforeAutospacing="0" w:after="0" w:afterAutospacing="0"/>
        <w:ind w:firstLine="708"/>
        <w:jc w:val="both"/>
      </w:pPr>
      <w:r>
        <w:t xml:space="preserve">Ta dyskusyjna opcja nie odpowiada w pełni nauczaniu soboru, które można streścić sugestywnym wyrażeniem </w:t>
      </w:r>
      <w:r>
        <w:rPr>
          <w:rStyle w:val="Emphasis"/>
        </w:rPr>
        <w:t>qui regit vel docet, sanctificat</w:t>
      </w:r>
      <w:r>
        <w:rPr>
          <w:rStyle w:val="FootnoteReference"/>
          <w:i/>
          <w:iCs/>
        </w:rPr>
        <w:footnoteReference w:id="9"/>
      </w:r>
      <w:r>
        <w:t>, i jednocześnie prowadzi do tego, że prawodawca kościelny niejednokrotnie popada w sprzeczność ze swoimi własnymi zasadami ogólnymi</w:t>
      </w:r>
      <w:r>
        <w:rPr>
          <w:rStyle w:val="FootnoteReference"/>
        </w:rPr>
        <w:footnoteReference w:id="10"/>
      </w:r>
      <w:r>
        <w:t>. Może to negatywnie wpływać na poziom pastoralny, zwłaszcza w dziedzinie prawa kanonicznego dotyczącego głoszenia Słowa Bożego i sprawowania sakramentów</w:t>
      </w:r>
      <w:r w:rsidR="00EB04A3">
        <w:rPr>
          <w:rStyle w:val="FootnoteReference"/>
        </w:rPr>
        <w:footnoteReference w:id="11"/>
      </w:r>
      <w:r>
        <w:t xml:space="preserve">. Określenie w Kodeksie, że wykonywanie </w:t>
      </w:r>
      <w:r>
        <w:rPr>
          <w:rStyle w:val="Emphasis"/>
        </w:rPr>
        <w:t>potestas regiminis</w:t>
      </w:r>
      <w:r>
        <w:t xml:space="preserve"> przysługuje tylko wiernym wyświęconym (kan. 129 § 1/CIC), nie oznacza jednak koniecznie, że </w:t>
      </w:r>
      <w:r>
        <w:rPr>
          <w:rStyle w:val="Emphasis"/>
        </w:rPr>
        <w:t>ceteri christifideles</w:t>
      </w:r>
      <w:r>
        <w:t xml:space="preserve"> (kan. 979 § 2/CCEO), a zwłaszcza świeccy, są wyłączeni z wszelkiej </w:t>
      </w:r>
      <w:r>
        <w:rPr>
          <w:rStyle w:val="Emphasis"/>
        </w:rPr>
        <w:t>cooperatio</w:t>
      </w:r>
      <w:r>
        <w:t xml:space="preserve"> przy wykonywaniu tej władzy</w:t>
      </w:r>
      <w:r w:rsidR="00EB04A3">
        <w:rPr>
          <w:rStyle w:val="FootnoteReference"/>
        </w:rPr>
        <w:footnoteReference w:id="12"/>
      </w:r>
      <w:r>
        <w:t xml:space="preserve">. W rzeczywistości element synodalny </w:t>
      </w:r>
      <w:r>
        <w:rPr>
          <w:rStyle w:val="Emphasis"/>
        </w:rPr>
        <w:t>sacra potestas</w:t>
      </w:r>
      <w:r>
        <w:t xml:space="preserve"> w Kościele, jak zobaczymy później przy analizie kanonu 129 § 2, zawsze zakłada współodpowiedzialność wszystkich wiernych, wynikającą z chrztu i bierzmowania. Akceptacja możliwości połączenia elementu synodalnego </w:t>
      </w:r>
      <w:r>
        <w:rPr>
          <w:rStyle w:val="Emphasis"/>
        </w:rPr>
        <w:t>sacra potestas</w:t>
      </w:r>
      <w:r>
        <w:t xml:space="preserve"> z współodpowiedzialnością wszystkich wiernych w misji Kościoła nie oznacza ulegania </w:t>
      </w:r>
      <w:r>
        <w:lastRenderedPageBreak/>
        <w:t>„formułom kompromisowym”</w:t>
      </w:r>
      <w:r w:rsidR="00EB04A3">
        <w:rPr>
          <w:rStyle w:val="FootnoteReference"/>
        </w:rPr>
        <w:footnoteReference w:id="13"/>
      </w:r>
      <w:r>
        <w:t>. Trzeba raczej uznać, że w wymienionym kanonie dokonano „ważnego kroku naprzód” w recepcji nauczania soborowego, choć wymaga to analizy zmian terminologicznych od tekstu soborowego do Kodeksu.</w:t>
      </w:r>
    </w:p>
    <w:p w14:paraId="705F6298" w14:textId="77777777" w:rsidR="002D3368" w:rsidRDefault="002D3368" w:rsidP="00E75EBE">
      <w:pPr>
        <w:spacing w:after="0"/>
        <w:jc w:val="both"/>
      </w:pPr>
    </w:p>
    <w:p w14:paraId="16564660" w14:textId="77777777" w:rsidR="00293AB8" w:rsidRDefault="00293AB8" w:rsidP="009E463D">
      <w:pPr>
        <w:pStyle w:val="NormalWeb"/>
        <w:spacing w:before="0" w:beforeAutospacing="0" w:after="0" w:afterAutospacing="0"/>
        <w:ind w:firstLine="709"/>
        <w:rPr>
          <w:b/>
          <w:bCs/>
          <w:iCs/>
        </w:rPr>
      </w:pPr>
      <w:r w:rsidRPr="009E463D">
        <w:rPr>
          <w:b/>
          <w:bCs/>
          <w:iCs/>
        </w:rPr>
        <w:t>2.Wyjście z niebezpiecznych sprzeczności</w:t>
      </w:r>
    </w:p>
    <w:p w14:paraId="06D68CBF" w14:textId="77777777" w:rsidR="009E463D" w:rsidRPr="009E463D" w:rsidRDefault="009E463D" w:rsidP="009E463D">
      <w:pPr>
        <w:pStyle w:val="NormalWeb"/>
        <w:spacing w:before="0" w:beforeAutospacing="0" w:after="0" w:afterAutospacing="0"/>
        <w:ind w:firstLine="709"/>
        <w:rPr>
          <w:b/>
          <w:bCs/>
          <w:iCs/>
        </w:rPr>
      </w:pPr>
    </w:p>
    <w:p w14:paraId="6FE233E1" w14:textId="77777777" w:rsidR="00293AB8" w:rsidRPr="009E463D" w:rsidRDefault="00293AB8" w:rsidP="009E463D">
      <w:pPr>
        <w:pStyle w:val="NormalWeb"/>
        <w:numPr>
          <w:ilvl w:val="1"/>
          <w:numId w:val="5"/>
        </w:numPr>
        <w:spacing w:before="0" w:beforeAutospacing="0" w:after="0" w:afterAutospacing="0"/>
        <w:ind w:firstLine="349"/>
        <w:rPr>
          <w:b/>
          <w:bCs/>
          <w:iCs/>
        </w:rPr>
      </w:pPr>
      <w:r w:rsidRPr="009E463D">
        <w:rPr>
          <w:b/>
          <w:bCs/>
          <w:iCs/>
        </w:rPr>
        <w:t>Pierwsze i podstawowe wskazania Eugenio Corecco</w:t>
      </w:r>
    </w:p>
    <w:p w14:paraId="53ED3D4B" w14:textId="77777777" w:rsidR="005115B6" w:rsidRDefault="005115B6" w:rsidP="005115B6">
      <w:pPr>
        <w:pStyle w:val="NormalWeb"/>
        <w:spacing w:before="0" w:beforeAutospacing="0" w:after="0" w:afterAutospacing="0"/>
        <w:ind w:left="360"/>
        <w:rPr>
          <w:i/>
        </w:rPr>
      </w:pPr>
    </w:p>
    <w:p w14:paraId="4F553824" w14:textId="77777777" w:rsidR="007D1E16" w:rsidRDefault="00EB04A3" w:rsidP="009E463D">
      <w:pPr>
        <w:pStyle w:val="NormalWeb"/>
        <w:spacing w:before="0" w:beforeAutospacing="0" w:after="0" w:afterAutospacing="0"/>
        <w:ind w:firstLine="708"/>
        <w:jc w:val="both"/>
      </w:pPr>
      <w:r>
        <w:t xml:space="preserve">Wprowadzenie jednolitego rozumienia </w:t>
      </w:r>
      <w:r>
        <w:rPr>
          <w:rStyle w:val="Emphasis"/>
        </w:rPr>
        <w:t>sacra potestas</w:t>
      </w:r>
      <w:r>
        <w:t xml:space="preserve"> przez II Sobór Watykański wywołało wewnątrz i poza zgromadzeniem soborowym gorące debaty. W rzeczywistości ojcowie soborowi dali tym </w:t>
      </w:r>
      <w:r w:rsidR="00364908">
        <w:t>samym teologom możliwość różnych</w:t>
      </w:r>
      <w:r>
        <w:t xml:space="preserve"> </w:t>
      </w:r>
      <w:r w:rsidR="00364908">
        <w:t>rozważań</w:t>
      </w:r>
      <w:r>
        <w:t xml:space="preserve"> klasycznego rozróżnienia między władzą święceń a władzą jurysdykcyjną: 1) Jest to rozróżnienie o „wartości materialnej”, ponieważ wychodzi z założenia, że sakra i kanoniczne wysłanie</w:t>
      </w:r>
      <w:r w:rsidR="00874798">
        <w:t>, każde</w:t>
      </w:r>
      <w:r>
        <w:t xml:space="preserve"> z osobna nadaje różny element </w:t>
      </w:r>
      <w:r>
        <w:rPr>
          <w:rStyle w:val="Emphasis"/>
        </w:rPr>
        <w:t>sacra potestas</w:t>
      </w:r>
      <w:r>
        <w:t>. Podczas gdy jeden element, władza święceń, jest niezmazalnie nadawany w sakramencie święceń, drugi element, czyli władza jurysdykcyjna, znajduje się całkowicie w gestii Kościoła, który może ją nadać lub odebrać</w:t>
      </w:r>
      <w:r w:rsidR="00DF0B62">
        <w:rPr>
          <w:rStyle w:val="FootnoteReference"/>
        </w:rPr>
        <w:footnoteReference w:id="14"/>
      </w:r>
      <w:r>
        <w:t>. 2) Jest to rozróżnienie odpowiadające różnicy między zakresem a treścią, ponieważ przy kanonicznym wysłaniu, przez które władza jurysdykcyjna staje się skuteczna, nie nadaje się ani nie odbiera żadnej formy władzy, lecz jedynie dokładniej reguluje władzę przekazaną w sakramencie święceń w odniesieniu do jej prawowitego i ważnego wykonywania</w:t>
      </w:r>
      <w:r w:rsidR="00DF0B62">
        <w:rPr>
          <w:rStyle w:val="FootnoteReference"/>
        </w:rPr>
        <w:footnoteReference w:id="15"/>
      </w:r>
      <w:r>
        <w:t>.</w:t>
      </w:r>
      <w:r w:rsidR="00DF0B62">
        <w:t xml:space="preserve"> 3)</w:t>
      </w:r>
      <w:r w:rsidR="00E445F4">
        <w:t xml:space="preserve"> </w:t>
      </w:r>
      <w:r w:rsidR="00DF0B62" w:rsidRPr="00DF0B62">
        <w:t>Nie chodzi tu o rozróżnienie materialne, lecz wyłącznie formalne: nie mamy do czynienia z dwoma różnymi pełnomocnictwami, lecz z dwoma formalnie odmienn</w:t>
      </w:r>
      <w:r w:rsidR="00E445F4">
        <w:t>ymi sposobami wykonywania jednego</w:t>
      </w:r>
      <w:r w:rsidR="00DF0B62" w:rsidRPr="00DF0B62">
        <w:t xml:space="preserve"> pełnomocnictwa o tym samym znaczeniu zbawczym. Pierwsza forma </w:t>
      </w:r>
      <w:r w:rsidR="00DF0B62" w:rsidRPr="00057D75">
        <w:rPr>
          <w:i/>
        </w:rPr>
        <w:t>sacra potestas</w:t>
      </w:r>
      <w:r w:rsidR="00DF0B62" w:rsidRPr="00DF0B62">
        <w:t xml:space="preserve"> działa według logiki komunikacji gestu lub sakramentu, druga natomiast według logiki komunikacji słowa (</w:t>
      </w:r>
      <w:r w:rsidR="00DF0B62" w:rsidRPr="00057D75">
        <w:rPr>
          <w:i/>
        </w:rPr>
        <w:t>iuris dictio</w:t>
      </w:r>
      <w:r w:rsidR="00DF0B62" w:rsidRPr="00DF0B62">
        <w:t>). Obie są zawsze wystarczająco skuteczne, aby doprowadzić do powstania Kościoła Chrystusowego, gdy są wykonywane w communio plena z innymi biskupami i papieżem. Oznacza to, że działania nauczania i uświęcania (</w:t>
      </w:r>
      <w:r w:rsidR="00DF0B62" w:rsidRPr="00057D75">
        <w:rPr>
          <w:i/>
        </w:rPr>
        <w:t>munera docendi et sanctificandi</w:t>
      </w:r>
      <w:r w:rsidR="00DF0B62" w:rsidRPr="00DF0B62">
        <w:t>) poza communio nie mogą w pełni osiągnąć skutku według tego samego wymiaru munus regendi, który z kolei nie jest wyłącznie zadaniem organizacyjnym i jako takie jest jedynie prawne</w:t>
      </w:r>
      <w:r w:rsidR="00DF0B62">
        <w:rPr>
          <w:rStyle w:val="FootnoteReference"/>
        </w:rPr>
        <w:footnoteReference w:id="16"/>
      </w:r>
      <w:r w:rsidR="00DF0B62" w:rsidRPr="00DF0B62">
        <w:t>.</w:t>
      </w:r>
    </w:p>
    <w:p w14:paraId="1357AB60" w14:textId="77777777" w:rsidR="007D1E16" w:rsidRDefault="007D1E16" w:rsidP="007D1E16">
      <w:pPr>
        <w:pStyle w:val="NormalWeb"/>
        <w:spacing w:before="0" w:beforeAutospacing="0" w:after="0" w:afterAutospacing="0"/>
        <w:ind w:firstLine="708"/>
        <w:jc w:val="both"/>
      </w:pPr>
      <w:r>
        <w:t xml:space="preserve">Z teologicznego punktu widzenia ostatnia próba wyjaśnienia nauki soborowej, opracowana przez Eugenio Corecco, wydaje się najbardziej przekonująca, ponieważ, jak zauważa Peter Krämer, nie tylko zachowuje jedność i oryginalność </w:t>
      </w:r>
      <w:r w:rsidRPr="00057D75">
        <w:rPr>
          <w:i/>
        </w:rPr>
        <w:t>sacra potestas</w:t>
      </w:r>
      <w:r>
        <w:t xml:space="preserve">, lecz przede wszystkim zabezpiecza ją przed każdą redukcją voluntarystyczną i pozytywistyczną, osadzając ją w perspektywie eklezjologicznej, „w której oba bieguny </w:t>
      </w:r>
      <w:r w:rsidRPr="00057D75">
        <w:rPr>
          <w:i/>
        </w:rPr>
        <w:t>communio ecclesiastica</w:t>
      </w:r>
      <w:r>
        <w:t>, wspólne kapłaństwo wszystkich wiernych i kapłaństwo służby, pozostają w swojej jedności i napięciu”</w:t>
      </w:r>
      <w:r>
        <w:rPr>
          <w:rStyle w:val="FootnoteReference"/>
        </w:rPr>
        <w:footnoteReference w:id="17"/>
      </w:r>
      <w:r>
        <w:t xml:space="preserve">. Gwarantem tego jest charyzmat, który Duch Święty wydobywa według własnego </w:t>
      </w:r>
      <w:r>
        <w:lastRenderedPageBreak/>
        <w:t xml:space="preserve">uznania. „Obecność charyzmatu […] w swoim istotnym znaczeniu relatywizuje hegemoniczną pozycję hierarchii w Kościele, ponieważ ustanawia […] nieprzekraczalną granicę dla wykonywania władzy </w:t>
      </w:r>
      <w:r w:rsidRPr="00057D75">
        <w:rPr>
          <w:i/>
        </w:rPr>
        <w:t>sacra potestas</w:t>
      </w:r>
      <w:r>
        <w:t>, która nie tylko odpowiada za ocenę autentyczności charyzmatu, lecz także i przede wszystkim za to, aby go nie unicestwić”</w:t>
      </w:r>
      <w:r>
        <w:rPr>
          <w:rStyle w:val="FootnoteReference"/>
        </w:rPr>
        <w:footnoteReference w:id="18"/>
      </w:r>
      <w:r>
        <w:t>.</w:t>
      </w:r>
    </w:p>
    <w:p w14:paraId="255643BD" w14:textId="77777777" w:rsidR="008E421E" w:rsidRPr="009E463D" w:rsidRDefault="008E421E" w:rsidP="009E463D">
      <w:pPr>
        <w:pStyle w:val="NormalWeb"/>
        <w:ind w:left="1134" w:hanging="426"/>
        <w:rPr>
          <w:b/>
          <w:bCs/>
          <w:iCs/>
        </w:rPr>
      </w:pPr>
      <w:r w:rsidRPr="009E463D">
        <w:rPr>
          <w:b/>
          <w:bCs/>
          <w:iCs/>
        </w:rPr>
        <w:t>2.2 Konieczność rozróżnienia między posiadaniem a wykonywaniem władzy kościelnej</w:t>
      </w:r>
    </w:p>
    <w:p w14:paraId="79717689" w14:textId="77777777" w:rsidR="005115B6" w:rsidRDefault="008E421E" w:rsidP="009E463D">
      <w:pPr>
        <w:pStyle w:val="NormalWeb"/>
        <w:spacing w:before="0" w:beforeAutospacing="0" w:after="0" w:afterAutospacing="0"/>
        <w:ind w:firstLine="708"/>
        <w:jc w:val="both"/>
      </w:pPr>
      <w:r>
        <w:t xml:space="preserve">Jednak nawet w perspektywie otwartej przez Eugenio Corecco nadal pozostaje kilka pytań, prawdopodobnie dlatego, że intuicja, która pozwoliła Peterowi Krämerowi wyraźnie rozróżnić </w:t>
      </w:r>
      <w:r w:rsidRPr="009E463D">
        <w:rPr>
          <w:i/>
          <w:iCs/>
        </w:rPr>
        <w:t>possessio</w:t>
      </w:r>
      <w:r>
        <w:t xml:space="preserve">, czyli „posiadanie” </w:t>
      </w:r>
      <w:r w:rsidRPr="00057D75">
        <w:rPr>
          <w:i/>
        </w:rPr>
        <w:t>potestas sacra</w:t>
      </w:r>
      <w:r>
        <w:t xml:space="preserve">, od jej </w:t>
      </w:r>
      <w:r w:rsidRPr="00057D75">
        <w:rPr>
          <w:i/>
        </w:rPr>
        <w:t>exercitium,</w:t>
      </w:r>
      <w:r>
        <w:t xml:space="preserve"> nie została wystarczająco rozwinięta, i to w oparciu o staranne czytanie tekstów i relacji, które poprzedzały ostateczne opracowanie konstytucji soborowej </w:t>
      </w:r>
      <w:r w:rsidRPr="009E463D">
        <w:rPr>
          <w:i/>
          <w:iCs/>
        </w:rPr>
        <w:t>Lumen gentium i</w:t>
      </w:r>
      <w:r>
        <w:t xml:space="preserve"> ją przygotowywały</w:t>
      </w:r>
      <w:r>
        <w:rPr>
          <w:rStyle w:val="FootnoteReference"/>
        </w:rPr>
        <w:footnoteReference w:id="19"/>
      </w:r>
      <w:r>
        <w:t>.</w:t>
      </w:r>
      <w:r w:rsidR="00B831D8">
        <w:t xml:space="preserve"> </w:t>
      </w:r>
      <w:r>
        <w:t xml:space="preserve">Ponieważ </w:t>
      </w:r>
      <w:r w:rsidRPr="00057D75">
        <w:rPr>
          <w:i/>
        </w:rPr>
        <w:t>sacra potestas</w:t>
      </w:r>
      <w:r>
        <w:t xml:space="preserve"> jest bowiem ugruntowana chrystologicznie, może być wykonywana tylko w Kościele, gdyż tylko w takim stopniu, w jakim zostaje włączona w dynamikę </w:t>
      </w:r>
      <w:r w:rsidRPr="009E463D">
        <w:rPr>
          <w:i/>
          <w:iCs/>
        </w:rPr>
        <w:t>communio</w:t>
      </w:r>
      <w:r>
        <w:t xml:space="preserve">, może być naprawdę i skutecznie sprawowana. Innymi słowy: tak zwane </w:t>
      </w:r>
      <w:r w:rsidRPr="00057D75">
        <w:rPr>
          <w:i/>
        </w:rPr>
        <w:t>exercitium sacra potestas</w:t>
      </w:r>
      <w:r>
        <w:t xml:space="preserve"> musi być pojmowane i rozumiane z perspektywy </w:t>
      </w:r>
      <w:r w:rsidRPr="009E463D">
        <w:rPr>
          <w:i/>
          <w:iCs/>
        </w:rPr>
        <w:t>communio</w:t>
      </w:r>
      <w:r>
        <w:t xml:space="preserve">, przy czym pierwsze różni się od drugiego, a oba są ze sobą powiązane i wzajemnie się odnajdują: </w:t>
      </w:r>
      <w:r w:rsidRPr="00057D75">
        <w:rPr>
          <w:i/>
        </w:rPr>
        <w:t>„[…] potestas quae per consecrationem datur numquam avulsa considerari potest ab Ecclesiae organismo, prout a Christo institutum est</w:t>
      </w:r>
      <w:r>
        <w:t>”</w:t>
      </w:r>
      <w:r w:rsidR="00B831D8">
        <w:rPr>
          <w:rStyle w:val="FootnoteReference"/>
        </w:rPr>
        <w:footnoteReference w:id="20"/>
      </w:r>
      <w:r>
        <w:t>.</w:t>
      </w:r>
      <w:r w:rsidR="00B831D8">
        <w:t xml:space="preserve"> Pierwszy element, czyli posiadanie i przynależność do </w:t>
      </w:r>
      <w:r w:rsidR="00B831D8" w:rsidRPr="00057D75">
        <w:rPr>
          <w:i/>
        </w:rPr>
        <w:t>sacra potestas</w:t>
      </w:r>
      <w:r w:rsidR="00B831D8">
        <w:t xml:space="preserve">, ma charakter sakramentalny i jako taki może być rozróżniany tylko według otrzymanego stopnia święceń; drugi element, czyli wykonywanie </w:t>
      </w:r>
      <w:r w:rsidR="00B831D8" w:rsidRPr="00057D75">
        <w:rPr>
          <w:i/>
        </w:rPr>
        <w:t>sacra potestas</w:t>
      </w:r>
      <w:r w:rsidR="00B831D8">
        <w:t>, niczego do niej nie dodaje, lecz jedynie reguluje jej zastosowanie w różnych obszarach życia kościelnego na podstawie zasady communio. Trad</w:t>
      </w:r>
      <w:r w:rsidR="00B831D8" w:rsidRPr="00057D75">
        <w:t xml:space="preserve">ycyjnym instrumentem do tej regulacji wykonywania </w:t>
      </w:r>
      <w:r w:rsidR="00B831D8" w:rsidRPr="00057D75">
        <w:rPr>
          <w:i/>
        </w:rPr>
        <w:t>sacra potestas</w:t>
      </w:r>
      <w:r w:rsidR="00B831D8" w:rsidRPr="00057D75">
        <w:t xml:space="preserve"> jest</w:t>
      </w:r>
      <w:r w:rsidR="00B831D8">
        <w:t xml:space="preserve"> </w:t>
      </w:r>
      <w:r w:rsidR="00B831D8" w:rsidRPr="00057D75">
        <w:rPr>
          <w:i/>
        </w:rPr>
        <w:t>missio canonica</w:t>
      </w:r>
      <w:r w:rsidR="00B831D8">
        <w:rPr>
          <w:rStyle w:val="FootnoteReference"/>
        </w:rPr>
        <w:footnoteReference w:id="21"/>
      </w:r>
      <w:r w:rsidR="00B831D8">
        <w:t>, którą sami ojcowie II Soboru Watykańskiego określili jako przedmiot historycznych zmian</w:t>
      </w:r>
      <w:r w:rsidR="00B831D8">
        <w:rPr>
          <w:rStyle w:val="FootnoteReference"/>
        </w:rPr>
        <w:footnoteReference w:id="22"/>
      </w:r>
      <w:r w:rsidR="00B831D8">
        <w:t xml:space="preserve">. Ta ostatnia może być postrzegana jako prosta determinatio prawna, której w żadnym wypadku nie można mylić z inną </w:t>
      </w:r>
      <w:r w:rsidR="00B831D8" w:rsidRPr="009E463D">
        <w:rPr>
          <w:i/>
          <w:iCs/>
        </w:rPr>
        <w:t>potestas</w:t>
      </w:r>
      <w:r w:rsidR="00B831D8">
        <w:t xml:space="preserve">, która dodaje się do sakramentalnie otrzymanej, ponieważ jest wyrazem communio hierarchica i jako taka jedynie umożliwia wykonywanie </w:t>
      </w:r>
      <w:r w:rsidR="00B831D8" w:rsidRPr="00057D75">
        <w:rPr>
          <w:i/>
        </w:rPr>
        <w:t>sacra potestas</w:t>
      </w:r>
      <w:r w:rsidR="00B831D8">
        <w:t xml:space="preserve"> oraz jej realizację jako </w:t>
      </w:r>
      <w:r w:rsidR="00B831D8" w:rsidRPr="00057D75">
        <w:rPr>
          <w:i/>
        </w:rPr>
        <w:t>potestas ad actum expedita</w:t>
      </w:r>
      <w:r w:rsidR="00B831D8">
        <w:rPr>
          <w:rStyle w:val="FootnoteReference"/>
        </w:rPr>
        <w:footnoteReference w:id="23"/>
      </w:r>
      <w:r w:rsidR="00B831D8">
        <w:t>.</w:t>
      </w:r>
    </w:p>
    <w:p w14:paraId="10DD4D8C" w14:textId="77777777" w:rsidR="005115B6" w:rsidRDefault="005115B6" w:rsidP="005115B6">
      <w:pPr>
        <w:pStyle w:val="NormalWeb"/>
        <w:spacing w:before="0" w:beforeAutospacing="0" w:after="0" w:afterAutospacing="0"/>
        <w:ind w:firstLine="708"/>
        <w:jc w:val="both"/>
      </w:pPr>
      <w:r>
        <w:t xml:space="preserve">Krótko mówiąc, tak jak charyzmat chroni </w:t>
      </w:r>
      <w:r w:rsidRPr="00057D75">
        <w:rPr>
          <w:i/>
        </w:rPr>
        <w:t>sacra potestas</w:t>
      </w:r>
      <w:r>
        <w:t xml:space="preserve"> przed tym, by odnosiła się wyłącznie do samej siebie, przy czym obowiązuje dogmatyczny fakt, że Duch Święty „prowadzi Kościół do pełni prawdy (por. J 16,13), jednoczy go w komunii i służbie, przygotowuje i kieruje nim za pomocą różnych darów hierarchicznych i charyzmatycznych” (LG 4,1), tak samo </w:t>
      </w:r>
      <w:r w:rsidRPr="00057D75">
        <w:rPr>
          <w:i/>
        </w:rPr>
        <w:t>missio canonica</w:t>
      </w:r>
      <w:r>
        <w:t xml:space="preserve"> oraz wszystkie inne odpowiednie instrumenty prawne, takie jak nihil obstat czy „mandat biskupi”, umożliwiają tej samej </w:t>
      </w:r>
      <w:r w:rsidRPr="00057D75">
        <w:rPr>
          <w:i/>
        </w:rPr>
        <w:t>sacra potestas</w:t>
      </w:r>
      <w:r>
        <w:t xml:space="preserve"> skuteczne wykonywanie zgodnie ze strukturą wspólnoty kościelnej, ponieważ ona i wszystkie powiązane z nią urzędy mogą „[…] ze swojej natury być wykonywane tylko w hierarchicznej wspólnocie z głową i członkami kolegium” (LG 21,2). Nauka soborowa o jedności </w:t>
      </w:r>
      <w:r w:rsidRPr="00057D75">
        <w:rPr>
          <w:i/>
        </w:rPr>
        <w:t xml:space="preserve">sacra </w:t>
      </w:r>
      <w:r w:rsidRPr="00057D75">
        <w:rPr>
          <w:i/>
        </w:rPr>
        <w:lastRenderedPageBreak/>
        <w:t xml:space="preserve">potestas </w:t>
      </w:r>
      <w:r>
        <w:t xml:space="preserve">nie wyklucza jej zróżnicowanego i wzajemnie powiązanego wykonywania, lecz wręcz je zakłada, podobnie jak </w:t>
      </w:r>
      <w:r w:rsidRPr="00057D75">
        <w:rPr>
          <w:i/>
        </w:rPr>
        <w:t xml:space="preserve">communio Ecclesiae et Ecclesiarum </w:t>
      </w:r>
      <w:r>
        <w:t>nie wyklucza różnorodności w jedności, lecz ją zakłada</w:t>
      </w:r>
      <w:r>
        <w:rPr>
          <w:rStyle w:val="FootnoteReference"/>
        </w:rPr>
        <w:footnoteReference w:id="24"/>
      </w:r>
      <w:r>
        <w:t>.</w:t>
      </w:r>
    </w:p>
    <w:p w14:paraId="14F4BD5E" w14:textId="77777777" w:rsidR="008E421E" w:rsidRDefault="008E421E" w:rsidP="005115B6">
      <w:pPr>
        <w:pStyle w:val="NormalWeb"/>
        <w:spacing w:before="0" w:beforeAutospacing="0" w:after="0" w:afterAutospacing="0"/>
        <w:ind w:firstLine="708"/>
        <w:jc w:val="both"/>
      </w:pPr>
      <w:r>
        <w:tab/>
      </w:r>
    </w:p>
    <w:p w14:paraId="0C1179E5" w14:textId="77777777" w:rsidR="005115B6" w:rsidRPr="00BD642B" w:rsidRDefault="005115B6" w:rsidP="00BD642B">
      <w:pPr>
        <w:pStyle w:val="NormalWeb"/>
        <w:ind w:left="709" w:hanging="1"/>
        <w:rPr>
          <w:b/>
          <w:bCs/>
          <w:i/>
        </w:rPr>
      </w:pPr>
      <w:r w:rsidRPr="00BD642B">
        <w:rPr>
          <w:b/>
          <w:bCs/>
          <w:iCs/>
        </w:rPr>
        <w:t>3.Różnorodn</w:t>
      </w:r>
      <w:r w:rsidR="00BD642B">
        <w:rPr>
          <w:b/>
          <w:bCs/>
          <w:iCs/>
        </w:rPr>
        <w:t xml:space="preserve">y udział wszystkich wiernych w </w:t>
      </w:r>
      <w:r w:rsidRPr="00BD642B">
        <w:rPr>
          <w:b/>
          <w:bCs/>
          <w:i/>
        </w:rPr>
        <w:t>exercitium potestatis</w:t>
      </w:r>
      <w:r w:rsidR="00BD642B">
        <w:rPr>
          <w:b/>
          <w:bCs/>
          <w:iCs/>
        </w:rPr>
        <w:t xml:space="preserve"> w służbie </w:t>
      </w:r>
      <w:r w:rsidR="00BD642B" w:rsidRPr="00BD642B">
        <w:rPr>
          <w:b/>
          <w:bCs/>
          <w:i/>
        </w:rPr>
        <w:t>communio</w:t>
      </w:r>
    </w:p>
    <w:p w14:paraId="157E0941" w14:textId="77777777" w:rsidR="005115B6" w:rsidRDefault="005115B6" w:rsidP="00BD642B">
      <w:pPr>
        <w:pStyle w:val="NormalWeb"/>
        <w:spacing w:before="0" w:beforeAutospacing="0" w:after="0" w:afterAutospacing="0"/>
        <w:ind w:firstLine="708"/>
        <w:jc w:val="both"/>
      </w:pPr>
      <w:r>
        <w:t xml:space="preserve">Rozróżnienie dokonane przez ojców II Soboru Watykańskiego między </w:t>
      </w:r>
      <w:r w:rsidRPr="00057D75">
        <w:rPr>
          <w:i/>
        </w:rPr>
        <w:t>sacra potestas</w:t>
      </w:r>
      <w:r>
        <w:t xml:space="preserve"> a jej wykonywaniem, rozróżnienie podkreślone przez Petera Krämera na podstawie nauki Eugenio Corecco o jedności władzy kości</w:t>
      </w:r>
      <w:r w:rsidR="004A5E09">
        <w:t>elnej, można zatem uznać za nowy</w:t>
      </w:r>
      <w:r>
        <w:t xml:space="preserve"> paradygmat teologiczny. Jego nowość polega na reinterpretacji paradygmatu mądrościowego pierwszego tysiąclecia w ramach eklezjologii </w:t>
      </w:r>
      <w:r w:rsidRPr="00BD642B">
        <w:rPr>
          <w:i/>
          <w:iCs/>
        </w:rPr>
        <w:t>communio</w:t>
      </w:r>
      <w:r>
        <w:rPr>
          <w:rStyle w:val="FootnoteReference"/>
        </w:rPr>
        <w:footnoteReference w:id="25"/>
      </w:r>
      <w:r>
        <w:t>.</w:t>
      </w:r>
    </w:p>
    <w:p w14:paraId="1F35CBE5" w14:textId="77777777" w:rsidR="005115B6" w:rsidRDefault="005115B6" w:rsidP="005115B6">
      <w:pPr>
        <w:pStyle w:val="NormalWeb"/>
        <w:spacing w:before="0" w:beforeAutospacing="0" w:after="0" w:afterAutospacing="0"/>
        <w:ind w:firstLine="708"/>
        <w:jc w:val="both"/>
      </w:pPr>
      <w:r>
        <w:t xml:space="preserve">Ta reinterpretacja wyraźnie pokazuje, że tak zwane </w:t>
      </w:r>
      <w:r w:rsidRPr="00BD642B">
        <w:rPr>
          <w:i/>
          <w:iCs/>
        </w:rPr>
        <w:t>tria munera</w:t>
      </w:r>
      <w:r>
        <w:t xml:space="preserve"> nie są niczym innym jak obszarami, w których jedna i jedyna </w:t>
      </w:r>
      <w:r w:rsidRPr="00057D75">
        <w:rPr>
          <w:i/>
        </w:rPr>
        <w:t>sacra potestas</w:t>
      </w:r>
      <w:r>
        <w:t xml:space="preserve"> jest wykonywana w różnych trybach i regulowana przez władzę hierarchiczną. Nawet ponad pięćdziesiąt lat po zakończeniu II Soboru Watykańskiego zarówno dla prawa kanonicznego, jak i dla nauczania papieskiego</w:t>
      </w:r>
      <w:r w:rsidR="0023335E">
        <w:rPr>
          <w:rStyle w:val="FootnoteReference"/>
        </w:rPr>
        <w:footnoteReference w:id="26"/>
      </w:r>
      <w:r>
        <w:t xml:space="preserve"> jest jasne, że te obszary zastosowania nie ograniczają się ściśle do trzech, ponieważ Nowy Testament wspomina co najmniej czwarty obszar, mianowicie diakonię, która jest równie istotna dla realizacji misji Kościoła. Nie należy tego zapominać przy opracowywaniu kryteriów prawidłowej interpretacji i stosowania </w:t>
      </w:r>
      <w:r w:rsidRPr="00BD642B">
        <w:rPr>
          <w:i/>
          <w:iCs/>
        </w:rPr>
        <w:t>cooperatio</w:t>
      </w:r>
      <w:r>
        <w:t>, przewidzianej przez kan. 129 § 2 na poziomie wykonawczym władzy kierowniczej w Kościele, który jako całość stanowi organiczną „wspólnotę kapłańską”: „Przez odrodzenie i namaszczenie Duchem Świętym ochrzczeni są poświęceni do […] świętego kapłaństwa, aby w każdym dziele chrześcijańskiego człowieka składali duchowe ofiary” (LG 10,1). Razem tworzą oni Lud Boży, który realizuje się organicznie jako „wspólnota kapłańska” (LG 11,1).</w:t>
      </w:r>
    </w:p>
    <w:p w14:paraId="6DDBDC64" w14:textId="77777777" w:rsidR="003A0CE5" w:rsidRDefault="005115B6" w:rsidP="003A0CE5">
      <w:pPr>
        <w:pStyle w:val="NormalWeb"/>
        <w:spacing w:before="0" w:beforeAutospacing="0" w:after="0" w:afterAutospacing="0"/>
        <w:ind w:firstLine="708"/>
        <w:jc w:val="both"/>
      </w:pPr>
      <w:r>
        <w:t xml:space="preserve">Poprzez te stwierdzenia, których uzasadnienie znajduje się w nauce </w:t>
      </w:r>
      <w:r w:rsidR="00256899">
        <w:t>P</w:t>
      </w:r>
      <w:r>
        <w:t>ier</w:t>
      </w:r>
      <w:r w:rsidR="00256899">
        <w:t>wszego Listu św. Piotra (1 P 2,</w:t>
      </w:r>
      <w:r>
        <w:t>4–10), ojcowie II Soboru Watykańskiego nie chcieli potwierdzać tożsamości bycia chrześcijaninem i bycia k</w:t>
      </w:r>
      <w:r w:rsidR="00256899">
        <w:t>apłanem, jak przedstawia to Lut</w:t>
      </w:r>
      <w:r>
        <w:t>er</w:t>
      </w:r>
      <w:r w:rsidR="0023335E">
        <w:rPr>
          <w:rStyle w:val="FootnoteReference"/>
        </w:rPr>
        <w:footnoteReference w:id="27"/>
      </w:r>
      <w:r>
        <w:t xml:space="preserve">, lecz wyraźnie podkreślić </w:t>
      </w:r>
      <w:r>
        <w:lastRenderedPageBreak/>
        <w:t>konstytucyjne pierwszeństwo wspólnego kapłaństwa wszystkich ochrzczonych wobec kapłaństwa urzędowego, które pozostaje w ich służbie</w:t>
      </w:r>
      <w:r w:rsidR="0023335E">
        <w:rPr>
          <w:rStyle w:val="FootnoteReference"/>
        </w:rPr>
        <w:footnoteReference w:id="28"/>
      </w:r>
      <w:r>
        <w:t>.</w:t>
      </w:r>
      <w:r w:rsidR="0023335E">
        <w:t xml:space="preserve"> Również II Sobór Watykański naucza, że oba kapłaństwa są wzajemnie względem siebie uporządkowane i że różnią się od siebie „istotnie, a nie tylko stopniem” (LG 10,2). To sformułowanie wyraźnie pokazuje, że kapłaństwo służby nie jest pochodną wspólnoty ani nie stanowi jedynie wzmocnienia wspólnego kapłaństwa wszystkich wiernych, lecz stanowi szczególny udział w jednym kapłaństwie Chrystusa. Jako takie kapłaństwo służby należy do „istotnej struktury Kościoła”</w:t>
      </w:r>
      <w:r w:rsidR="003A0CE5">
        <w:rPr>
          <w:rStyle w:val="FootnoteReference"/>
        </w:rPr>
        <w:footnoteReference w:id="29"/>
      </w:r>
      <w:r w:rsidR="0023335E">
        <w:t xml:space="preserve"> i posiada własny charakter. Pełni w</w:t>
      </w:r>
      <w:r w:rsidR="00256899">
        <w:t>e</w:t>
      </w:r>
      <w:r w:rsidR="0023335E">
        <w:t xml:space="preserve"> wspólnocie kościelnej szczególną funkcję, która istotnie różni się od funkcji ogólnego kapłaństwa, i rozwija się w trzech stopniach – diakonacie, prezbiteracie i episkopacie – z rosnącą intensywnością, przy czym wyraźnie zaznacza się, że diakonom „[…] nie nakłada się rąk do kapłaństwa, lecz do służby” (LG 29,1).</w:t>
      </w:r>
    </w:p>
    <w:p w14:paraId="26A2DE1E" w14:textId="77777777" w:rsidR="003A0CE5" w:rsidRDefault="003A0CE5" w:rsidP="003A0CE5">
      <w:pPr>
        <w:pStyle w:val="NormalWeb"/>
        <w:spacing w:before="0" w:beforeAutospacing="0" w:after="0" w:afterAutospacing="0"/>
        <w:ind w:firstLine="708"/>
        <w:jc w:val="both"/>
      </w:pPr>
      <w:r>
        <w:t>Funkcjonalna szczególność duchownego w realizacji wspólnoty kościelnej polega zatem na uczestnictwie, jakie daje mu sakrament święceń „w</w:t>
      </w:r>
      <w:r w:rsidR="00256899">
        <w:t>e</w:t>
      </w:r>
      <w:r>
        <w:t xml:space="preserve"> władzy, dzięki której sam Chrystus buduje, uświęca i kieruje swoim Ciałem” (PO 2,3). Ponieważ biskupi otrzymali „pełnię sakramentu święceń” (LG 21,2), a wszyscy prezbiterzy lub „święci urzędnicy” w nim uczestniczą, to dzięki nadanej im </w:t>
      </w:r>
      <w:r w:rsidRPr="00E562AB">
        <w:rPr>
          <w:i/>
        </w:rPr>
        <w:t>sacra potestas</w:t>
      </w:r>
      <w:r>
        <w:t xml:space="preserve"> tworzą i kierują „ludem kapłańskim” (LG 10,2).</w:t>
      </w:r>
    </w:p>
    <w:p w14:paraId="512FED0E" w14:textId="77777777" w:rsidR="000D091F" w:rsidRDefault="003A0CE5" w:rsidP="000D091F">
      <w:pPr>
        <w:pStyle w:val="NormalWeb"/>
        <w:spacing w:before="0" w:beforeAutospacing="0" w:after="0" w:afterAutospacing="0"/>
        <w:ind w:firstLine="708"/>
        <w:jc w:val="both"/>
      </w:pPr>
      <w:r>
        <w:t xml:space="preserve">Do nauki soborowej należy teraz się odwołać, aby poprawnie interpretować kan. 129 § 2 KPK. W tym sensie w przywołanym przepisie Kodeksu dokonano w rzeczywistości pierwszego wyjaśnienia: pojęcie teologiczno-prawne „współpracy”, zawarte w słowach </w:t>
      </w:r>
      <w:r>
        <w:rPr>
          <w:rStyle w:val="Emphasis"/>
        </w:rPr>
        <w:t>cooperari possunt</w:t>
      </w:r>
      <w:r>
        <w:t xml:space="preserve">, nie ma takiego samego znaczenia jak pojęcie „uczestnictwa”, obecne w słowach </w:t>
      </w:r>
      <w:r>
        <w:rPr>
          <w:rStyle w:val="Emphasis"/>
        </w:rPr>
        <w:t>partem habere possunt</w:t>
      </w:r>
      <w:r>
        <w:t xml:space="preserve"> w schemacie 82, które później zostało zmienione w ostatecznym tekście normatywnym</w:t>
      </w:r>
      <w:r w:rsidR="00D45532">
        <w:rPr>
          <w:rStyle w:val="FootnoteReference"/>
        </w:rPr>
        <w:footnoteReference w:id="30"/>
      </w:r>
      <w:r>
        <w:t xml:space="preserve">. Nie byłoby jednak słuszne widzieć w tym czystej redukcji, ponieważ pojęcie </w:t>
      </w:r>
      <w:r>
        <w:rPr>
          <w:rStyle w:val="Emphasis"/>
        </w:rPr>
        <w:t>cooperatio</w:t>
      </w:r>
      <w:r>
        <w:t xml:space="preserve"> nie ma tak aktywnego odcienia jak </w:t>
      </w:r>
      <w:r>
        <w:rPr>
          <w:rStyle w:val="Emphasis"/>
        </w:rPr>
        <w:t>participatio</w:t>
      </w:r>
      <w:r>
        <w:t xml:space="preserve">, ale posiada własną, specyficzną „wagę teologiczną”, która na poziomie operacyjnym lepiej odpowiada synodalnemu wymiarowi bytu </w:t>
      </w:r>
      <w:r w:rsidRPr="00E562AB">
        <w:rPr>
          <w:i/>
        </w:rPr>
        <w:t>sacra potestas</w:t>
      </w:r>
      <w:r>
        <w:t>, który zawsze wymaga współodpowiedzialności wszystkich wiernych na podstawie sakramentów chrztu i bierzmowania. Z tej perspektywy propozycję, którą ówczesny kardynał Joseph Ratzinger przedstawił przy opracowywaniu ostatecznego tekstu Kodeksu, można dziś odczytać jako rodzaj „autentycznej” interpretacji, nawet jeśli później została odrzucona. Brzmiała ona: „</w:t>
      </w:r>
      <w:r w:rsidRPr="00E562AB">
        <w:rPr>
          <w:i/>
        </w:rPr>
        <w:t>In exercitio eiusdem potestatis ii, qui ordine sacro non sunt insigniti, suo modo ad normam iuris adiuvare et cooperari possunt</w:t>
      </w:r>
      <w:r>
        <w:t>”</w:t>
      </w:r>
      <w:r w:rsidR="00D45532">
        <w:rPr>
          <w:rStyle w:val="FootnoteReference"/>
        </w:rPr>
        <w:footnoteReference w:id="31"/>
      </w:r>
      <w:r>
        <w:t xml:space="preserve">. Mówienie o „współpracy” jako „pomocy” nie oznacza umniejszania wkładu świeckich, lecz jedynie podnosi go na poziom wykonywania </w:t>
      </w:r>
      <w:r w:rsidRPr="00E562AB">
        <w:rPr>
          <w:i/>
        </w:rPr>
        <w:t>sacra potestas</w:t>
      </w:r>
      <w:r>
        <w:t>, a nie jej posiadania, jak mogłoby to być rozumiane przy użyciu pojęcia „uczestnictwa”. Taką interpretację potwierdza również decyzja ustawodawcy o podzieleniu normatywnej treści kan. 129 na dwa różne paragrafy: pierwszy zajmuje się „posiadaniem” lub „zdolnością” duchownych, tj. konsekrowanych, do wykonywania władzy kierowniczej; drugi dotyczy wyłącznie „współpracy” na poziomie wykonywania tej władzy.</w:t>
      </w:r>
    </w:p>
    <w:p w14:paraId="36A608DB" w14:textId="77777777" w:rsidR="000D091F" w:rsidRDefault="000D091F" w:rsidP="000D091F">
      <w:pPr>
        <w:pStyle w:val="NormalWeb"/>
        <w:spacing w:before="0" w:beforeAutospacing="0" w:after="0" w:afterAutospacing="0"/>
        <w:ind w:firstLine="708"/>
        <w:jc w:val="both"/>
      </w:pPr>
      <w:r>
        <w:t xml:space="preserve">To wyjaśnienie byłoby oczywiście normatywnie i pastoralnie bardziej precyzyjne, gdyby ustawodawca kościelny w kan. 129 KPK nie mówił po prostu o </w:t>
      </w:r>
      <w:r>
        <w:rPr>
          <w:rStyle w:val="Emphasis"/>
        </w:rPr>
        <w:t>cooperatio</w:t>
      </w:r>
      <w:r>
        <w:t xml:space="preserve"> wszystkich wiernych przy wykonywaniu </w:t>
      </w:r>
      <w:r>
        <w:rPr>
          <w:rStyle w:val="Emphasis"/>
        </w:rPr>
        <w:t>potestas regiminis</w:t>
      </w:r>
      <w:r>
        <w:t xml:space="preserve">, która pozostaje tylko jednym aspektem sacra potestas. Fakt, że ustawodawca kościelny w kan. 979 § 1 KKKP nie stosuje już wyrażenia </w:t>
      </w:r>
      <w:r>
        <w:rPr>
          <w:rStyle w:val="Emphasis"/>
        </w:rPr>
        <w:t>potestas iurisdictionis</w:t>
      </w:r>
      <w:r>
        <w:t xml:space="preserve"> analogicznie do </w:t>
      </w:r>
      <w:r>
        <w:rPr>
          <w:rStyle w:val="Emphasis"/>
        </w:rPr>
        <w:t>potestas regiminis</w:t>
      </w:r>
      <w:r>
        <w:t xml:space="preserve">, wskazuje jednak, że po pierwsze </w:t>
      </w:r>
      <w:r>
        <w:rPr>
          <w:rStyle w:val="Emphasis"/>
        </w:rPr>
        <w:lastRenderedPageBreak/>
        <w:t>munus regendi</w:t>
      </w:r>
      <w:r>
        <w:t xml:space="preserve"> nie może być sprowadzone jedynie do władzy kierowniczej, a po drugie, że ogólna zasada zawarta w kan. 129 § 2 dotycząca </w:t>
      </w:r>
      <w:r>
        <w:rPr>
          <w:rStyle w:val="Emphasis"/>
        </w:rPr>
        <w:t>cooperatio</w:t>
      </w:r>
      <w:r>
        <w:t xml:space="preserve"> wszystkich wiernych przy </w:t>
      </w:r>
      <w:r>
        <w:rPr>
          <w:rStyle w:val="Emphasis"/>
        </w:rPr>
        <w:t>exercitio potestatis</w:t>
      </w:r>
      <w:r>
        <w:t xml:space="preserve"> może słusznie być rozumiana jako prosta </w:t>
      </w:r>
      <w:r>
        <w:rPr>
          <w:rStyle w:val="Emphasis"/>
        </w:rPr>
        <w:t>executio potestatis</w:t>
      </w:r>
      <w:r>
        <w:t xml:space="preserve">, którą można rozciągnąć na wszystkie </w:t>
      </w:r>
      <w:r>
        <w:rPr>
          <w:rStyle w:val="Emphasis"/>
        </w:rPr>
        <w:t>munera</w:t>
      </w:r>
      <w:r>
        <w:t xml:space="preserve"> lub obszary, w których osobiste i synodalne wykonywanie sacra potestas ma zastosowanie. Jako takie odpowiada to zarówno sakramentalnemu pochodzeniu </w:t>
      </w:r>
      <w:r w:rsidRPr="00E562AB">
        <w:rPr>
          <w:i/>
        </w:rPr>
        <w:t>sacra potestas</w:t>
      </w:r>
      <w:r>
        <w:t>, jak i jej stałemu ukierunkowaniu na konstytucyjną zasadę communio.</w:t>
      </w:r>
    </w:p>
    <w:p w14:paraId="1AAE7A13" w14:textId="77777777" w:rsidR="000D091F" w:rsidRPr="00BD642B" w:rsidRDefault="000D091F" w:rsidP="00BD642B">
      <w:pPr>
        <w:pStyle w:val="NormalWeb"/>
        <w:ind w:firstLine="708"/>
        <w:rPr>
          <w:b/>
          <w:bCs/>
          <w:iCs/>
        </w:rPr>
      </w:pPr>
      <w:r w:rsidRPr="00BD642B">
        <w:rPr>
          <w:b/>
          <w:bCs/>
          <w:iCs/>
        </w:rPr>
        <w:t>4.</w:t>
      </w:r>
      <w:r w:rsidR="000F6417">
        <w:rPr>
          <w:b/>
          <w:bCs/>
          <w:iCs/>
        </w:rPr>
        <w:t xml:space="preserve"> </w:t>
      </w:r>
      <w:r w:rsidRPr="00BD642B">
        <w:rPr>
          <w:b/>
          <w:bCs/>
          <w:iCs/>
        </w:rPr>
        <w:t>Wnioski</w:t>
      </w:r>
    </w:p>
    <w:p w14:paraId="328DED71" w14:textId="77777777" w:rsidR="000D091F" w:rsidRDefault="000D091F" w:rsidP="00BD642B">
      <w:pPr>
        <w:pStyle w:val="NormalWeb"/>
        <w:spacing w:before="0" w:beforeAutospacing="0" w:after="0" w:afterAutospacing="0"/>
        <w:ind w:firstLine="708"/>
        <w:jc w:val="both"/>
      </w:pPr>
      <w:r>
        <w:t xml:space="preserve">Jeżeli tak wpływowa gazeta jak </w:t>
      </w:r>
      <w:r>
        <w:rPr>
          <w:rStyle w:val="Emphasis"/>
        </w:rPr>
        <w:t>Frankfurter Allgemeine Zeitung</w:t>
      </w:r>
      <w:r>
        <w:t xml:space="preserve"> pod koniec lat 80. odważyła się twierdzić, że naukowe artykuły Eugenio Corecco dotyczące wykładni prawa kanonicznego, a w szczególności te dotyczące świętej władzy, wywarły wstrząsający wpływ na całą katolicką kanonistykę</w:t>
      </w:r>
      <w:r w:rsidR="00D45532">
        <w:rPr>
          <w:rStyle w:val="FootnoteReference"/>
        </w:rPr>
        <w:footnoteReference w:id="32"/>
      </w:r>
      <w:r>
        <w:t>, to dziś lektura jego pism o synodalności nie jest już jedynie ćwiczeniem akademickim, lecz stanowi konkretne i skuteczne narzędzie do rozumienia władzy w Kościele w sposób nie tylko świecki.</w:t>
      </w:r>
    </w:p>
    <w:p w14:paraId="09DAC6EB" w14:textId="77777777" w:rsidR="007C07CE" w:rsidRDefault="000D091F" w:rsidP="007C07CE">
      <w:pPr>
        <w:pStyle w:val="NormalWeb"/>
        <w:spacing w:before="0" w:beforeAutospacing="0" w:after="0" w:afterAutospacing="0"/>
        <w:ind w:firstLine="708"/>
        <w:jc w:val="both"/>
      </w:pPr>
      <w:r>
        <w:t xml:space="preserve">Przede wszystkim jednak konieczne jest podążanie za nauką ojców soborowych o jedności i oryginalności </w:t>
      </w:r>
      <w:r w:rsidRPr="00E562AB">
        <w:rPr>
          <w:i/>
        </w:rPr>
        <w:t>sacra potestas</w:t>
      </w:r>
      <w:r>
        <w:t xml:space="preserve">. Nauka ta nie jest nowa, lecz kontynuuje długą tradycję kanonistyczną pierwszego tysiąclecia, która znalazła swoje ujście w </w:t>
      </w:r>
      <w:r>
        <w:rPr>
          <w:rStyle w:val="Emphasis"/>
        </w:rPr>
        <w:t>Decretum Gratiani</w:t>
      </w:r>
      <w:r>
        <w:t xml:space="preserve">, i rozwija ją w kierunku eklezjologii wspólnoty. Nie wyklucza wcale współpracy wszystkich wiernych przy wykonywaniu </w:t>
      </w:r>
      <w:r w:rsidRPr="00E562AB">
        <w:rPr>
          <w:i/>
        </w:rPr>
        <w:t>sacra potestas</w:t>
      </w:r>
      <w:r>
        <w:t xml:space="preserve"> przez konsekrowanych urzędników: posiadanie świętej władzy to jedna sprawa, jej wykonywanie – inna. To ostatnie w Kościele jako wspólnocie zawsze zakłada współodpowiedzialność wszystkich wiernych, która ma swoje źródło w sakramencie chrztu, ponieważ synodalność jest istotnym wymiarem samej potestas sacra, choć wyraża się w różny sposób na różny</w:t>
      </w:r>
      <w:r w:rsidR="00476A64">
        <w:t>ch polach</w:t>
      </w:r>
      <w:r>
        <w:t>.</w:t>
      </w:r>
    </w:p>
    <w:p w14:paraId="290DE80F" w14:textId="77777777" w:rsidR="000D091F" w:rsidRDefault="000D091F" w:rsidP="007C07CE">
      <w:pPr>
        <w:pStyle w:val="NormalWeb"/>
        <w:spacing w:before="0" w:beforeAutospacing="0" w:after="0" w:afterAutospacing="0"/>
        <w:ind w:firstLine="708"/>
        <w:jc w:val="both"/>
      </w:pPr>
      <w:r>
        <w:t xml:space="preserve">Rozszerzenie normatywnej treści kan. 129 § 2 na wszystkie obszary zastosowania nie jest zatem aktem woluntarystycznym, ponieważ instrumenty prawne, takie jak </w:t>
      </w:r>
      <w:r>
        <w:rPr>
          <w:rStyle w:val="Emphasis"/>
        </w:rPr>
        <w:t>nihil obstat</w:t>
      </w:r>
      <w:r>
        <w:t xml:space="preserve">, </w:t>
      </w:r>
      <w:r>
        <w:rPr>
          <w:rStyle w:val="Emphasis"/>
        </w:rPr>
        <w:t>missio canonica</w:t>
      </w:r>
      <w:r>
        <w:t xml:space="preserve">, mandat biskupi czy inne, były w Kościele zawsze stosowane – nawet bez odwoływania się do zasady </w:t>
      </w:r>
      <w:r>
        <w:rPr>
          <w:rStyle w:val="Emphasis"/>
        </w:rPr>
        <w:t>supplet Ecclesia</w:t>
      </w:r>
      <w:r>
        <w:t xml:space="preserve"> – w celu konkretyzowania synodalnego wymiaru sacra potestas oraz w jej rzeczywistym wykonywaniu w służbie wspólnocie kościelnej wzmacniania wspólnego kapłaństwa, w które każdy ochrzczony jest włączony.</w:t>
      </w:r>
    </w:p>
    <w:p w14:paraId="158C5441" w14:textId="77777777" w:rsidR="008C3CDF" w:rsidRPr="008C3CDF" w:rsidRDefault="008C3CDF" w:rsidP="008C3CDF">
      <w:pPr>
        <w:pStyle w:val="NormalWeb"/>
        <w:spacing w:before="0" w:beforeAutospacing="0" w:after="0" w:afterAutospacing="0"/>
        <w:ind w:firstLine="708"/>
        <w:jc w:val="right"/>
        <w:rPr>
          <w:i/>
          <w:iCs/>
        </w:rPr>
      </w:pPr>
      <w:r w:rsidRPr="008C3CDF">
        <w:rPr>
          <w:i/>
          <w:iCs/>
        </w:rPr>
        <w:t>Tłumaczenie z języka niemieckiego Anna Buczniewska</w:t>
      </w:r>
    </w:p>
    <w:p w14:paraId="4388FC0F" w14:textId="77777777" w:rsidR="00E562AB" w:rsidRDefault="00E562AB" w:rsidP="000D091F">
      <w:pPr>
        <w:pStyle w:val="NormalWeb"/>
        <w:spacing w:before="0" w:beforeAutospacing="0" w:after="0" w:afterAutospacing="0"/>
        <w:jc w:val="both"/>
      </w:pPr>
    </w:p>
    <w:p w14:paraId="793A98FF" w14:textId="77777777" w:rsidR="001E7257" w:rsidRDefault="001E7257" w:rsidP="00C81A65">
      <w:pPr>
        <w:pStyle w:val="NormalWeb"/>
        <w:spacing w:before="0" w:beforeAutospacing="0" w:after="0" w:afterAutospacing="0"/>
        <w:ind w:firstLine="708"/>
        <w:jc w:val="both"/>
      </w:pPr>
      <w:r w:rsidRPr="00C81A65">
        <w:rPr>
          <w:b/>
          <w:bCs/>
        </w:rPr>
        <w:t>Nota o Autorze:</w:t>
      </w:r>
      <w:r w:rsidR="00C81A65" w:rsidRPr="00C81A65">
        <w:rPr>
          <w:b/>
          <w:bCs/>
        </w:rPr>
        <w:t xml:space="preserve"> </w:t>
      </w:r>
      <w:r w:rsidRPr="00C81A65">
        <w:rPr>
          <w:b/>
          <w:bCs/>
        </w:rPr>
        <w:t>Libero Gerosa</w:t>
      </w:r>
      <w:r>
        <w:t xml:space="preserve"> </w:t>
      </w:r>
      <w:r w:rsidR="00C81A65">
        <w:t xml:space="preserve">– urodzony </w:t>
      </w:r>
      <w:r>
        <w:t>2 marca 1949</w:t>
      </w:r>
      <w:r w:rsidR="00C81A65">
        <w:t xml:space="preserve"> roku. Szwajcarski teolog i prawnik. Po przyjęciu święceń prezbiteratu</w:t>
      </w:r>
      <w:r>
        <w:t xml:space="preserve"> w 1975 roku, uzyskał w 1984 roku doktorat z teologii na Uniwersytecie Fryburskim</w:t>
      </w:r>
      <w:r w:rsidR="00C81A65">
        <w:t>. Kontynuował</w:t>
      </w:r>
      <w:r>
        <w:t xml:space="preserve"> studia na Katolickim Uniwersytecie w Eichstätt, gdzie uzyskał habilitację w zakresie prawa kanonicznego. W 1990 roku został profesorem nadzwyczajnym na Wydziale Teologii w Paderborn, gdzie uczył prawa kanonicznego do roku 2000 i był rektorem w latach 1997-1999.</w:t>
      </w:r>
      <w:r w:rsidR="00C81A65">
        <w:t xml:space="preserve"> </w:t>
      </w:r>
      <w:r>
        <w:t>W 2000 roku został profesorem nadzwyczajnym prawa kanonicznego na Wydziale Teologii w Lugano, gdzie pełnił funkcję rektora od 2000 do 2008 roku.</w:t>
      </w:r>
      <w:r w:rsidR="00C81A65">
        <w:t xml:space="preserve"> </w:t>
      </w:r>
      <w:r>
        <w:t>W 2002 roku założył Instytut DiReCom, który działa jako centrum dydaktyczne i badawcze w dziedzinie prawa kanonicznego, prawa kościelnego i prawa porównawczego religii.</w:t>
      </w:r>
      <w:r w:rsidR="00C81A65">
        <w:t xml:space="preserve"> </w:t>
      </w:r>
      <w:r>
        <w:t>Od 2001 roku jest konsultorem Papieskiej Rady do Spraw Świeckich, a od 2003 roku konsul</w:t>
      </w:r>
      <w:r w:rsidR="00C81A65">
        <w:t>torem Kongregacji do Spraw Duchowieństwa</w:t>
      </w:r>
      <w:r>
        <w:t>. Od stycznia 2009 roku jest przewodniczącym Komisji „Kościół i Państwo” Konferencji Biskupów Szwajcarskich oraz przewodniczącym Komisji ds. skarg administracyjnych Diecezji Lugano.</w:t>
      </w:r>
    </w:p>
    <w:p w14:paraId="580C6EC3" w14:textId="77777777" w:rsidR="00C81A65" w:rsidRDefault="00C81A65" w:rsidP="00C81A65">
      <w:pPr>
        <w:pStyle w:val="NormalWeb"/>
        <w:spacing w:before="0" w:beforeAutospacing="0" w:after="0" w:afterAutospacing="0"/>
        <w:jc w:val="both"/>
      </w:pPr>
    </w:p>
    <w:p w14:paraId="7002200E" w14:textId="77777777" w:rsidR="00C81A65" w:rsidRPr="00842F52" w:rsidRDefault="00C81A65" w:rsidP="00C81A65">
      <w:pPr>
        <w:pStyle w:val="NormalWeb"/>
        <w:spacing w:before="0" w:beforeAutospacing="0" w:after="0" w:afterAutospacing="0"/>
        <w:jc w:val="both"/>
        <w:rPr>
          <w:b/>
          <w:bCs/>
          <w:lang w:val="de-AT"/>
        </w:rPr>
      </w:pPr>
      <w:r w:rsidRPr="00842F52">
        <w:rPr>
          <w:b/>
          <w:bCs/>
          <w:lang w:val="de-AT"/>
        </w:rPr>
        <w:lastRenderedPageBreak/>
        <w:t>Bibliografia:</w:t>
      </w:r>
    </w:p>
    <w:p w14:paraId="1C94A489" w14:textId="77777777" w:rsidR="000F6417" w:rsidRPr="00C81A65" w:rsidRDefault="000F6417" w:rsidP="000F6417">
      <w:pPr>
        <w:pStyle w:val="NormalWeb"/>
        <w:spacing w:before="0" w:beforeAutospacing="0" w:after="0" w:afterAutospacing="0"/>
        <w:ind w:left="1134" w:hanging="1134"/>
        <w:jc w:val="both"/>
        <w:rPr>
          <w:lang w:val="de-AT"/>
        </w:rPr>
      </w:pPr>
      <w:r w:rsidRPr="00C81A65">
        <w:rPr>
          <w:lang w:val="de-AT"/>
        </w:rPr>
        <w:t>Balthasar</w:t>
      </w:r>
      <w:r>
        <w:rPr>
          <w:lang w:val="de-AT"/>
        </w:rPr>
        <w:t xml:space="preserve"> </w:t>
      </w:r>
      <w:r w:rsidRPr="00C81A65">
        <w:rPr>
          <w:lang w:val="de-AT"/>
        </w:rPr>
        <w:t xml:space="preserve">H.U. von, </w:t>
      </w:r>
      <w:r w:rsidRPr="00C81A65">
        <w:rPr>
          <w:rStyle w:val="Emphasis"/>
          <w:lang w:val="de-AT"/>
        </w:rPr>
        <w:t>Christlicher Stand</w:t>
      </w:r>
      <w:r>
        <w:rPr>
          <w:lang w:val="de-AT"/>
        </w:rPr>
        <w:t>, Einsiedeln 1977</w:t>
      </w:r>
      <w:r w:rsidRPr="00C81A65">
        <w:rPr>
          <w:lang w:val="de-AT"/>
        </w:rPr>
        <w:t>.</w:t>
      </w:r>
    </w:p>
    <w:p w14:paraId="0D78E188" w14:textId="77777777" w:rsidR="000F6417" w:rsidRDefault="000F6417" w:rsidP="000F6417">
      <w:pPr>
        <w:pStyle w:val="NormalWeb"/>
        <w:spacing w:before="0" w:beforeAutospacing="0" w:after="0" w:afterAutospacing="0"/>
        <w:ind w:left="1134" w:hanging="1134"/>
        <w:jc w:val="both"/>
        <w:rPr>
          <w:lang w:val="en-US"/>
        </w:rPr>
      </w:pPr>
      <w:r w:rsidRPr="00C81A65">
        <w:rPr>
          <w:lang w:val="en-US"/>
        </w:rPr>
        <w:t>Bertolis</w:t>
      </w:r>
      <w:r>
        <w:rPr>
          <w:lang w:val="en-US"/>
        </w:rPr>
        <w:t xml:space="preserve"> </w:t>
      </w:r>
      <w:r w:rsidRPr="00C81A65">
        <w:rPr>
          <w:lang w:val="en-US"/>
        </w:rPr>
        <w:t xml:space="preserve">O. de, </w:t>
      </w:r>
      <w:r w:rsidRPr="00C81A65">
        <w:rPr>
          <w:rStyle w:val="Emphasis"/>
          <w:lang w:val="en-US"/>
        </w:rPr>
        <w:t>Origine ed esercizio della potestà ecclesiastica di governo in San Tommaso</w:t>
      </w:r>
      <w:r w:rsidRPr="00C81A65">
        <w:rPr>
          <w:lang w:val="en-US"/>
        </w:rPr>
        <w:t>, Roma 2005</w:t>
      </w:r>
      <w:r>
        <w:rPr>
          <w:lang w:val="en-US"/>
        </w:rPr>
        <w:t>.</w:t>
      </w:r>
    </w:p>
    <w:p w14:paraId="7170D600" w14:textId="77777777" w:rsidR="000F6417" w:rsidRDefault="000F6417" w:rsidP="000F6417">
      <w:pPr>
        <w:pStyle w:val="NormalWeb"/>
        <w:spacing w:before="0" w:beforeAutospacing="0" w:after="0" w:afterAutospacing="0"/>
        <w:ind w:left="1134" w:hanging="1134"/>
        <w:rPr>
          <w:lang w:val="de-AT"/>
        </w:rPr>
      </w:pPr>
      <w:r w:rsidRPr="00C81A65">
        <w:rPr>
          <w:lang w:val="de-AT"/>
        </w:rPr>
        <w:t>Betti</w:t>
      </w:r>
      <w:r>
        <w:rPr>
          <w:lang w:val="de-AT"/>
        </w:rPr>
        <w:t xml:space="preserve"> </w:t>
      </w:r>
      <w:r w:rsidRPr="00C81A65">
        <w:rPr>
          <w:lang w:val="de-AT"/>
        </w:rPr>
        <w:t xml:space="preserve">U., </w:t>
      </w:r>
      <w:r w:rsidRPr="00C81A65">
        <w:rPr>
          <w:rStyle w:val="Emphasis"/>
          <w:lang w:val="de-AT"/>
        </w:rPr>
        <w:t>Die Beziehungen zwischen dem Papst und der übrigen Gliedern des Bischofskollegiums</w:t>
      </w:r>
      <w:r w:rsidRPr="00C81A65">
        <w:rPr>
          <w:lang w:val="de-AT"/>
        </w:rPr>
        <w:t xml:space="preserve">, w: Baraúna, </w:t>
      </w:r>
      <w:r w:rsidRPr="00C81A65">
        <w:rPr>
          <w:rStyle w:val="Emphasis"/>
          <w:lang w:val="de-AT"/>
        </w:rPr>
        <w:t>Beiträge</w:t>
      </w:r>
      <w:r w:rsidRPr="00C81A65">
        <w:rPr>
          <w:lang w:val="de-AT"/>
        </w:rPr>
        <w:t xml:space="preserve"> (zob. wyżej), t. II, s. 71–83</w:t>
      </w:r>
      <w:r>
        <w:rPr>
          <w:lang w:val="de-AT"/>
        </w:rPr>
        <w:t>.</w:t>
      </w:r>
    </w:p>
    <w:p w14:paraId="10CEB5AA" w14:textId="77777777" w:rsidR="000F6417" w:rsidRPr="00605DD3" w:rsidRDefault="000F6417" w:rsidP="000F6417">
      <w:pPr>
        <w:pStyle w:val="NormalWeb"/>
        <w:spacing w:before="0" w:beforeAutospacing="0" w:after="0" w:afterAutospacing="0"/>
        <w:ind w:left="1134" w:hanging="1134"/>
        <w:jc w:val="both"/>
        <w:rPr>
          <w:lang w:val="en-US"/>
        </w:rPr>
      </w:pPr>
      <w:r w:rsidRPr="00605DD3">
        <w:rPr>
          <w:lang w:val="en-US"/>
        </w:rPr>
        <w:t>Betti</w:t>
      </w:r>
      <w:r>
        <w:rPr>
          <w:lang w:val="en-US"/>
        </w:rPr>
        <w:t xml:space="preserve"> </w:t>
      </w:r>
      <w:r w:rsidRPr="00605DD3">
        <w:rPr>
          <w:lang w:val="en-US"/>
        </w:rPr>
        <w:t xml:space="preserve">U., </w:t>
      </w:r>
      <w:r w:rsidRPr="00605DD3">
        <w:rPr>
          <w:rStyle w:val="Emphasis"/>
          <w:lang w:val="en-US"/>
        </w:rPr>
        <w:t>In margine al nuovo Codice di diritto canonico</w:t>
      </w:r>
      <w:r w:rsidRPr="00605DD3">
        <w:rPr>
          <w:lang w:val="en-US"/>
        </w:rPr>
        <w:t xml:space="preserve">, w: </w:t>
      </w:r>
      <w:r w:rsidRPr="00605DD3">
        <w:rPr>
          <w:rStyle w:val="Emphasis"/>
          <w:lang w:val="en-US"/>
        </w:rPr>
        <w:t>Antonianum</w:t>
      </w:r>
      <w:r w:rsidRPr="00605DD3">
        <w:rPr>
          <w:lang w:val="en-US"/>
        </w:rPr>
        <w:t xml:space="preserve"> 58</w:t>
      </w:r>
      <w:r>
        <w:rPr>
          <w:lang w:val="en-US"/>
        </w:rPr>
        <w:t>(1983), s. 628–647</w:t>
      </w:r>
      <w:r w:rsidRPr="00605DD3">
        <w:rPr>
          <w:lang w:val="en-US"/>
        </w:rPr>
        <w:t>.</w:t>
      </w:r>
    </w:p>
    <w:p w14:paraId="651BF161" w14:textId="77777777" w:rsidR="000F6417" w:rsidRPr="000F6417" w:rsidRDefault="000F6417" w:rsidP="000F6417">
      <w:pPr>
        <w:pStyle w:val="NormalWeb"/>
        <w:spacing w:before="0" w:beforeAutospacing="0" w:after="0" w:afterAutospacing="0"/>
        <w:ind w:left="1134" w:hanging="1134"/>
        <w:jc w:val="both"/>
        <w:rPr>
          <w:lang w:val="en-US"/>
        </w:rPr>
      </w:pPr>
      <w:r w:rsidRPr="000F6417">
        <w:rPr>
          <w:lang w:val="en-US"/>
        </w:rPr>
        <w:t xml:space="preserve">Beyer J.B., </w:t>
      </w:r>
      <w:r w:rsidRPr="000F6417">
        <w:rPr>
          <w:rStyle w:val="Emphasis"/>
          <w:lang w:val="en-US"/>
        </w:rPr>
        <w:t>De natura potestatis regiminis seu iurisdictionis recte in Codice renovato enuntianda</w:t>
      </w:r>
      <w:r w:rsidRPr="000F6417">
        <w:rPr>
          <w:lang w:val="en-US"/>
        </w:rPr>
        <w:t xml:space="preserve">, w: </w:t>
      </w:r>
      <w:r w:rsidRPr="000F6417">
        <w:rPr>
          <w:rStyle w:val="Emphasis"/>
          <w:lang w:val="en-US"/>
        </w:rPr>
        <w:t>Periodica</w:t>
      </w:r>
      <w:r w:rsidRPr="000F6417">
        <w:rPr>
          <w:lang w:val="en-US"/>
        </w:rPr>
        <w:t xml:space="preserve"> 71(1982), s. 93–145.</w:t>
      </w:r>
    </w:p>
    <w:p w14:paraId="7C080009" w14:textId="77777777" w:rsidR="000F6417" w:rsidRPr="000F6417" w:rsidRDefault="000F6417" w:rsidP="000F6417">
      <w:pPr>
        <w:pStyle w:val="NormalWeb"/>
        <w:spacing w:before="0" w:beforeAutospacing="0" w:after="0" w:afterAutospacing="0"/>
        <w:ind w:left="1134" w:hanging="1134"/>
        <w:jc w:val="both"/>
        <w:rPr>
          <w:lang w:val="en-US"/>
        </w:rPr>
      </w:pPr>
      <w:r w:rsidRPr="000F6417">
        <w:rPr>
          <w:lang w:val="en-US"/>
        </w:rPr>
        <w:t xml:space="preserve">Cattaneo A., </w:t>
      </w:r>
      <w:r w:rsidRPr="000F6417">
        <w:rPr>
          <w:rStyle w:val="Emphasis"/>
          <w:lang w:val="en-US"/>
        </w:rPr>
        <w:t>Questioni fondamentali della canonistica nel pensiero di Klaus Mörsdorf</w:t>
      </w:r>
      <w:r w:rsidRPr="000F6417">
        <w:rPr>
          <w:lang w:val="en-US"/>
        </w:rPr>
        <w:t>, Pamplona 1986.</w:t>
      </w:r>
    </w:p>
    <w:p w14:paraId="59F64564" w14:textId="77777777" w:rsidR="000F6417" w:rsidRDefault="000F6417" w:rsidP="000F6417">
      <w:pPr>
        <w:pStyle w:val="NormalWeb"/>
        <w:spacing w:before="0" w:beforeAutospacing="0" w:after="0" w:afterAutospacing="0"/>
        <w:ind w:left="1134" w:hanging="1134"/>
        <w:jc w:val="both"/>
        <w:rPr>
          <w:lang w:val="en-US"/>
        </w:rPr>
      </w:pPr>
      <w:r w:rsidRPr="000F6417">
        <w:rPr>
          <w:lang w:val="en-US"/>
        </w:rPr>
        <w:t xml:space="preserve">Corecco E., </w:t>
      </w:r>
      <w:r w:rsidRPr="000F6417">
        <w:rPr>
          <w:rStyle w:val="Emphasis"/>
          <w:lang w:val="en-US"/>
        </w:rPr>
        <w:t>Aspetti della ricezione del Vaticano II nel Codice di diritto canonico</w:t>
      </w:r>
      <w:r w:rsidRPr="000F6417">
        <w:rPr>
          <w:lang w:val="en-US"/>
        </w:rPr>
        <w:t xml:space="preserve">, w: G. Borgonovo, A. Cattaneo (red.), </w:t>
      </w:r>
      <w:r w:rsidRPr="000F6417">
        <w:rPr>
          <w:rStyle w:val="Emphasis"/>
          <w:lang w:val="en-US"/>
        </w:rPr>
        <w:t xml:space="preserve">Ius et communio. </w:t>
      </w:r>
      <w:r w:rsidRPr="00C81A65">
        <w:rPr>
          <w:rStyle w:val="Emphasis"/>
          <w:lang w:val="en-US"/>
        </w:rPr>
        <w:t>Scritti di Diritto Canonico</w:t>
      </w:r>
      <w:r w:rsidRPr="00C81A65">
        <w:rPr>
          <w:lang w:val="en-US"/>
        </w:rPr>
        <w:t>, Casale Monferrato 1997, t. II, s. 646–705</w:t>
      </w:r>
      <w:r>
        <w:rPr>
          <w:lang w:val="en-US"/>
        </w:rPr>
        <w:t>.</w:t>
      </w:r>
    </w:p>
    <w:p w14:paraId="57D0EB5D" w14:textId="77777777" w:rsidR="000F6417" w:rsidRPr="000F6417" w:rsidRDefault="000F6417" w:rsidP="000F6417">
      <w:pPr>
        <w:pStyle w:val="NormalWeb"/>
        <w:spacing w:before="0" w:beforeAutospacing="0" w:after="0" w:afterAutospacing="0"/>
        <w:ind w:left="1134" w:hanging="1134"/>
        <w:jc w:val="both"/>
        <w:rPr>
          <w:lang w:val="en-US"/>
        </w:rPr>
      </w:pPr>
      <w:r w:rsidRPr="000F6417">
        <w:rPr>
          <w:lang w:val="en-US"/>
        </w:rPr>
        <w:t xml:space="preserve">Corecco E., </w:t>
      </w:r>
      <w:r w:rsidRPr="000F6417">
        <w:rPr>
          <w:rStyle w:val="Emphasis"/>
          <w:lang w:val="en-US"/>
        </w:rPr>
        <w:t>Natura e struttura della «sacra potestas» nella dottrina e nel nuovo codice di diritto canonico</w:t>
      </w:r>
      <w:r w:rsidRPr="000F6417">
        <w:rPr>
          <w:lang w:val="en-US"/>
        </w:rPr>
        <w:t xml:space="preserve">, w: </w:t>
      </w:r>
      <w:r w:rsidRPr="000F6417">
        <w:rPr>
          <w:i/>
          <w:iCs/>
          <w:lang w:val="en-US"/>
        </w:rPr>
        <w:t>Communio</w:t>
      </w:r>
      <w:r w:rsidRPr="000F6417">
        <w:rPr>
          <w:lang w:val="en-US"/>
        </w:rPr>
        <w:t xml:space="preserve"> 75(1984), s. 24–52.</w:t>
      </w:r>
    </w:p>
    <w:p w14:paraId="04E2270E" w14:textId="77777777" w:rsidR="000F6417" w:rsidRPr="00605DD3" w:rsidRDefault="000F6417" w:rsidP="00605DD3">
      <w:pPr>
        <w:pStyle w:val="NormalWeb"/>
        <w:spacing w:before="0" w:beforeAutospacing="0" w:after="0" w:afterAutospacing="0"/>
        <w:ind w:left="1134" w:hanging="1134"/>
        <w:jc w:val="both"/>
        <w:rPr>
          <w:lang w:val="de-AT"/>
        </w:rPr>
      </w:pPr>
      <w:r w:rsidRPr="00605DD3">
        <w:rPr>
          <w:lang w:val="en-US"/>
        </w:rPr>
        <w:t xml:space="preserve">Dicastery for Promoting Christian Unity, </w:t>
      </w:r>
      <w:r w:rsidRPr="00605DD3">
        <w:rPr>
          <w:i/>
          <w:iCs/>
          <w:lang w:val="en-US"/>
        </w:rPr>
        <w:t xml:space="preserve">Der Bischof von Rom. </w:t>
      </w:r>
      <w:r w:rsidRPr="00605DD3">
        <w:rPr>
          <w:i/>
          <w:iCs/>
          <w:lang w:val="de-AT"/>
        </w:rPr>
        <w:t>Primat und Synodalität in den ökumenischen Dialogen</w:t>
      </w:r>
      <w:r w:rsidRPr="00605DD3">
        <w:rPr>
          <w:lang w:val="de-AT"/>
        </w:rPr>
        <w:t>, Rom 2024.</w:t>
      </w:r>
    </w:p>
    <w:p w14:paraId="7300F683" w14:textId="77777777" w:rsidR="000F6417" w:rsidRPr="00605DD3" w:rsidRDefault="000F6417" w:rsidP="00605DD3">
      <w:pPr>
        <w:pStyle w:val="NormalWeb"/>
        <w:spacing w:before="0" w:beforeAutospacing="0" w:after="0" w:afterAutospacing="0"/>
        <w:ind w:left="1134" w:hanging="1134"/>
        <w:jc w:val="both"/>
      </w:pPr>
      <w:r w:rsidRPr="00605DD3">
        <w:t xml:space="preserve">Franciszek, Konstytucja apostolska </w:t>
      </w:r>
      <w:r w:rsidRPr="00605DD3">
        <w:rPr>
          <w:i/>
          <w:iCs/>
        </w:rPr>
        <w:t xml:space="preserve">Praedicate evangelium, </w:t>
      </w:r>
      <w:r w:rsidRPr="00605DD3">
        <w:t>Watykan 2022.</w:t>
      </w:r>
    </w:p>
    <w:p w14:paraId="06FDE2CC" w14:textId="77777777" w:rsidR="000F6417" w:rsidRPr="00C66CF7" w:rsidRDefault="000F6417" w:rsidP="000F6417">
      <w:pPr>
        <w:pStyle w:val="NormalWeb"/>
        <w:spacing w:before="0" w:beforeAutospacing="0" w:after="0" w:afterAutospacing="0"/>
        <w:ind w:left="1134" w:hanging="1134"/>
        <w:jc w:val="both"/>
        <w:rPr>
          <w:lang w:val="de-AT"/>
        </w:rPr>
      </w:pPr>
      <w:r w:rsidRPr="00C66CF7">
        <w:rPr>
          <w:lang w:val="de-AT"/>
        </w:rPr>
        <w:t>Gerosa</w:t>
      </w:r>
      <w:r>
        <w:rPr>
          <w:lang w:val="de-AT"/>
        </w:rPr>
        <w:t xml:space="preserve"> </w:t>
      </w:r>
      <w:r w:rsidRPr="00C66CF7">
        <w:rPr>
          <w:lang w:val="de-AT"/>
        </w:rPr>
        <w:t xml:space="preserve">L., </w:t>
      </w:r>
      <w:r w:rsidRPr="00C66CF7">
        <w:rPr>
          <w:rStyle w:val="Emphasis"/>
          <w:lang w:val="de-AT"/>
        </w:rPr>
        <w:t>Das Recht der Kirche</w:t>
      </w:r>
      <w:r>
        <w:rPr>
          <w:lang w:val="de-AT"/>
        </w:rPr>
        <w:t>, Paderborn 1995</w:t>
      </w:r>
      <w:r w:rsidRPr="00C66CF7">
        <w:rPr>
          <w:lang w:val="de-AT"/>
        </w:rPr>
        <w:t>.</w:t>
      </w:r>
    </w:p>
    <w:p w14:paraId="54F27277" w14:textId="77777777" w:rsidR="000F6417" w:rsidRPr="00842F52" w:rsidRDefault="000F6417" w:rsidP="000F6417">
      <w:pPr>
        <w:pStyle w:val="NormalWeb"/>
        <w:spacing w:before="0" w:beforeAutospacing="0" w:after="0" w:afterAutospacing="0"/>
        <w:ind w:left="1134" w:hanging="1134"/>
        <w:jc w:val="both"/>
      </w:pPr>
      <w:r w:rsidRPr="00605DD3">
        <w:t xml:space="preserve">Gerosa L., </w:t>
      </w:r>
      <w:r w:rsidRPr="00605DD3">
        <w:rPr>
          <w:rStyle w:val="Emphasis"/>
        </w:rPr>
        <w:t>Prefazione</w:t>
      </w:r>
      <w:r w:rsidRPr="00605DD3">
        <w:t xml:space="preserve">, w: E. Corecco, </w:t>
      </w:r>
      <w:r w:rsidRPr="00605DD3">
        <w:rPr>
          <w:rStyle w:val="Emphasis"/>
        </w:rPr>
        <w:t xml:space="preserve">Democrazia e Chiesa. </w:t>
      </w:r>
      <w:r w:rsidRPr="00842F52">
        <w:rPr>
          <w:rStyle w:val="Emphasis"/>
        </w:rPr>
        <w:t>Sinodalità e comunione</w:t>
      </w:r>
      <w:r w:rsidRPr="00842F52">
        <w:t>, Bologna 2023, s. 7–9.</w:t>
      </w:r>
    </w:p>
    <w:p w14:paraId="741E2E92" w14:textId="77777777" w:rsidR="000F6417" w:rsidRPr="000F6417" w:rsidRDefault="000F6417" w:rsidP="000F6417">
      <w:pPr>
        <w:pStyle w:val="NormalWeb"/>
        <w:spacing w:before="0" w:beforeAutospacing="0" w:after="0" w:afterAutospacing="0"/>
        <w:ind w:left="1134" w:hanging="1134"/>
        <w:jc w:val="both"/>
      </w:pPr>
      <w:r w:rsidRPr="000F6417">
        <w:t xml:space="preserve">Gerosa L., </w:t>
      </w:r>
      <w:r w:rsidRPr="000F6417">
        <w:rPr>
          <w:rStyle w:val="Emphasis"/>
        </w:rPr>
        <w:t>Sacro e diritto</w:t>
      </w:r>
      <w:r w:rsidRPr="000F6417">
        <w:t>, Mailand 2014.</w:t>
      </w:r>
    </w:p>
    <w:p w14:paraId="44ED9418" w14:textId="77777777" w:rsidR="000F6417" w:rsidRDefault="000F6417" w:rsidP="000F6417">
      <w:pPr>
        <w:pStyle w:val="NormalWeb"/>
        <w:spacing w:before="0" w:beforeAutospacing="0" w:after="0" w:afterAutospacing="0"/>
        <w:ind w:left="1134" w:hanging="1134"/>
        <w:jc w:val="both"/>
      </w:pPr>
      <w:r w:rsidRPr="00C66CF7">
        <w:t xml:space="preserve">II Sobór Watykański, </w:t>
      </w:r>
      <w:r w:rsidRPr="00C66CF7">
        <w:rPr>
          <w:shd w:val="clear" w:color="auto" w:fill="FFFFFF"/>
        </w:rPr>
        <w:t>Deklaracja o stosunku Kościoła do religii niechrześcijańskich </w:t>
      </w:r>
      <w:r w:rsidRPr="00C66CF7">
        <w:rPr>
          <w:i/>
          <w:iCs/>
        </w:rPr>
        <w:t>Nostra aetate</w:t>
      </w:r>
      <w:r>
        <w:t>, Watykan 1965.</w:t>
      </w:r>
    </w:p>
    <w:p w14:paraId="69573CB3" w14:textId="77777777" w:rsidR="000F6417" w:rsidRPr="00605DD3" w:rsidRDefault="000F6417" w:rsidP="00605DD3">
      <w:pPr>
        <w:pStyle w:val="NormalWeb"/>
        <w:spacing w:before="0" w:beforeAutospacing="0" w:after="0" w:afterAutospacing="0"/>
        <w:ind w:left="1134" w:hanging="1134"/>
        <w:jc w:val="both"/>
      </w:pPr>
      <w:r w:rsidRPr="00605DD3">
        <w:t xml:space="preserve">II Sobór Watykański, </w:t>
      </w:r>
      <w:r w:rsidRPr="00605DD3">
        <w:rPr>
          <w:color w:val="202122"/>
          <w:shd w:val="clear" w:color="auto" w:fill="FFFFFF"/>
        </w:rPr>
        <w:t xml:space="preserve">Dekret o pasterskich zadaniach biskupów w Kościele </w:t>
      </w:r>
      <w:r w:rsidRPr="00605DD3">
        <w:rPr>
          <w:i/>
          <w:iCs/>
        </w:rPr>
        <w:t>Christus</w:t>
      </w:r>
      <w:r w:rsidRPr="00605DD3">
        <w:t xml:space="preserve"> </w:t>
      </w:r>
      <w:r w:rsidRPr="00605DD3">
        <w:rPr>
          <w:i/>
          <w:iCs/>
        </w:rPr>
        <w:t>Dominus</w:t>
      </w:r>
      <w:r w:rsidRPr="00605DD3">
        <w:t>, Watykan 1965.</w:t>
      </w:r>
    </w:p>
    <w:p w14:paraId="52C09304" w14:textId="77777777" w:rsidR="000F6417" w:rsidRPr="00605DD3" w:rsidRDefault="000F6417" w:rsidP="00605DD3">
      <w:pPr>
        <w:pStyle w:val="NoSpacing"/>
        <w:ind w:left="1134" w:hanging="1134"/>
        <w:rPr>
          <w:rFonts w:ascii="Times New Roman" w:hAnsi="Times New Roman" w:cs="Times New Roman"/>
          <w:sz w:val="24"/>
          <w:szCs w:val="24"/>
        </w:rPr>
      </w:pPr>
      <w:r w:rsidRPr="00605DD3">
        <w:rPr>
          <w:rFonts w:ascii="Times New Roman" w:hAnsi="Times New Roman" w:cs="Times New Roman"/>
          <w:sz w:val="24"/>
          <w:szCs w:val="24"/>
        </w:rPr>
        <w:t>II Sobór Watykański, Dekret o posłudze i życiu prezbiterów</w:t>
      </w:r>
      <w:r w:rsidRPr="00605DD3">
        <w:rPr>
          <w:rFonts w:ascii="Times New Roman" w:hAnsi="Times New Roman" w:cs="Times New Roman"/>
          <w:i/>
          <w:iCs/>
          <w:sz w:val="24"/>
          <w:szCs w:val="24"/>
        </w:rPr>
        <w:t xml:space="preserve"> Presbyterorum ordinis</w:t>
      </w:r>
      <w:r w:rsidRPr="00605DD3">
        <w:rPr>
          <w:rFonts w:ascii="Times New Roman" w:hAnsi="Times New Roman" w:cs="Times New Roman"/>
          <w:sz w:val="24"/>
          <w:szCs w:val="24"/>
        </w:rPr>
        <w:t>, Watykan 1965.</w:t>
      </w:r>
    </w:p>
    <w:p w14:paraId="40D4E130" w14:textId="77777777" w:rsidR="000F6417" w:rsidRPr="00605DD3" w:rsidRDefault="000F6417" w:rsidP="00605DD3">
      <w:pPr>
        <w:pStyle w:val="NormalWeb"/>
        <w:spacing w:before="0" w:beforeAutospacing="0" w:after="0" w:afterAutospacing="0"/>
        <w:ind w:left="1134" w:hanging="1134"/>
        <w:jc w:val="both"/>
      </w:pPr>
      <w:r w:rsidRPr="00605DD3">
        <w:t xml:space="preserve">II Sobór Watykański, Konstytucja </w:t>
      </w:r>
      <w:r w:rsidRPr="00605DD3">
        <w:rPr>
          <w:color w:val="202122"/>
          <w:shd w:val="clear" w:color="auto" w:fill="FFFFFF"/>
        </w:rPr>
        <w:t xml:space="preserve">dogmatyczna o Kościele </w:t>
      </w:r>
      <w:r w:rsidRPr="00605DD3">
        <w:rPr>
          <w:i/>
          <w:iCs/>
        </w:rPr>
        <w:t>Lumen gentium</w:t>
      </w:r>
      <w:r w:rsidRPr="00605DD3">
        <w:t>, Watykan 1964.</w:t>
      </w:r>
    </w:p>
    <w:p w14:paraId="41CFB505" w14:textId="77777777" w:rsidR="000F6417" w:rsidRPr="00C81A65" w:rsidRDefault="000F6417" w:rsidP="000F6417">
      <w:pPr>
        <w:pStyle w:val="NormalWeb"/>
        <w:spacing w:before="0" w:beforeAutospacing="0" w:after="0" w:afterAutospacing="0"/>
        <w:ind w:left="1134" w:hanging="1134"/>
        <w:jc w:val="both"/>
        <w:rPr>
          <w:lang w:val="de-AT"/>
        </w:rPr>
      </w:pPr>
      <w:r w:rsidRPr="00C81A65">
        <w:rPr>
          <w:lang w:val="de-AT"/>
        </w:rPr>
        <w:t xml:space="preserve">Internationale Theologische Kommission, </w:t>
      </w:r>
      <w:r w:rsidRPr="00C81A65">
        <w:rPr>
          <w:rStyle w:val="Emphasis"/>
          <w:lang w:val="de-AT"/>
        </w:rPr>
        <w:t>Ausgewählte Themen der Ekklesiologie zum 20. Jahrestag nach Abschluss des II. Vatikanischen Konzils</w:t>
      </w:r>
      <w:r>
        <w:rPr>
          <w:lang w:val="de-AT"/>
        </w:rPr>
        <w:t>, Vatikanstadt 1984</w:t>
      </w:r>
      <w:r w:rsidRPr="00C81A65">
        <w:rPr>
          <w:lang w:val="de-AT"/>
        </w:rPr>
        <w:t>.</w:t>
      </w:r>
    </w:p>
    <w:p w14:paraId="58605EB3" w14:textId="77777777" w:rsidR="000F6417" w:rsidRPr="00C81A65" w:rsidRDefault="000F6417" w:rsidP="000F6417">
      <w:pPr>
        <w:pStyle w:val="NormalWeb"/>
        <w:spacing w:before="0" w:beforeAutospacing="0" w:after="0" w:afterAutospacing="0"/>
        <w:ind w:left="1134" w:hanging="1134"/>
        <w:jc w:val="both"/>
        <w:rPr>
          <w:lang w:val="de-AT"/>
        </w:rPr>
      </w:pPr>
      <w:r w:rsidRPr="00C81A65">
        <w:rPr>
          <w:lang w:val="de-AT"/>
        </w:rPr>
        <w:t>Jiménez-Irresti</w:t>
      </w:r>
      <w:r>
        <w:rPr>
          <w:lang w:val="de-AT"/>
        </w:rPr>
        <w:t xml:space="preserve"> </w:t>
      </w:r>
      <w:r w:rsidRPr="00C81A65">
        <w:rPr>
          <w:lang w:val="de-AT"/>
        </w:rPr>
        <w:t xml:space="preserve">T., </w:t>
      </w:r>
      <w:r w:rsidRPr="00C81A65">
        <w:rPr>
          <w:rStyle w:val="Emphasis"/>
          <w:lang w:val="de-AT"/>
        </w:rPr>
        <w:t>Die göttliche Sendung in die Geschichte und die kanonischen Sendungen</w:t>
      </w:r>
      <w:r w:rsidRPr="00C81A65">
        <w:rPr>
          <w:lang w:val="de-AT"/>
        </w:rPr>
        <w:t xml:space="preserve">, w: </w:t>
      </w:r>
      <w:r w:rsidRPr="00C81A65">
        <w:rPr>
          <w:rStyle w:val="Emphasis"/>
          <w:lang w:val="de-AT"/>
        </w:rPr>
        <w:t>Concilium</w:t>
      </w:r>
      <w:r w:rsidRPr="00C81A65">
        <w:rPr>
          <w:lang w:val="de-AT"/>
        </w:rPr>
        <w:t xml:space="preserve"> 4 (1968), s. 599–602.</w:t>
      </w:r>
    </w:p>
    <w:p w14:paraId="041DE9B9" w14:textId="77777777" w:rsidR="000F6417" w:rsidRPr="00842F52" w:rsidRDefault="000F6417" w:rsidP="00605DD3">
      <w:pPr>
        <w:pStyle w:val="NoSpacing"/>
        <w:ind w:left="1134" w:hanging="1134"/>
        <w:rPr>
          <w:rFonts w:ascii="Times New Roman" w:hAnsi="Times New Roman" w:cs="Times New Roman"/>
          <w:sz w:val="24"/>
          <w:szCs w:val="24"/>
        </w:rPr>
      </w:pPr>
      <w:r w:rsidRPr="00605DD3">
        <w:rPr>
          <w:rFonts w:ascii="Times New Roman" w:hAnsi="Times New Roman" w:cs="Times New Roman"/>
          <w:sz w:val="24"/>
          <w:szCs w:val="24"/>
          <w:lang w:val="de-AT"/>
        </w:rPr>
        <w:t xml:space="preserve">Kaiser M., </w:t>
      </w:r>
      <w:r w:rsidRPr="00605DD3">
        <w:rPr>
          <w:rStyle w:val="Emphasis"/>
          <w:rFonts w:ascii="Times New Roman" w:hAnsi="Times New Roman" w:cs="Times New Roman"/>
          <w:sz w:val="24"/>
          <w:szCs w:val="24"/>
          <w:lang w:val="de-AT"/>
        </w:rPr>
        <w:t>Aussagen des Zweiten Vatikanischen Konzils über die Kirchengewalt</w:t>
      </w:r>
      <w:r w:rsidRPr="00605DD3">
        <w:rPr>
          <w:rFonts w:ascii="Times New Roman" w:hAnsi="Times New Roman" w:cs="Times New Roman"/>
          <w:sz w:val="24"/>
          <w:szCs w:val="24"/>
          <w:lang w:val="de-AT"/>
        </w:rPr>
        <w:t xml:space="preserve">, w: A. Scheuermann, G. May (red.), </w:t>
      </w:r>
      <w:r w:rsidRPr="00605DD3">
        <w:rPr>
          <w:rStyle w:val="Emphasis"/>
          <w:rFonts w:ascii="Times New Roman" w:hAnsi="Times New Roman" w:cs="Times New Roman"/>
          <w:sz w:val="24"/>
          <w:szCs w:val="24"/>
          <w:lang w:val="de-AT"/>
        </w:rPr>
        <w:t xml:space="preserve">Ius sacrum. </w:t>
      </w:r>
      <w:r w:rsidRPr="00842F52">
        <w:rPr>
          <w:rStyle w:val="Emphasis"/>
          <w:rFonts w:ascii="Times New Roman" w:hAnsi="Times New Roman" w:cs="Times New Roman"/>
          <w:sz w:val="24"/>
          <w:szCs w:val="24"/>
        </w:rPr>
        <w:t>Klaus Mörsdorf zum 60. Geburtstag</w:t>
      </w:r>
      <w:r w:rsidRPr="00842F52">
        <w:rPr>
          <w:rFonts w:ascii="Times New Roman" w:hAnsi="Times New Roman" w:cs="Times New Roman"/>
          <w:sz w:val="24"/>
          <w:szCs w:val="24"/>
        </w:rPr>
        <w:t>, München – Paderborn – Wien 1969, s. 253–271.</w:t>
      </w:r>
    </w:p>
    <w:p w14:paraId="0A9C18E1" w14:textId="77777777" w:rsidR="000F6417" w:rsidRDefault="000F6417" w:rsidP="000F6417">
      <w:pPr>
        <w:pStyle w:val="NormalWeb"/>
        <w:spacing w:before="0" w:beforeAutospacing="0" w:after="0" w:afterAutospacing="0"/>
        <w:ind w:left="1134" w:hanging="1134"/>
        <w:jc w:val="both"/>
      </w:pPr>
      <w:r w:rsidRPr="00C81A65">
        <w:rPr>
          <w:i/>
          <w:iCs/>
        </w:rPr>
        <w:t>Kodeksie Kanonów Kościołów Wschodnich</w:t>
      </w:r>
      <w:r>
        <w:t>, Watykan 1990.</w:t>
      </w:r>
    </w:p>
    <w:p w14:paraId="21732BD5" w14:textId="77777777" w:rsidR="000F6417" w:rsidRDefault="000F6417" w:rsidP="000F6417">
      <w:pPr>
        <w:pStyle w:val="NormalWeb"/>
        <w:spacing w:before="0" w:beforeAutospacing="0" w:after="0" w:afterAutospacing="0"/>
        <w:ind w:left="1134" w:hanging="1134"/>
        <w:jc w:val="both"/>
      </w:pPr>
      <w:r w:rsidRPr="00C81A65">
        <w:rPr>
          <w:i/>
          <w:iCs/>
        </w:rPr>
        <w:t>Kodeksu P</w:t>
      </w:r>
      <w:r>
        <w:rPr>
          <w:i/>
          <w:iCs/>
        </w:rPr>
        <w:t>rawa Kanonicznego</w:t>
      </w:r>
      <w:r>
        <w:t>, Watykan 1983.</w:t>
      </w:r>
      <w:r w:rsidRPr="00C81A65">
        <w:t xml:space="preserve"> </w:t>
      </w:r>
    </w:p>
    <w:p w14:paraId="5A6557C7" w14:textId="77777777" w:rsidR="000F6417" w:rsidRPr="00C81A65" w:rsidRDefault="000F6417" w:rsidP="000F6417">
      <w:pPr>
        <w:pStyle w:val="NormalWeb"/>
        <w:spacing w:before="0" w:beforeAutospacing="0" w:after="0" w:afterAutospacing="0"/>
        <w:ind w:left="1134" w:hanging="1134"/>
        <w:jc w:val="both"/>
      </w:pPr>
      <w:r>
        <w:rPr>
          <w:rStyle w:val="Emphasis"/>
          <w:i w:val="0"/>
          <w:iCs w:val="0"/>
        </w:rPr>
        <w:t xml:space="preserve">Kongregacja do spraw Biskupów, </w:t>
      </w:r>
      <w:r w:rsidRPr="00C66CF7">
        <w:rPr>
          <w:rStyle w:val="Emphasis"/>
          <w:i w:val="0"/>
          <w:iCs w:val="0"/>
        </w:rPr>
        <w:t>Dyrektorium o pasterskiej posłudze biskupów</w:t>
      </w:r>
      <w:r w:rsidRPr="00C81A65">
        <w:t xml:space="preserve"> </w:t>
      </w:r>
      <w:r w:rsidRPr="00C81A65">
        <w:rPr>
          <w:rStyle w:val="Emphasis"/>
        </w:rPr>
        <w:t>Apostolorum Successores</w:t>
      </w:r>
      <w:r>
        <w:t>, Watykan 2004</w:t>
      </w:r>
      <w:r w:rsidRPr="00C81A65">
        <w:t>.</w:t>
      </w:r>
    </w:p>
    <w:p w14:paraId="7CE55F7B" w14:textId="77777777" w:rsidR="000F6417" w:rsidRDefault="000F6417" w:rsidP="000F6417">
      <w:pPr>
        <w:pStyle w:val="NormalWeb"/>
        <w:spacing w:before="0" w:beforeAutospacing="0" w:after="0" w:afterAutospacing="0"/>
        <w:ind w:left="1134" w:hanging="1134"/>
        <w:jc w:val="both"/>
        <w:rPr>
          <w:lang w:val="de-AT"/>
        </w:rPr>
      </w:pPr>
      <w:r w:rsidRPr="00C66CF7">
        <w:rPr>
          <w:lang w:val="de-AT"/>
        </w:rPr>
        <w:t>Krämer</w:t>
      </w:r>
      <w:r>
        <w:rPr>
          <w:lang w:val="de-AT"/>
        </w:rPr>
        <w:t xml:space="preserve"> </w:t>
      </w:r>
      <w:r w:rsidRPr="00C66CF7">
        <w:rPr>
          <w:lang w:val="de-AT"/>
        </w:rPr>
        <w:t xml:space="preserve">P., </w:t>
      </w:r>
      <w:r w:rsidRPr="00C66CF7">
        <w:rPr>
          <w:rStyle w:val="Emphasis"/>
          <w:lang w:val="de-AT"/>
        </w:rPr>
        <w:t>Kirchenrecht</w:t>
      </w:r>
      <w:r w:rsidRPr="00C66CF7">
        <w:rPr>
          <w:lang w:val="de-AT"/>
        </w:rPr>
        <w:t xml:space="preserve">, t. II, </w:t>
      </w:r>
      <w:r w:rsidRPr="00C66CF7">
        <w:rPr>
          <w:rStyle w:val="Emphasis"/>
          <w:lang w:val="de-AT"/>
        </w:rPr>
        <w:t>Ortskirche–Gesamtkirche</w:t>
      </w:r>
      <w:r w:rsidRPr="00C66CF7">
        <w:rPr>
          <w:lang w:val="de-AT"/>
        </w:rPr>
        <w:t xml:space="preserve">, Stuttgart 1993, s. 45–57. </w:t>
      </w:r>
    </w:p>
    <w:p w14:paraId="068CEAFF" w14:textId="77777777" w:rsidR="000F6417" w:rsidRPr="000F6417" w:rsidRDefault="000F6417" w:rsidP="00605DD3">
      <w:pPr>
        <w:pStyle w:val="NormalWeb"/>
        <w:spacing w:before="0" w:beforeAutospacing="0" w:after="0" w:afterAutospacing="0"/>
        <w:ind w:left="1134" w:hanging="1134"/>
        <w:jc w:val="both"/>
        <w:rPr>
          <w:lang w:val="fr-FR"/>
        </w:rPr>
      </w:pPr>
      <w:r w:rsidRPr="000F6417">
        <w:rPr>
          <w:lang w:val="fr-FR"/>
        </w:rPr>
        <w:t xml:space="preserve">Krämer P., </w:t>
      </w:r>
      <w:r w:rsidRPr="000F6417">
        <w:rPr>
          <w:rStyle w:val="Emphasis"/>
          <w:lang w:val="fr-FR"/>
        </w:rPr>
        <w:t>Servizio e potere nella Chiesa</w:t>
      </w:r>
      <w:r w:rsidRPr="000F6417">
        <w:rPr>
          <w:lang w:val="fr-FR"/>
        </w:rPr>
        <w:t>, Lugano 2007.</w:t>
      </w:r>
    </w:p>
    <w:p w14:paraId="671FEF1C" w14:textId="77777777" w:rsidR="000F6417" w:rsidRPr="00605DD3" w:rsidRDefault="000F6417" w:rsidP="00605DD3">
      <w:pPr>
        <w:pStyle w:val="NormalWeb"/>
        <w:spacing w:before="0" w:beforeAutospacing="0" w:after="0" w:afterAutospacing="0"/>
        <w:ind w:left="1134" w:hanging="1134"/>
        <w:jc w:val="both"/>
        <w:rPr>
          <w:lang w:val="fr-FR"/>
        </w:rPr>
      </w:pPr>
      <w:r w:rsidRPr="00605DD3">
        <w:rPr>
          <w:lang w:val="fr-FR"/>
        </w:rPr>
        <w:t xml:space="preserve">Krämer P., </w:t>
      </w:r>
      <w:r w:rsidRPr="00605DD3">
        <w:rPr>
          <w:rStyle w:val="Emphasis"/>
          <w:lang w:val="fr-FR"/>
        </w:rPr>
        <w:t>Su che cosa si fonda la «sacra potestas»? La concordanza tra Ordinazione e Giurisdizione in Eugenio Corecco</w:t>
      </w:r>
      <w:r w:rsidRPr="00605DD3">
        <w:rPr>
          <w:lang w:val="fr-FR"/>
        </w:rPr>
        <w:t xml:space="preserve">, w: L. Gerosa (red.), </w:t>
      </w:r>
      <w:r w:rsidRPr="00605DD3">
        <w:rPr>
          <w:rStyle w:val="Emphasis"/>
          <w:lang w:val="fr-FR"/>
        </w:rPr>
        <w:t>Antropologia, fede e diritto ecclesiale</w:t>
      </w:r>
      <w:r w:rsidRPr="00605DD3">
        <w:rPr>
          <w:lang w:val="fr-FR"/>
        </w:rPr>
        <w:t>, Mailand 1995, 45–56.</w:t>
      </w:r>
    </w:p>
    <w:p w14:paraId="4F24E109" w14:textId="77777777" w:rsidR="000F6417" w:rsidRDefault="000F6417" w:rsidP="000F6417">
      <w:pPr>
        <w:pStyle w:val="NormalWeb"/>
        <w:spacing w:before="0" w:beforeAutospacing="0" w:after="0" w:afterAutospacing="0"/>
        <w:ind w:left="1134" w:hanging="1134"/>
        <w:rPr>
          <w:lang w:val="de-AT"/>
        </w:rPr>
      </w:pPr>
      <w:r w:rsidRPr="00842F52">
        <w:rPr>
          <w:lang w:val="fr-FR"/>
        </w:rPr>
        <w:t xml:space="preserve">Lécuyer J., </w:t>
      </w:r>
      <w:r w:rsidRPr="00842F52">
        <w:rPr>
          <w:rStyle w:val="Emphasis"/>
          <w:lang w:val="fr-FR"/>
        </w:rPr>
        <w:t>Das dreifache Amt des Bischofs</w:t>
      </w:r>
      <w:r w:rsidRPr="00842F52">
        <w:rPr>
          <w:lang w:val="fr-FR"/>
        </w:rPr>
        <w:t xml:space="preserve">, w: G. Baraúna (red.), </w:t>
      </w:r>
      <w:r w:rsidRPr="00842F52">
        <w:rPr>
          <w:rStyle w:val="Emphasis"/>
          <w:lang w:val="fr-FR"/>
        </w:rPr>
        <w:t xml:space="preserve">De Ecclesia. </w:t>
      </w:r>
      <w:r w:rsidRPr="00C81A65">
        <w:rPr>
          <w:rStyle w:val="Emphasis"/>
          <w:lang w:val="de-AT"/>
        </w:rPr>
        <w:t>Beiträge zur Konstitution «Über die Kirche» des Zweiten Vatikanischen Konzils</w:t>
      </w:r>
      <w:r>
        <w:rPr>
          <w:lang w:val="de-AT"/>
        </w:rPr>
        <w:t>, t</w:t>
      </w:r>
      <w:r w:rsidRPr="00C81A65">
        <w:rPr>
          <w:lang w:val="de-AT"/>
        </w:rPr>
        <w:t>. II, Freiburg – Basel – Wien 1966, s. 166–188</w:t>
      </w:r>
      <w:r>
        <w:rPr>
          <w:lang w:val="de-AT"/>
        </w:rPr>
        <w:t>.</w:t>
      </w:r>
    </w:p>
    <w:p w14:paraId="54D9E445" w14:textId="77777777" w:rsidR="000F6417" w:rsidRPr="000F6417" w:rsidRDefault="000F6417" w:rsidP="000F6417">
      <w:pPr>
        <w:pStyle w:val="NormalWeb"/>
        <w:spacing w:before="0" w:beforeAutospacing="0" w:after="0" w:afterAutospacing="0"/>
        <w:ind w:left="1134" w:hanging="1134"/>
        <w:jc w:val="both"/>
        <w:rPr>
          <w:rStyle w:val="Emphasis"/>
          <w:rFonts w:ascii="Arial" w:hAnsi="Arial" w:cs="Arial"/>
          <w:b/>
          <w:bCs/>
          <w:i w:val="0"/>
          <w:iCs w:val="0"/>
          <w:color w:val="767676"/>
          <w:sz w:val="21"/>
          <w:szCs w:val="21"/>
          <w:shd w:val="clear" w:color="auto" w:fill="FFFFFF"/>
          <w:lang w:val="de-AT"/>
        </w:rPr>
      </w:pPr>
      <w:r w:rsidRPr="000F6417">
        <w:rPr>
          <w:lang w:val="de-AT"/>
        </w:rPr>
        <w:lastRenderedPageBreak/>
        <w:t xml:space="preserve">Luther M., </w:t>
      </w:r>
      <w:r w:rsidRPr="000F6417">
        <w:rPr>
          <w:rStyle w:val="Emphasis"/>
          <w:lang w:val="de-AT"/>
        </w:rPr>
        <w:t>De captivitate babylonica ecclesiae</w:t>
      </w:r>
      <w:r w:rsidRPr="000F6417">
        <w:rPr>
          <w:lang w:val="de-AT"/>
        </w:rPr>
        <w:t xml:space="preserve">, </w:t>
      </w:r>
      <w:r w:rsidRPr="000F6417">
        <w:rPr>
          <w:rStyle w:val="Emphasis"/>
          <w:i w:val="0"/>
          <w:iCs w:val="0"/>
          <w:shd w:val="clear" w:color="auto" w:fill="FFFFFF"/>
          <w:lang w:val="de-AT"/>
        </w:rPr>
        <w:t xml:space="preserve">Augsburg 2016. </w:t>
      </w:r>
    </w:p>
    <w:p w14:paraId="46170847" w14:textId="77777777" w:rsidR="000F6417" w:rsidRPr="00C66CF7" w:rsidRDefault="000F6417" w:rsidP="000F6417">
      <w:pPr>
        <w:pStyle w:val="NormalWeb"/>
        <w:spacing w:before="0" w:beforeAutospacing="0" w:after="0" w:afterAutospacing="0"/>
        <w:ind w:left="1134" w:hanging="1134"/>
        <w:jc w:val="both"/>
        <w:rPr>
          <w:lang w:val="de-AT"/>
        </w:rPr>
      </w:pPr>
      <w:r w:rsidRPr="00C66CF7">
        <w:rPr>
          <w:lang w:val="de-AT"/>
        </w:rPr>
        <w:t xml:space="preserve">Müller H., </w:t>
      </w:r>
      <w:r w:rsidRPr="00C66CF7">
        <w:rPr>
          <w:rStyle w:val="Emphasis"/>
          <w:lang w:val="de-AT"/>
        </w:rPr>
        <w:t>Zur Frage nach der kirchliche Vollmacht im CIC/1983</w:t>
      </w:r>
      <w:r w:rsidRPr="00C66CF7">
        <w:rPr>
          <w:lang w:val="de-AT"/>
        </w:rPr>
        <w:t xml:space="preserve">, w: </w:t>
      </w:r>
      <w:r w:rsidRPr="00C66CF7">
        <w:rPr>
          <w:rStyle w:val="Emphasis"/>
          <w:lang w:val="de-AT"/>
        </w:rPr>
        <w:t>ÖAKR</w:t>
      </w:r>
      <w:r w:rsidRPr="00C66CF7">
        <w:rPr>
          <w:lang w:val="de-AT"/>
        </w:rPr>
        <w:t xml:space="preserve"> 35 (1985), s. 83–106.</w:t>
      </w:r>
    </w:p>
    <w:p w14:paraId="7CA56421" w14:textId="77777777" w:rsidR="000F6417" w:rsidRDefault="000F6417" w:rsidP="000F6417">
      <w:pPr>
        <w:pStyle w:val="NormalWeb"/>
        <w:spacing w:before="0" w:beforeAutospacing="0" w:after="0" w:afterAutospacing="0"/>
        <w:ind w:left="1134" w:hanging="1134"/>
        <w:jc w:val="both"/>
        <w:rPr>
          <w:lang w:val="de-AT"/>
        </w:rPr>
      </w:pPr>
      <w:r w:rsidRPr="00605DD3">
        <w:rPr>
          <w:lang w:val="en-US"/>
        </w:rPr>
        <w:t>Müller</w:t>
      </w:r>
      <w:r>
        <w:rPr>
          <w:lang w:val="en-US"/>
        </w:rPr>
        <w:t xml:space="preserve"> </w:t>
      </w:r>
      <w:r w:rsidRPr="00605DD3">
        <w:rPr>
          <w:lang w:val="en-US"/>
        </w:rPr>
        <w:t xml:space="preserve">L., </w:t>
      </w:r>
      <w:r w:rsidRPr="00605DD3">
        <w:rPr>
          <w:rStyle w:val="Emphasis"/>
          <w:lang w:val="en-US"/>
        </w:rPr>
        <w:t>Weihe</w:t>
      </w:r>
      <w:r w:rsidRPr="00605DD3">
        <w:rPr>
          <w:lang w:val="en-US"/>
        </w:rPr>
        <w:t xml:space="preserve">, w: </w:t>
      </w:r>
      <w:r w:rsidRPr="00605DD3">
        <w:rPr>
          <w:rStyle w:val="Emphasis"/>
          <w:lang w:val="en-US"/>
        </w:rPr>
        <w:t xml:space="preserve">Ecclesia a Sacramentis. </w:t>
      </w:r>
      <w:r w:rsidRPr="00605DD3">
        <w:rPr>
          <w:rStyle w:val="Emphasis"/>
          <w:lang w:val="de-AT"/>
        </w:rPr>
        <w:t>Theologische Erwägungen zum Sakramentenrecht</w:t>
      </w:r>
      <w:r w:rsidRPr="00605DD3">
        <w:rPr>
          <w:lang w:val="de-AT"/>
        </w:rPr>
        <w:t>, R. Ahlers, L. Gerosa, L. Müller (red</w:t>
      </w:r>
      <w:r w:rsidRPr="00C81A65">
        <w:rPr>
          <w:lang w:val="de-AT"/>
        </w:rPr>
        <w:t>.), Paderborn 1992, s. 103–123</w:t>
      </w:r>
      <w:r>
        <w:rPr>
          <w:lang w:val="de-AT"/>
        </w:rPr>
        <w:t>.</w:t>
      </w:r>
    </w:p>
    <w:p w14:paraId="6FFF4C1B" w14:textId="77777777" w:rsidR="000F6417" w:rsidRDefault="000F6417" w:rsidP="000F6417">
      <w:pPr>
        <w:pStyle w:val="NormalWeb"/>
        <w:spacing w:before="0" w:beforeAutospacing="0" w:after="0" w:afterAutospacing="0"/>
        <w:ind w:left="1134" w:hanging="1134"/>
        <w:rPr>
          <w:lang w:val="fr-FR"/>
        </w:rPr>
      </w:pPr>
      <w:r w:rsidRPr="00C81A65">
        <w:rPr>
          <w:lang w:val="fr-FR"/>
        </w:rPr>
        <w:t>Pinet</w:t>
      </w:r>
      <w:r>
        <w:rPr>
          <w:lang w:val="fr-FR"/>
        </w:rPr>
        <w:t xml:space="preserve"> </w:t>
      </w:r>
      <w:r w:rsidRPr="00C81A65">
        <w:rPr>
          <w:lang w:val="fr-FR"/>
        </w:rPr>
        <w:t xml:space="preserve">M., </w:t>
      </w:r>
      <w:r w:rsidRPr="00C81A65">
        <w:rPr>
          <w:rStyle w:val="Emphasis"/>
          <w:lang w:val="fr-FR"/>
        </w:rPr>
        <w:t>Approche historique de la séparation des pouvoirs dans l’Église: de la bipartition ordre-jurisdiction aux tria munera</w:t>
      </w:r>
      <w:r w:rsidRPr="00C81A65">
        <w:rPr>
          <w:lang w:val="fr-FR"/>
        </w:rPr>
        <w:t xml:space="preserve">, w: </w:t>
      </w:r>
      <w:r w:rsidRPr="00C81A65">
        <w:rPr>
          <w:i/>
          <w:iCs/>
          <w:lang w:val="fr-FR"/>
        </w:rPr>
        <w:t>Revue de droit canonique</w:t>
      </w:r>
      <w:r>
        <w:rPr>
          <w:lang w:val="fr-FR"/>
        </w:rPr>
        <w:t xml:space="preserve"> 73/2(2023), s. 243–255.</w:t>
      </w:r>
    </w:p>
    <w:p w14:paraId="3017AD68" w14:textId="77777777" w:rsidR="000F6417" w:rsidRPr="00842F52" w:rsidRDefault="000F6417" w:rsidP="000F6417">
      <w:pPr>
        <w:pStyle w:val="NormalWeb"/>
        <w:spacing w:before="0" w:beforeAutospacing="0" w:after="0" w:afterAutospacing="0"/>
        <w:ind w:left="1134" w:hanging="1134"/>
        <w:rPr>
          <w:lang w:val="de-AT"/>
        </w:rPr>
      </w:pPr>
      <w:r w:rsidRPr="00C81A65">
        <w:rPr>
          <w:lang w:val="de-AT"/>
        </w:rPr>
        <w:t>Ratzinger</w:t>
      </w:r>
      <w:r>
        <w:rPr>
          <w:lang w:val="de-AT"/>
        </w:rPr>
        <w:t xml:space="preserve"> </w:t>
      </w:r>
      <w:r w:rsidRPr="00C81A65">
        <w:rPr>
          <w:lang w:val="de-AT"/>
        </w:rPr>
        <w:t xml:space="preserve">J., </w:t>
      </w:r>
      <w:r w:rsidRPr="00C81A65">
        <w:rPr>
          <w:rStyle w:val="Emphasis"/>
          <w:lang w:val="de-AT"/>
        </w:rPr>
        <w:t>Die bischöfliche Kollegialität. Theologische Entfaltungen</w:t>
      </w:r>
      <w:r w:rsidRPr="00C81A65">
        <w:rPr>
          <w:lang w:val="de-AT"/>
        </w:rPr>
        <w:t xml:space="preserve">, w: G. Baraúna (red.), </w:t>
      </w:r>
      <w:r w:rsidRPr="00C81A65">
        <w:rPr>
          <w:rStyle w:val="Emphasis"/>
          <w:lang w:val="de-AT"/>
        </w:rPr>
        <w:t>De Ecclesia. Beiträge zur Konstitution «Über die Kirche» des Zweiten Vatikanischen Konzils</w:t>
      </w:r>
      <w:r w:rsidRPr="00C81A65">
        <w:rPr>
          <w:lang w:val="de-AT"/>
        </w:rPr>
        <w:t xml:space="preserve">, Bd. </w:t>
      </w:r>
      <w:r w:rsidRPr="00842F52">
        <w:rPr>
          <w:lang w:val="de-AT"/>
        </w:rPr>
        <w:t>II, Freiburg – Basel – Wien 1966, s. 44–70.</w:t>
      </w:r>
    </w:p>
    <w:p w14:paraId="17644387" w14:textId="77777777" w:rsidR="000F6417" w:rsidRPr="00C81A65" w:rsidRDefault="000F6417" w:rsidP="000F6417">
      <w:pPr>
        <w:pStyle w:val="NormalWeb"/>
        <w:spacing w:before="0" w:beforeAutospacing="0" w:after="0" w:afterAutospacing="0"/>
        <w:ind w:left="1134" w:hanging="1134"/>
        <w:jc w:val="both"/>
        <w:rPr>
          <w:lang w:val="de-AT"/>
        </w:rPr>
      </w:pPr>
      <w:r w:rsidRPr="00C81A65">
        <w:rPr>
          <w:lang w:val="de-AT"/>
        </w:rPr>
        <w:t>Ratzinger</w:t>
      </w:r>
      <w:r>
        <w:rPr>
          <w:lang w:val="de-AT"/>
        </w:rPr>
        <w:t xml:space="preserve"> </w:t>
      </w:r>
      <w:r w:rsidRPr="00C81A65">
        <w:rPr>
          <w:lang w:val="de-AT"/>
        </w:rPr>
        <w:t xml:space="preserve">J., </w:t>
      </w:r>
      <w:r w:rsidRPr="00C81A65">
        <w:rPr>
          <w:rStyle w:val="Emphasis"/>
          <w:lang w:val="de-AT"/>
        </w:rPr>
        <w:t>Die kirchliche Lehre vom sacramentum ordinis</w:t>
      </w:r>
      <w:r w:rsidRPr="00C81A65">
        <w:rPr>
          <w:lang w:val="de-AT"/>
        </w:rPr>
        <w:t xml:space="preserve">, w: </w:t>
      </w:r>
      <w:r w:rsidRPr="00C81A65">
        <w:rPr>
          <w:rStyle w:val="Emphasis"/>
          <w:lang w:val="de-AT"/>
        </w:rPr>
        <w:t>IKaZ</w:t>
      </w:r>
      <w:r>
        <w:rPr>
          <w:lang w:val="de-AT"/>
        </w:rPr>
        <w:t xml:space="preserve"> 10(1981), s. 435–445</w:t>
      </w:r>
      <w:r w:rsidRPr="00C81A65">
        <w:rPr>
          <w:lang w:val="de-AT"/>
        </w:rPr>
        <w:t>.</w:t>
      </w:r>
    </w:p>
    <w:p w14:paraId="7C7F5639" w14:textId="77777777" w:rsidR="000F6417" w:rsidRPr="00C81A65" w:rsidRDefault="000F6417" w:rsidP="000F6417">
      <w:pPr>
        <w:pStyle w:val="NormalWeb"/>
        <w:spacing w:before="0" w:beforeAutospacing="0" w:after="0" w:afterAutospacing="0"/>
        <w:ind w:left="1134" w:hanging="1134"/>
        <w:jc w:val="both"/>
        <w:rPr>
          <w:lang w:val="de-AT"/>
        </w:rPr>
      </w:pPr>
      <w:r w:rsidRPr="00C81A65">
        <w:rPr>
          <w:lang w:val="de-AT"/>
        </w:rPr>
        <w:t>Ratzinger</w:t>
      </w:r>
      <w:r>
        <w:rPr>
          <w:lang w:val="de-AT"/>
        </w:rPr>
        <w:t xml:space="preserve"> </w:t>
      </w:r>
      <w:r w:rsidRPr="00C81A65">
        <w:rPr>
          <w:lang w:val="de-AT"/>
        </w:rPr>
        <w:t xml:space="preserve">J., </w:t>
      </w:r>
      <w:r w:rsidRPr="00C81A65">
        <w:rPr>
          <w:rStyle w:val="Emphasis"/>
          <w:lang w:val="de-AT"/>
        </w:rPr>
        <w:t>Gutachtliche Stellungnahme</w:t>
      </w:r>
      <w:r>
        <w:rPr>
          <w:lang w:val="de-AT"/>
        </w:rPr>
        <w:t>, z 16 września 1982</w:t>
      </w:r>
      <w:r w:rsidRPr="00C81A65">
        <w:rPr>
          <w:lang w:val="de-AT"/>
        </w:rPr>
        <w:t>.</w:t>
      </w:r>
    </w:p>
    <w:p w14:paraId="3C1BD426" w14:textId="77777777" w:rsidR="000F6417" w:rsidRDefault="000F6417" w:rsidP="000F6417">
      <w:pPr>
        <w:pStyle w:val="NormalWeb"/>
        <w:spacing w:before="0" w:beforeAutospacing="0" w:after="0" w:afterAutospacing="0"/>
        <w:ind w:left="1134" w:hanging="1134"/>
        <w:rPr>
          <w:lang w:val="de-AT"/>
        </w:rPr>
      </w:pPr>
      <w:r w:rsidRPr="00C81A65">
        <w:rPr>
          <w:lang w:val="de-AT"/>
        </w:rPr>
        <w:t>Ratzinger</w:t>
      </w:r>
      <w:r>
        <w:rPr>
          <w:lang w:val="de-AT"/>
        </w:rPr>
        <w:t xml:space="preserve"> J.</w:t>
      </w:r>
      <w:r w:rsidRPr="00C81A65">
        <w:rPr>
          <w:lang w:val="de-AT"/>
        </w:rPr>
        <w:t>, Maier</w:t>
      </w:r>
      <w:r>
        <w:rPr>
          <w:lang w:val="de-AT"/>
        </w:rPr>
        <w:t xml:space="preserve"> </w:t>
      </w:r>
      <w:r w:rsidRPr="00C81A65">
        <w:rPr>
          <w:lang w:val="de-AT"/>
        </w:rPr>
        <w:t xml:space="preserve">H., </w:t>
      </w:r>
      <w:r w:rsidRPr="00C81A65">
        <w:rPr>
          <w:rStyle w:val="Emphasis"/>
          <w:lang w:val="de-AT"/>
        </w:rPr>
        <w:t>Demokratie in der Kirche. Grenzen und Gefahren</w:t>
      </w:r>
      <w:r w:rsidRPr="00C81A65">
        <w:rPr>
          <w:lang w:val="de-AT"/>
        </w:rPr>
        <w:t>, Limburg 1970</w:t>
      </w:r>
      <w:r>
        <w:rPr>
          <w:lang w:val="de-AT"/>
        </w:rPr>
        <w:t>.</w:t>
      </w:r>
    </w:p>
    <w:p w14:paraId="12A690FF" w14:textId="77777777" w:rsidR="000F6417" w:rsidRDefault="000F6417" w:rsidP="000F6417">
      <w:pPr>
        <w:pStyle w:val="NormalWeb"/>
        <w:spacing w:before="0" w:beforeAutospacing="0" w:after="0" w:afterAutospacing="0"/>
        <w:ind w:left="1134" w:hanging="1134"/>
        <w:jc w:val="both"/>
        <w:rPr>
          <w:lang w:val="de-AT"/>
        </w:rPr>
      </w:pPr>
      <w:r w:rsidRPr="00C81A65">
        <w:rPr>
          <w:lang w:val="de-AT"/>
        </w:rPr>
        <w:t>Rudiger</w:t>
      </w:r>
      <w:r>
        <w:rPr>
          <w:lang w:val="de-AT"/>
        </w:rPr>
        <w:t xml:space="preserve"> </w:t>
      </w:r>
      <w:r w:rsidRPr="00C81A65">
        <w:rPr>
          <w:lang w:val="de-AT"/>
        </w:rPr>
        <w:t xml:space="preserve">A., </w:t>
      </w:r>
      <w:r w:rsidRPr="00C81A65">
        <w:rPr>
          <w:rStyle w:val="Emphasis"/>
          <w:lang w:val="de-AT"/>
        </w:rPr>
        <w:t>Die Leitungs- und Machtfrage in der Katholischen Kirche</w:t>
      </w:r>
      <w:r w:rsidRPr="00C81A65">
        <w:rPr>
          <w:lang w:val="de-AT"/>
        </w:rPr>
        <w:t>, Buttenwiesen 2002</w:t>
      </w:r>
      <w:r>
        <w:rPr>
          <w:lang w:val="de-AT"/>
        </w:rPr>
        <w:t>.</w:t>
      </w:r>
    </w:p>
    <w:p w14:paraId="1B153C4A" w14:textId="77777777" w:rsidR="000F6417" w:rsidRDefault="000F6417" w:rsidP="000F6417">
      <w:pPr>
        <w:pStyle w:val="NormalWeb"/>
        <w:spacing w:before="0" w:beforeAutospacing="0" w:after="0" w:afterAutospacing="0"/>
        <w:ind w:left="1134" w:hanging="1134"/>
        <w:jc w:val="both"/>
        <w:rPr>
          <w:lang w:val="de-AT"/>
        </w:rPr>
      </w:pPr>
      <w:r w:rsidRPr="00C81A65">
        <w:rPr>
          <w:lang w:val="de-AT"/>
        </w:rPr>
        <w:t>Semmelroth</w:t>
      </w:r>
      <w:r>
        <w:rPr>
          <w:lang w:val="de-AT"/>
        </w:rPr>
        <w:t xml:space="preserve"> </w:t>
      </w:r>
      <w:r w:rsidRPr="00C81A65">
        <w:rPr>
          <w:lang w:val="de-AT"/>
        </w:rPr>
        <w:t xml:space="preserve">O., </w:t>
      </w:r>
      <w:r w:rsidRPr="00C81A65">
        <w:rPr>
          <w:rStyle w:val="Emphasis"/>
          <w:lang w:val="de-AT"/>
        </w:rPr>
        <w:t>Die Lehre von der kollegialen Hirtengewalt über die Gesamtkirche «unter Berücksichtigung der angefügten Erklärungen»</w:t>
      </w:r>
      <w:r w:rsidRPr="00C81A65">
        <w:rPr>
          <w:lang w:val="de-AT"/>
        </w:rPr>
        <w:t xml:space="preserve">, w: </w:t>
      </w:r>
      <w:r w:rsidRPr="00C81A65">
        <w:rPr>
          <w:rStyle w:val="Emphasis"/>
          <w:lang w:val="de-AT"/>
        </w:rPr>
        <w:t>Scholastik</w:t>
      </w:r>
      <w:r w:rsidRPr="00C81A65">
        <w:rPr>
          <w:lang w:val="de-AT"/>
        </w:rPr>
        <w:t xml:space="preserve"> 40(1965), s. 161–179</w:t>
      </w:r>
      <w:r>
        <w:rPr>
          <w:lang w:val="de-AT"/>
        </w:rPr>
        <w:t>.</w:t>
      </w:r>
    </w:p>
    <w:p w14:paraId="18B69876" w14:textId="77777777" w:rsidR="000F6417" w:rsidRPr="00605DD3" w:rsidRDefault="000F6417" w:rsidP="00605DD3">
      <w:pPr>
        <w:pStyle w:val="NormalWeb"/>
        <w:spacing w:before="0" w:beforeAutospacing="0" w:after="0" w:afterAutospacing="0"/>
        <w:ind w:left="1134" w:hanging="1134"/>
        <w:jc w:val="both"/>
        <w:rPr>
          <w:lang w:val="de-AT"/>
        </w:rPr>
      </w:pPr>
      <w:r w:rsidRPr="00605DD3">
        <w:rPr>
          <w:lang w:val="de-AT"/>
        </w:rPr>
        <w:t xml:space="preserve">Welz T.J., </w:t>
      </w:r>
      <w:r w:rsidRPr="00605DD3">
        <w:rPr>
          <w:rStyle w:val="Emphasis"/>
          <w:lang w:val="de-AT"/>
        </w:rPr>
        <w:t>Kirchliche Autorität als Dienst</w:t>
      </w:r>
      <w:r w:rsidRPr="00605DD3">
        <w:rPr>
          <w:lang w:val="de-AT"/>
        </w:rPr>
        <w:t>, Rom 2005.</w:t>
      </w:r>
    </w:p>
    <w:p w14:paraId="30039579" w14:textId="77777777" w:rsidR="00C81A65" w:rsidRPr="00605DD3" w:rsidRDefault="00C81A65" w:rsidP="00C81A65">
      <w:pPr>
        <w:pStyle w:val="NormalWeb"/>
        <w:spacing w:before="0" w:beforeAutospacing="0" w:after="0" w:afterAutospacing="0"/>
        <w:jc w:val="both"/>
        <w:rPr>
          <w:lang w:val="de-AT"/>
        </w:rPr>
      </w:pPr>
    </w:p>
    <w:sectPr w:rsidR="00C81A65" w:rsidRPr="00605DD3" w:rsidSect="00F61E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E241" w14:textId="77777777" w:rsidR="00241F11" w:rsidRDefault="00241F11" w:rsidP="002D3368">
      <w:pPr>
        <w:spacing w:after="0" w:line="240" w:lineRule="auto"/>
      </w:pPr>
      <w:r>
        <w:separator/>
      </w:r>
    </w:p>
  </w:endnote>
  <w:endnote w:type="continuationSeparator" w:id="0">
    <w:p w14:paraId="2E3E330C" w14:textId="77777777" w:rsidR="00241F11" w:rsidRDefault="00241F11" w:rsidP="002D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7529" w14:textId="77777777" w:rsidR="00241F11" w:rsidRDefault="00241F11" w:rsidP="002D3368">
      <w:pPr>
        <w:spacing w:after="0" w:line="240" w:lineRule="auto"/>
      </w:pPr>
      <w:r>
        <w:separator/>
      </w:r>
    </w:p>
  </w:footnote>
  <w:footnote w:type="continuationSeparator" w:id="0">
    <w:p w14:paraId="58908350" w14:textId="77777777" w:rsidR="00241F11" w:rsidRDefault="00241F11" w:rsidP="002D3368">
      <w:pPr>
        <w:spacing w:after="0" w:line="240" w:lineRule="auto"/>
      </w:pPr>
      <w:r>
        <w:continuationSeparator/>
      </w:r>
    </w:p>
  </w:footnote>
  <w:footnote w:id="1">
    <w:p w14:paraId="47BD4472" w14:textId="77777777" w:rsidR="00C81A65" w:rsidRPr="00842F52" w:rsidRDefault="00C81A65" w:rsidP="0058391C">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rPr>
        <w:t xml:space="preserve"> Jest to wyrażenie, którego używa papież papież Franciszek w Konstytucji apostolskiej </w:t>
      </w:r>
      <w:r w:rsidRPr="0058391C">
        <w:rPr>
          <w:i/>
          <w:iCs/>
          <w:sz w:val="20"/>
          <w:szCs w:val="20"/>
        </w:rPr>
        <w:t>Praedicate evangelium</w:t>
      </w:r>
      <w:r w:rsidRPr="0058391C">
        <w:rPr>
          <w:sz w:val="20"/>
          <w:szCs w:val="20"/>
        </w:rPr>
        <w:t xml:space="preserve"> z 19 marca 2022 r. Na temat synodalności i jej podstaw teologicznych zob. </w:t>
      </w:r>
      <w:r w:rsidRPr="00842F52">
        <w:rPr>
          <w:sz w:val="20"/>
          <w:szCs w:val="20"/>
          <w:lang w:val="de-AT"/>
        </w:rPr>
        <w:t xml:space="preserve">Dicastery for Promoting Christian Unity, </w:t>
      </w:r>
      <w:r w:rsidRPr="00842F52">
        <w:rPr>
          <w:i/>
          <w:iCs/>
          <w:sz w:val="20"/>
          <w:szCs w:val="20"/>
          <w:lang w:val="de-AT"/>
        </w:rPr>
        <w:t>Der Bischof von Rom. Primat und Synodalität in den ökumenischen Dialogen</w:t>
      </w:r>
      <w:r w:rsidRPr="00842F52">
        <w:rPr>
          <w:sz w:val="20"/>
          <w:szCs w:val="20"/>
          <w:lang w:val="de-AT"/>
        </w:rPr>
        <w:t>, Rom 2024.</w:t>
      </w:r>
    </w:p>
  </w:footnote>
  <w:footnote w:id="2">
    <w:p w14:paraId="42F7B3AA" w14:textId="77777777" w:rsidR="00C81A65" w:rsidRPr="0058391C" w:rsidRDefault="00C81A65" w:rsidP="00CE3D60">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rPr>
        <w:t xml:space="preserve"> W tym kontekście nadal is</w:t>
      </w:r>
      <w:r>
        <w:rPr>
          <w:sz w:val="20"/>
          <w:szCs w:val="20"/>
        </w:rPr>
        <w:t>totne pozostają rozważania P.</w:t>
      </w:r>
      <w:r w:rsidRPr="0058391C">
        <w:rPr>
          <w:sz w:val="20"/>
          <w:szCs w:val="20"/>
        </w:rPr>
        <w:t xml:space="preserve"> Krämer, </w:t>
      </w:r>
      <w:r w:rsidRPr="0058391C">
        <w:rPr>
          <w:rStyle w:val="Emphasis"/>
          <w:sz w:val="20"/>
          <w:szCs w:val="20"/>
        </w:rPr>
        <w:t>Su che cosa si fonda la «sacra potestas»? La concordanza tra Ordinazione e Giurisdizione in Eugenio Corecco</w:t>
      </w:r>
      <w:r w:rsidRPr="0058391C">
        <w:rPr>
          <w:sz w:val="20"/>
          <w:szCs w:val="20"/>
        </w:rPr>
        <w:t xml:space="preserve">, </w:t>
      </w:r>
      <w:r>
        <w:rPr>
          <w:sz w:val="20"/>
          <w:szCs w:val="20"/>
        </w:rPr>
        <w:t>w: L. Gerosa (red</w:t>
      </w:r>
      <w:r w:rsidRPr="0058391C">
        <w:rPr>
          <w:sz w:val="20"/>
          <w:szCs w:val="20"/>
        </w:rPr>
        <w:t xml:space="preserve">.), </w:t>
      </w:r>
      <w:r w:rsidRPr="0058391C">
        <w:rPr>
          <w:rStyle w:val="Emphasis"/>
          <w:sz w:val="20"/>
          <w:szCs w:val="20"/>
        </w:rPr>
        <w:t>Antropologia, fede e diritto ecclesiale</w:t>
      </w:r>
      <w:r w:rsidRPr="0058391C">
        <w:rPr>
          <w:sz w:val="20"/>
          <w:szCs w:val="20"/>
        </w:rPr>
        <w:t xml:space="preserve">, Mailand 1995, 45–56, tutaj </w:t>
      </w:r>
      <w:r>
        <w:rPr>
          <w:sz w:val="20"/>
          <w:szCs w:val="20"/>
        </w:rPr>
        <w:t xml:space="preserve">s. </w:t>
      </w:r>
      <w:r w:rsidRPr="0058391C">
        <w:rPr>
          <w:sz w:val="20"/>
          <w:szCs w:val="20"/>
        </w:rPr>
        <w:t>45.</w:t>
      </w:r>
    </w:p>
  </w:footnote>
  <w:footnote w:id="3">
    <w:p w14:paraId="33B449F7" w14:textId="77777777" w:rsidR="00C81A65" w:rsidRPr="0058391C" w:rsidRDefault="00C81A65" w:rsidP="0058391C">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rPr>
        <w:t xml:space="preserve"> Por. przede wszystkim </w:t>
      </w:r>
      <w:r w:rsidRPr="0058391C">
        <w:rPr>
          <w:i/>
          <w:iCs/>
          <w:sz w:val="20"/>
          <w:szCs w:val="20"/>
        </w:rPr>
        <w:t>Lumen gentium</w:t>
      </w:r>
      <w:r w:rsidRPr="0058391C">
        <w:rPr>
          <w:sz w:val="20"/>
          <w:szCs w:val="20"/>
        </w:rPr>
        <w:t xml:space="preserve"> 18,1; 19; </w:t>
      </w:r>
      <w:r w:rsidRPr="0058391C">
        <w:rPr>
          <w:i/>
          <w:iCs/>
          <w:sz w:val="20"/>
          <w:szCs w:val="20"/>
        </w:rPr>
        <w:t>Christus</w:t>
      </w:r>
      <w:r w:rsidRPr="0058391C">
        <w:rPr>
          <w:sz w:val="20"/>
          <w:szCs w:val="20"/>
        </w:rPr>
        <w:t xml:space="preserve"> </w:t>
      </w:r>
      <w:r w:rsidRPr="0058391C">
        <w:rPr>
          <w:i/>
          <w:iCs/>
          <w:sz w:val="20"/>
          <w:szCs w:val="20"/>
        </w:rPr>
        <w:t>Dominus</w:t>
      </w:r>
      <w:r>
        <w:rPr>
          <w:sz w:val="20"/>
          <w:szCs w:val="20"/>
        </w:rPr>
        <w:t xml:space="preserve"> 2,2 oraz komentarz P.</w:t>
      </w:r>
      <w:r w:rsidRPr="0058391C">
        <w:rPr>
          <w:sz w:val="20"/>
          <w:szCs w:val="20"/>
        </w:rPr>
        <w:t xml:space="preserve"> Krämer, </w:t>
      </w:r>
      <w:r w:rsidRPr="0058391C">
        <w:rPr>
          <w:rStyle w:val="Emphasis"/>
          <w:sz w:val="20"/>
          <w:szCs w:val="20"/>
        </w:rPr>
        <w:t>Servizio e potere nella Chiesa</w:t>
      </w:r>
      <w:r w:rsidRPr="0058391C">
        <w:rPr>
          <w:sz w:val="20"/>
          <w:szCs w:val="20"/>
        </w:rPr>
        <w:t xml:space="preserve">, Lugano 2007, </w:t>
      </w:r>
      <w:r>
        <w:rPr>
          <w:sz w:val="20"/>
          <w:szCs w:val="20"/>
        </w:rPr>
        <w:t xml:space="preserve">s. </w:t>
      </w:r>
      <w:r w:rsidRPr="0058391C">
        <w:rPr>
          <w:sz w:val="20"/>
          <w:szCs w:val="20"/>
        </w:rPr>
        <w:t xml:space="preserve">17–22, tutaj zwłaszcza </w:t>
      </w:r>
      <w:r>
        <w:rPr>
          <w:sz w:val="20"/>
          <w:szCs w:val="20"/>
        </w:rPr>
        <w:t xml:space="preserve">s. </w:t>
      </w:r>
      <w:r w:rsidRPr="0058391C">
        <w:rPr>
          <w:sz w:val="20"/>
          <w:szCs w:val="20"/>
        </w:rPr>
        <w:t>21.</w:t>
      </w:r>
      <w:r>
        <w:rPr>
          <w:sz w:val="20"/>
          <w:szCs w:val="20"/>
        </w:rPr>
        <w:t xml:space="preserve"> </w:t>
      </w:r>
      <w:r w:rsidRPr="0058391C">
        <w:rPr>
          <w:sz w:val="20"/>
          <w:szCs w:val="20"/>
        </w:rPr>
        <w:t xml:space="preserve">Na temat </w:t>
      </w:r>
      <w:r w:rsidRPr="0058391C">
        <w:rPr>
          <w:rStyle w:val="Emphasis"/>
          <w:sz w:val="20"/>
          <w:szCs w:val="20"/>
        </w:rPr>
        <w:t>spiritus servitii</w:t>
      </w:r>
      <w:r w:rsidRPr="0058391C">
        <w:rPr>
          <w:sz w:val="20"/>
          <w:szCs w:val="20"/>
        </w:rPr>
        <w:t>, który charakteryzuje soborową koncepcj</w:t>
      </w:r>
      <w:r>
        <w:rPr>
          <w:sz w:val="20"/>
          <w:szCs w:val="20"/>
        </w:rPr>
        <w:t xml:space="preserve">ę władzy w Kościele, zob. </w:t>
      </w:r>
      <w:r w:rsidRPr="0058391C">
        <w:rPr>
          <w:sz w:val="20"/>
          <w:szCs w:val="20"/>
          <w:lang w:val="de-AT"/>
        </w:rPr>
        <w:t>T.J</w:t>
      </w:r>
      <w:r>
        <w:rPr>
          <w:sz w:val="20"/>
          <w:szCs w:val="20"/>
          <w:lang w:val="de-AT"/>
        </w:rPr>
        <w:t>.</w:t>
      </w:r>
      <w:r w:rsidRPr="0058391C">
        <w:rPr>
          <w:sz w:val="20"/>
          <w:szCs w:val="20"/>
          <w:lang w:val="de-AT"/>
        </w:rPr>
        <w:t xml:space="preserve"> Welz, </w:t>
      </w:r>
      <w:r w:rsidRPr="0058391C">
        <w:rPr>
          <w:rStyle w:val="Emphasis"/>
          <w:sz w:val="20"/>
          <w:szCs w:val="20"/>
          <w:lang w:val="de-AT"/>
        </w:rPr>
        <w:t>Kirchliche Autorität als Dienst</w:t>
      </w:r>
      <w:r w:rsidRPr="0058391C">
        <w:rPr>
          <w:sz w:val="20"/>
          <w:szCs w:val="20"/>
          <w:lang w:val="de-AT"/>
        </w:rPr>
        <w:t xml:space="preserve">, Rom 2005, zwłaszcza </w:t>
      </w:r>
      <w:r>
        <w:rPr>
          <w:sz w:val="20"/>
          <w:szCs w:val="20"/>
          <w:lang w:val="de-AT"/>
        </w:rPr>
        <w:t xml:space="preserve">s. </w:t>
      </w:r>
      <w:r w:rsidRPr="0058391C">
        <w:rPr>
          <w:sz w:val="20"/>
          <w:szCs w:val="20"/>
          <w:lang w:val="de-AT"/>
        </w:rPr>
        <w:t xml:space="preserve">41–129. </w:t>
      </w:r>
      <w:r w:rsidRPr="0058391C">
        <w:rPr>
          <w:sz w:val="20"/>
          <w:szCs w:val="20"/>
        </w:rPr>
        <w:t xml:space="preserve">Autor słusznie zauważa, że w porównaniu między </w:t>
      </w:r>
      <w:r w:rsidRPr="0058391C">
        <w:rPr>
          <w:rStyle w:val="Emphasis"/>
          <w:sz w:val="20"/>
          <w:szCs w:val="20"/>
        </w:rPr>
        <w:t>sacra potestas</w:t>
      </w:r>
      <w:r w:rsidRPr="0058391C">
        <w:rPr>
          <w:sz w:val="20"/>
          <w:szCs w:val="20"/>
        </w:rPr>
        <w:t xml:space="preserve"> a władzą w społeczeństwie ludzkim tzw. </w:t>
      </w:r>
      <w:r w:rsidRPr="0058391C">
        <w:rPr>
          <w:rStyle w:val="Emphasis"/>
          <w:sz w:val="20"/>
          <w:szCs w:val="20"/>
        </w:rPr>
        <w:t>elementum diversitatis analogiae</w:t>
      </w:r>
      <w:r w:rsidRPr="0058391C">
        <w:rPr>
          <w:sz w:val="20"/>
          <w:szCs w:val="20"/>
        </w:rPr>
        <w:t xml:space="preserve"> stanowi właśnie pojęcie </w:t>
      </w:r>
      <w:r w:rsidRPr="0058391C">
        <w:rPr>
          <w:rStyle w:val="Emphasis"/>
          <w:sz w:val="20"/>
          <w:szCs w:val="20"/>
        </w:rPr>
        <w:t>spiritus servitii</w:t>
      </w:r>
      <w:r w:rsidRPr="0058391C">
        <w:rPr>
          <w:sz w:val="20"/>
          <w:szCs w:val="20"/>
        </w:rPr>
        <w:t xml:space="preserve"> (por. 66), które ma swoje nowotestamentowe pochodzenie (por. Ewangelia </w:t>
      </w:r>
      <w:r>
        <w:rPr>
          <w:sz w:val="20"/>
          <w:szCs w:val="20"/>
        </w:rPr>
        <w:t xml:space="preserve">wg. </w:t>
      </w:r>
      <w:r w:rsidRPr="0058391C">
        <w:rPr>
          <w:sz w:val="20"/>
          <w:szCs w:val="20"/>
        </w:rPr>
        <w:t>Marka 10,42–43).</w:t>
      </w:r>
    </w:p>
  </w:footnote>
  <w:footnote w:id="4">
    <w:p w14:paraId="26864DF7" w14:textId="77777777" w:rsidR="00C81A65" w:rsidRPr="0058391C" w:rsidRDefault="00C81A65" w:rsidP="00E75E1C">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rPr>
        <w:t xml:space="preserve"> Por. </w:t>
      </w:r>
      <w:r w:rsidRPr="0058391C">
        <w:rPr>
          <w:i/>
          <w:iCs/>
          <w:sz w:val="20"/>
          <w:szCs w:val="20"/>
        </w:rPr>
        <w:t>Lumen gentium</w:t>
      </w:r>
      <w:r w:rsidRPr="0058391C">
        <w:rPr>
          <w:sz w:val="20"/>
          <w:szCs w:val="20"/>
        </w:rPr>
        <w:t xml:space="preserve"> 10,2; 18,1; 27,1.</w:t>
      </w:r>
    </w:p>
  </w:footnote>
  <w:footnote w:id="5">
    <w:p w14:paraId="0969D047" w14:textId="77777777" w:rsidR="00C81A65" w:rsidRPr="00842F52" w:rsidRDefault="00C81A65" w:rsidP="0058391C">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rPr>
        <w:t xml:space="preserve"> Por. </w:t>
      </w:r>
      <w:r w:rsidRPr="0058391C">
        <w:rPr>
          <w:i/>
          <w:iCs/>
          <w:sz w:val="20"/>
          <w:szCs w:val="20"/>
        </w:rPr>
        <w:t>Presbyterorum ordinis</w:t>
      </w:r>
      <w:r w:rsidRPr="0058391C">
        <w:rPr>
          <w:sz w:val="20"/>
          <w:szCs w:val="20"/>
        </w:rPr>
        <w:t xml:space="preserve"> 6,1; zob. także tamże 2,2, gdzie wyrażenie </w:t>
      </w:r>
      <w:r w:rsidRPr="0058391C">
        <w:rPr>
          <w:rStyle w:val="Emphasis"/>
          <w:sz w:val="20"/>
          <w:szCs w:val="20"/>
        </w:rPr>
        <w:t>sacra ordinis potestas</w:t>
      </w:r>
      <w:r w:rsidRPr="0058391C">
        <w:rPr>
          <w:sz w:val="20"/>
          <w:szCs w:val="20"/>
        </w:rPr>
        <w:t xml:space="preserve"> jest używane jako synonim dwóch pozostałych wyrażeń. Na temat terminologii soborowej dotyczącej kwestii władzy </w:t>
      </w:r>
      <w:r>
        <w:rPr>
          <w:sz w:val="20"/>
          <w:szCs w:val="20"/>
        </w:rPr>
        <w:t>kościelnej zob. również M.</w:t>
      </w:r>
      <w:r w:rsidRPr="0058391C">
        <w:rPr>
          <w:sz w:val="20"/>
          <w:szCs w:val="20"/>
        </w:rPr>
        <w:t xml:space="preserve"> Kaiser, </w:t>
      </w:r>
      <w:r w:rsidRPr="0058391C">
        <w:rPr>
          <w:rStyle w:val="Emphasis"/>
          <w:sz w:val="20"/>
          <w:szCs w:val="20"/>
        </w:rPr>
        <w:t>Aussagen des Zweiten Vatikanischen Konzils über die Kirchengewalt</w:t>
      </w:r>
      <w:r>
        <w:rPr>
          <w:sz w:val="20"/>
          <w:szCs w:val="20"/>
        </w:rPr>
        <w:t>, w: A. Scheuermann, G. May (red</w:t>
      </w:r>
      <w:r w:rsidRPr="0058391C">
        <w:rPr>
          <w:sz w:val="20"/>
          <w:szCs w:val="20"/>
        </w:rPr>
        <w:t xml:space="preserve">.), </w:t>
      </w:r>
      <w:r w:rsidRPr="0058391C">
        <w:rPr>
          <w:rStyle w:val="Emphasis"/>
          <w:sz w:val="20"/>
          <w:szCs w:val="20"/>
        </w:rPr>
        <w:t xml:space="preserve">Ius sacrum. </w:t>
      </w:r>
      <w:r w:rsidRPr="00842F52">
        <w:rPr>
          <w:rStyle w:val="Emphasis"/>
          <w:sz w:val="20"/>
          <w:szCs w:val="20"/>
          <w:lang w:val="de-AT"/>
        </w:rPr>
        <w:t>Klaus Mörsdorf zum 60. Geburtstag</w:t>
      </w:r>
      <w:r w:rsidRPr="00842F52">
        <w:rPr>
          <w:sz w:val="20"/>
          <w:szCs w:val="20"/>
          <w:lang w:val="de-AT"/>
        </w:rPr>
        <w:t>, München – Paderborn – Wien 1969, s. 253–271, tutaj zwłaszcza s. 256.</w:t>
      </w:r>
    </w:p>
  </w:footnote>
  <w:footnote w:id="6">
    <w:p w14:paraId="3B67FB93" w14:textId="77777777" w:rsidR="00C81A65" w:rsidRPr="00842F52" w:rsidRDefault="00C81A65" w:rsidP="00605DD3">
      <w:pPr>
        <w:pStyle w:val="NormalWeb"/>
        <w:spacing w:before="0" w:beforeAutospacing="0" w:after="0" w:afterAutospacing="0"/>
        <w:jc w:val="both"/>
        <w:rPr>
          <w:sz w:val="20"/>
          <w:szCs w:val="20"/>
          <w:lang w:val="de-AT"/>
        </w:rPr>
      </w:pPr>
      <w:r w:rsidRPr="0058391C">
        <w:rPr>
          <w:rStyle w:val="FootnoteReference"/>
          <w:sz w:val="20"/>
          <w:szCs w:val="20"/>
        </w:rPr>
        <w:footnoteRef/>
      </w:r>
      <w:r w:rsidRPr="00842F52">
        <w:rPr>
          <w:sz w:val="20"/>
          <w:szCs w:val="20"/>
          <w:lang w:val="de-AT"/>
        </w:rPr>
        <w:t xml:space="preserve"> W analizie dokumentów </w:t>
      </w:r>
      <w:r w:rsidR="00B64A07" w:rsidRPr="00842F52">
        <w:rPr>
          <w:sz w:val="20"/>
          <w:szCs w:val="20"/>
          <w:lang w:val="de-AT"/>
        </w:rPr>
        <w:t xml:space="preserve">II Soboru Watykańskiego </w:t>
      </w:r>
      <w:r w:rsidRPr="00842F52">
        <w:rPr>
          <w:sz w:val="20"/>
          <w:szCs w:val="20"/>
          <w:lang w:val="de-AT"/>
        </w:rPr>
        <w:t xml:space="preserve">zgodni są w tym: P. Krämer, </w:t>
      </w:r>
      <w:r w:rsidRPr="00842F52">
        <w:rPr>
          <w:rStyle w:val="Emphasis"/>
          <w:sz w:val="20"/>
          <w:szCs w:val="20"/>
          <w:lang w:val="de-AT"/>
        </w:rPr>
        <w:t>Servizio</w:t>
      </w:r>
      <w:r w:rsidRPr="00842F52">
        <w:rPr>
          <w:sz w:val="20"/>
          <w:szCs w:val="20"/>
          <w:lang w:val="de-AT"/>
        </w:rPr>
        <w:t xml:space="preserve">, s. 22–23; E. Corecco, </w:t>
      </w:r>
      <w:r w:rsidRPr="00842F52">
        <w:rPr>
          <w:rStyle w:val="Emphasis"/>
          <w:sz w:val="20"/>
          <w:szCs w:val="20"/>
          <w:lang w:val="de-AT"/>
        </w:rPr>
        <w:t>Natura e struttura della «sacra potestas» nella dottrina e nel nuovo codice di diritto canonico</w:t>
      </w:r>
      <w:r w:rsidRPr="00842F52">
        <w:rPr>
          <w:sz w:val="20"/>
          <w:szCs w:val="20"/>
          <w:lang w:val="de-AT"/>
        </w:rPr>
        <w:t xml:space="preserve">, w: </w:t>
      </w:r>
      <w:r w:rsidRPr="00842F52">
        <w:rPr>
          <w:i/>
          <w:iCs/>
          <w:sz w:val="20"/>
          <w:szCs w:val="20"/>
          <w:lang w:val="de-AT"/>
        </w:rPr>
        <w:t>Communio</w:t>
      </w:r>
      <w:r w:rsidRPr="00842F52">
        <w:rPr>
          <w:sz w:val="20"/>
          <w:szCs w:val="20"/>
          <w:lang w:val="de-AT"/>
        </w:rPr>
        <w:t xml:space="preserve"> 75(1984), s. 24–52, tutaj s. 24.</w:t>
      </w:r>
    </w:p>
  </w:footnote>
  <w:footnote w:id="7">
    <w:p w14:paraId="1F2B10B1" w14:textId="77777777" w:rsidR="00C81A65" w:rsidRPr="0058391C" w:rsidRDefault="00C81A65" w:rsidP="009E463D">
      <w:pPr>
        <w:pStyle w:val="NormalWeb"/>
        <w:spacing w:before="0" w:beforeAutospacing="0" w:after="0" w:afterAutospacing="0"/>
        <w:jc w:val="both"/>
        <w:rPr>
          <w:sz w:val="20"/>
          <w:szCs w:val="20"/>
          <w:lang w:val="fr-FR"/>
        </w:rPr>
      </w:pPr>
      <w:r w:rsidRPr="0058391C">
        <w:rPr>
          <w:rStyle w:val="FootnoteReference"/>
          <w:sz w:val="20"/>
          <w:szCs w:val="20"/>
        </w:rPr>
        <w:footnoteRef/>
      </w:r>
      <w:r w:rsidRPr="0058391C">
        <w:rPr>
          <w:sz w:val="20"/>
          <w:szCs w:val="20"/>
          <w:lang w:val="de-AT"/>
        </w:rPr>
        <w:t xml:space="preserve"> </w:t>
      </w:r>
      <w:r>
        <w:rPr>
          <w:sz w:val="20"/>
          <w:szCs w:val="20"/>
          <w:lang w:val="de-AT"/>
        </w:rPr>
        <w:t>Por. J. Ratzinger, H.</w:t>
      </w:r>
      <w:r w:rsidRPr="0058391C">
        <w:rPr>
          <w:sz w:val="20"/>
          <w:szCs w:val="20"/>
          <w:lang w:val="de-AT"/>
        </w:rPr>
        <w:t xml:space="preserve"> Maier, </w:t>
      </w:r>
      <w:r w:rsidRPr="0058391C">
        <w:rPr>
          <w:rStyle w:val="Emphasis"/>
          <w:sz w:val="20"/>
          <w:szCs w:val="20"/>
          <w:lang w:val="de-AT"/>
        </w:rPr>
        <w:t>Demokratie in der Kirche. Grenzen und Gefahren</w:t>
      </w:r>
      <w:r w:rsidRPr="0058391C">
        <w:rPr>
          <w:sz w:val="20"/>
          <w:szCs w:val="20"/>
          <w:lang w:val="de-AT"/>
        </w:rPr>
        <w:t xml:space="preserve">, Limburg 1970, </w:t>
      </w:r>
      <w:r>
        <w:rPr>
          <w:sz w:val="20"/>
          <w:szCs w:val="20"/>
          <w:lang w:val="de-AT"/>
        </w:rPr>
        <w:t xml:space="preserve">s. </w:t>
      </w:r>
      <w:r w:rsidRPr="0058391C">
        <w:rPr>
          <w:sz w:val="20"/>
          <w:szCs w:val="20"/>
          <w:lang w:val="de-AT"/>
        </w:rPr>
        <w:t xml:space="preserve">31n. </w:t>
      </w:r>
      <w:r w:rsidRPr="0058391C">
        <w:rPr>
          <w:sz w:val="20"/>
          <w:szCs w:val="20"/>
        </w:rPr>
        <w:t xml:space="preserve">Jedność soborowego rozumienia </w:t>
      </w:r>
      <w:r w:rsidRPr="0058391C">
        <w:rPr>
          <w:rStyle w:val="Emphasis"/>
          <w:sz w:val="20"/>
          <w:szCs w:val="20"/>
        </w:rPr>
        <w:t>sacra potestas</w:t>
      </w:r>
      <w:r w:rsidRPr="0058391C">
        <w:rPr>
          <w:sz w:val="20"/>
          <w:szCs w:val="20"/>
        </w:rPr>
        <w:t xml:space="preserve"> została podkreślona także przez innych teologów</w:t>
      </w:r>
      <w:r>
        <w:rPr>
          <w:sz w:val="20"/>
          <w:szCs w:val="20"/>
        </w:rPr>
        <w:t xml:space="preserve">: por. </w:t>
      </w:r>
      <w:r w:rsidRPr="0058391C">
        <w:rPr>
          <w:sz w:val="20"/>
          <w:szCs w:val="20"/>
          <w:lang w:val="de-AT"/>
        </w:rPr>
        <w:t xml:space="preserve">J. Lécuyer, </w:t>
      </w:r>
      <w:r w:rsidRPr="0058391C">
        <w:rPr>
          <w:rStyle w:val="Emphasis"/>
          <w:sz w:val="20"/>
          <w:szCs w:val="20"/>
          <w:lang w:val="de-AT"/>
        </w:rPr>
        <w:t>Das dreifache Amt des Bischofs</w:t>
      </w:r>
      <w:r>
        <w:rPr>
          <w:sz w:val="20"/>
          <w:szCs w:val="20"/>
          <w:lang w:val="de-AT"/>
        </w:rPr>
        <w:t>, w: G. Baraúna (red</w:t>
      </w:r>
      <w:r w:rsidRPr="0058391C">
        <w:rPr>
          <w:sz w:val="20"/>
          <w:szCs w:val="20"/>
          <w:lang w:val="de-AT"/>
        </w:rPr>
        <w:t xml:space="preserve">.), </w:t>
      </w:r>
      <w:r w:rsidRPr="0058391C">
        <w:rPr>
          <w:rStyle w:val="Emphasis"/>
          <w:sz w:val="20"/>
          <w:szCs w:val="20"/>
          <w:lang w:val="de-AT"/>
        </w:rPr>
        <w:t>De Ecclesia. Beiträge zur Konstitution «Über die Kirche» des Zweiten Vatikanischen Konzils</w:t>
      </w:r>
      <w:r w:rsidR="00C66CF7">
        <w:rPr>
          <w:sz w:val="20"/>
          <w:szCs w:val="20"/>
          <w:lang w:val="de-AT"/>
        </w:rPr>
        <w:t>, t</w:t>
      </w:r>
      <w:r w:rsidRPr="0058391C">
        <w:rPr>
          <w:sz w:val="20"/>
          <w:szCs w:val="20"/>
          <w:lang w:val="de-AT"/>
        </w:rPr>
        <w:t xml:space="preserve">. II, Freiburg – Basel – Wien 1966, </w:t>
      </w:r>
      <w:r>
        <w:rPr>
          <w:sz w:val="20"/>
          <w:szCs w:val="20"/>
          <w:lang w:val="de-AT"/>
        </w:rPr>
        <w:t xml:space="preserve">s. </w:t>
      </w:r>
      <w:r w:rsidRPr="0058391C">
        <w:rPr>
          <w:sz w:val="20"/>
          <w:szCs w:val="20"/>
          <w:lang w:val="de-AT"/>
        </w:rPr>
        <w:t xml:space="preserve">166–188, tutaj </w:t>
      </w:r>
      <w:r>
        <w:rPr>
          <w:sz w:val="20"/>
          <w:szCs w:val="20"/>
          <w:lang w:val="de-AT"/>
        </w:rPr>
        <w:t xml:space="preserve">s. </w:t>
      </w:r>
      <w:r w:rsidRPr="0058391C">
        <w:rPr>
          <w:sz w:val="20"/>
          <w:szCs w:val="20"/>
          <w:lang w:val="de-AT"/>
        </w:rPr>
        <w:t xml:space="preserve">187; </w:t>
      </w:r>
      <w:r>
        <w:rPr>
          <w:sz w:val="20"/>
          <w:szCs w:val="20"/>
          <w:lang w:val="de-AT"/>
        </w:rPr>
        <w:t>U.</w:t>
      </w:r>
      <w:r w:rsidRPr="0058391C">
        <w:rPr>
          <w:sz w:val="20"/>
          <w:szCs w:val="20"/>
          <w:lang w:val="de-AT"/>
        </w:rPr>
        <w:t xml:space="preserve"> Betti, </w:t>
      </w:r>
      <w:r w:rsidRPr="0058391C">
        <w:rPr>
          <w:rStyle w:val="Emphasis"/>
          <w:sz w:val="20"/>
          <w:szCs w:val="20"/>
          <w:lang w:val="de-AT"/>
        </w:rPr>
        <w:t>Die Beziehungen zwischen dem Papst und der übrigen Gliedern des Bischofskollegiums</w:t>
      </w:r>
      <w:r w:rsidRPr="0058391C">
        <w:rPr>
          <w:sz w:val="20"/>
          <w:szCs w:val="20"/>
          <w:lang w:val="de-AT"/>
        </w:rPr>
        <w:t xml:space="preserve">, w: Baraúna, </w:t>
      </w:r>
      <w:r w:rsidRPr="0058391C">
        <w:rPr>
          <w:rStyle w:val="Emphasis"/>
          <w:sz w:val="20"/>
          <w:szCs w:val="20"/>
          <w:lang w:val="de-AT"/>
        </w:rPr>
        <w:t>Beiträge</w:t>
      </w:r>
      <w:r>
        <w:rPr>
          <w:sz w:val="20"/>
          <w:szCs w:val="20"/>
          <w:lang w:val="de-AT"/>
        </w:rPr>
        <w:t xml:space="preserve"> (zob. wyżej), t</w:t>
      </w:r>
      <w:r w:rsidRPr="0058391C">
        <w:rPr>
          <w:sz w:val="20"/>
          <w:szCs w:val="20"/>
          <w:lang w:val="de-AT"/>
        </w:rPr>
        <w:t xml:space="preserve">. II, </w:t>
      </w:r>
      <w:r>
        <w:rPr>
          <w:sz w:val="20"/>
          <w:szCs w:val="20"/>
          <w:lang w:val="de-AT"/>
        </w:rPr>
        <w:t xml:space="preserve">s. </w:t>
      </w:r>
      <w:r w:rsidRPr="0058391C">
        <w:rPr>
          <w:sz w:val="20"/>
          <w:szCs w:val="20"/>
          <w:lang w:val="de-AT"/>
        </w:rPr>
        <w:t xml:space="preserve">71–83, tutaj </w:t>
      </w:r>
      <w:r>
        <w:rPr>
          <w:sz w:val="20"/>
          <w:szCs w:val="20"/>
          <w:lang w:val="de-AT"/>
        </w:rPr>
        <w:t>s.72n.; oraz ponownie J.</w:t>
      </w:r>
      <w:r w:rsidRPr="0058391C">
        <w:rPr>
          <w:sz w:val="20"/>
          <w:szCs w:val="20"/>
          <w:lang w:val="de-AT"/>
        </w:rPr>
        <w:t xml:space="preserve"> Ratzinger, </w:t>
      </w:r>
      <w:r w:rsidRPr="0058391C">
        <w:rPr>
          <w:rStyle w:val="Emphasis"/>
          <w:sz w:val="20"/>
          <w:szCs w:val="20"/>
          <w:lang w:val="de-AT"/>
        </w:rPr>
        <w:t>Die bischöfliche Kollegialität. Theologische Entfaltungen</w:t>
      </w:r>
      <w:r w:rsidRPr="0058391C">
        <w:rPr>
          <w:sz w:val="20"/>
          <w:szCs w:val="20"/>
          <w:lang w:val="de-AT"/>
        </w:rPr>
        <w:t xml:space="preserve">, w: </w:t>
      </w:r>
      <w:r>
        <w:rPr>
          <w:sz w:val="20"/>
          <w:szCs w:val="20"/>
          <w:lang w:val="de-AT"/>
        </w:rPr>
        <w:t>G. Baraúna (red</w:t>
      </w:r>
      <w:r w:rsidRPr="0058391C">
        <w:rPr>
          <w:sz w:val="20"/>
          <w:szCs w:val="20"/>
          <w:lang w:val="de-AT"/>
        </w:rPr>
        <w:t xml:space="preserve">.), </w:t>
      </w:r>
      <w:r w:rsidRPr="0058391C">
        <w:rPr>
          <w:rStyle w:val="Emphasis"/>
          <w:sz w:val="20"/>
          <w:szCs w:val="20"/>
          <w:lang w:val="de-AT"/>
        </w:rPr>
        <w:t>De Ecclesia. Beiträge zur Konstitution «Über die Kirche» des Zweiten Vatikanischen Konzils</w:t>
      </w:r>
      <w:r w:rsidR="00C66CF7">
        <w:rPr>
          <w:sz w:val="20"/>
          <w:szCs w:val="20"/>
          <w:lang w:val="de-AT"/>
        </w:rPr>
        <w:t>, t</w:t>
      </w:r>
      <w:r w:rsidRPr="0058391C">
        <w:rPr>
          <w:sz w:val="20"/>
          <w:szCs w:val="20"/>
          <w:lang w:val="de-AT"/>
        </w:rPr>
        <w:t xml:space="preserve">. </w:t>
      </w:r>
      <w:r w:rsidRPr="00C66CF7">
        <w:rPr>
          <w:sz w:val="20"/>
          <w:szCs w:val="20"/>
          <w:lang w:val="de-AT"/>
        </w:rPr>
        <w:t xml:space="preserve">II, Freiburg – Basel – Wien 1966, s.44–70, tutaj s. 49n. </w:t>
      </w:r>
      <w:r w:rsidRPr="0058391C">
        <w:rPr>
          <w:sz w:val="20"/>
          <w:szCs w:val="20"/>
        </w:rPr>
        <w:t>Niedawno ponownie podkreślono także decydującą rolę Klaus</w:t>
      </w:r>
      <w:r>
        <w:rPr>
          <w:sz w:val="20"/>
          <w:szCs w:val="20"/>
        </w:rPr>
        <w:t>a</w:t>
      </w:r>
      <w:r w:rsidRPr="0058391C">
        <w:rPr>
          <w:sz w:val="20"/>
          <w:szCs w:val="20"/>
        </w:rPr>
        <w:t xml:space="preserve"> Mörsdorf</w:t>
      </w:r>
      <w:r>
        <w:rPr>
          <w:sz w:val="20"/>
          <w:szCs w:val="20"/>
        </w:rPr>
        <w:t>a</w:t>
      </w:r>
      <w:r w:rsidRPr="0058391C">
        <w:rPr>
          <w:sz w:val="20"/>
          <w:szCs w:val="20"/>
        </w:rPr>
        <w:t xml:space="preserve"> w rozwinięciu jednolitego rozumienia władzy kościelnej; por. </w:t>
      </w:r>
      <w:r>
        <w:rPr>
          <w:sz w:val="20"/>
          <w:szCs w:val="20"/>
          <w:lang w:val="fr-FR"/>
        </w:rPr>
        <w:t>M.</w:t>
      </w:r>
      <w:r w:rsidRPr="0058391C">
        <w:rPr>
          <w:sz w:val="20"/>
          <w:szCs w:val="20"/>
          <w:lang w:val="fr-FR"/>
        </w:rPr>
        <w:t xml:space="preserve"> Pinet, </w:t>
      </w:r>
      <w:r w:rsidRPr="0058391C">
        <w:rPr>
          <w:rStyle w:val="Emphasis"/>
          <w:sz w:val="20"/>
          <w:szCs w:val="20"/>
          <w:lang w:val="fr-FR"/>
        </w:rPr>
        <w:t>Approche historique de la séparation des pouvoirs dans l’Église: de la bipartition ordre-jurisdiction aux tria munera</w:t>
      </w:r>
      <w:r w:rsidRPr="0058391C">
        <w:rPr>
          <w:sz w:val="20"/>
          <w:szCs w:val="20"/>
          <w:lang w:val="fr-FR"/>
        </w:rPr>
        <w:t xml:space="preserve">, w: </w:t>
      </w:r>
      <w:r w:rsidRPr="009E463D">
        <w:rPr>
          <w:i/>
          <w:iCs/>
          <w:sz w:val="20"/>
          <w:szCs w:val="20"/>
          <w:lang w:val="fr-FR"/>
        </w:rPr>
        <w:t>Revue de droit canonique</w:t>
      </w:r>
      <w:r>
        <w:rPr>
          <w:sz w:val="20"/>
          <w:szCs w:val="20"/>
          <w:lang w:val="fr-FR"/>
        </w:rPr>
        <w:t xml:space="preserve"> 73/2</w:t>
      </w:r>
      <w:r w:rsidRPr="0058391C">
        <w:rPr>
          <w:sz w:val="20"/>
          <w:szCs w:val="20"/>
          <w:lang w:val="fr-FR"/>
        </w:rPr>
        <w:t>(2023)</w:t>
      </w:r>
      <w:r>
        <w:rPr>
          <w:sz w:val="20"/>
          <w:szCs w:val="20"/>
          <w:lang w:val="fr-FR"/>
        </w:rPr>
        <w:t>, s.</w:t>
      </w:r>
      <w:r w:rsidRPr="0058391C">
        <w:rPr>
          <w:sz w:val="20"/>
          <w:szCs w:val="20"/>
          <w:lang w:val="fr-FR"/>
        </w:rPr>
        <w:t xml:space="preserve"> 243–255, zwłaszcza </w:t>
      </w:r>
      <w:r>
        <w:rPr>
          <w:sz w:val="20"/>
          <w:szCs w:val="20"/>
          <w:lang w:val="fr-FR"/>
        </w:rPr>
        <w:t xml:space="preserve">s. </w:t>
      </w:r>
      <w:r w:rsidRPr="0058391C">
        <w:rPr>
          <w:sz w:val="20"/>
          <w:szCs w:val="20"/>
          <w:lang w:val="fr-FR"/>
        </w:rPr>
        <w:t>252, przypis 17.</w:t>
      </w:r>
    </w:p>
  </w:footnote>
  <w:footnote w:id="8">
    <w:p w14:paraId="522C2B6B" w14:textId="77777777" w:rsidR="00C81A65" w:rsidRPr="0058391C" w:rsidRDefault="00C81A65" w:rsidP="0065513F">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rPr>
        <w:t xml:space="preserve"> Por. kan. 129 § 1; należy zauważyć, że w konsekwencji prawodawca kościelny nie używa już określenia </w:t>
      </w:r>
      <w:r w:rsidRPr="0058391C">
        <w:rPr>
          <w:rStyle w:val="Emphasis"/>
          <w:sz w:val="20"/>
          <w:szCs w:val="20"/>
        </w:rPr>
        <w:t>potestas iurisdictionis</w:t>
      </w:r>
      <w:r w:rsidRPr="0058391C">
        <w:rPr>
          <w:sz w:val="20"/>
          <w:szCs w:val="20"/>
        </w:rPr>
        <w:t xml:space="preserve">, lecz jedynie </w:t>
      </w:r>
      <w:r w:rsidRPr="0058391C">
        <w:rPr>
          <w:rStyle w:val="Emphasis"/>
          <w:sz w:val="20"/>
          <w:szCs w:val="20"/>
        </w:rPr>
        <w:t>potestas regiminis</w:t>
      </w:r>
      <w:r w:rsidRPr="0058391C">
        <w:rPr>
          <w:sz w:val="20"/>
          <w:szCs w:val="20"/>
        </w:rPr>
        <w:t xml:space="preserve">, aby uniknąć pomieszania z </w:t>
      </w:r>
      <w:r w:rsidRPr="0058391C">
        <w:rPr>
          <w:rStyle w:val="Emphasis"/>
          <w:sz w:val="20"/>
          <w:szCs w:val="20"/>
        </w:rPr>
        <w:t>potestas iudiciaria</w:t>
      </w:r>
      <w:r w:rsidRPr="0058391C">
        <w:rPr>
          <w:sz w:val="20"/>
          <w:szCs w:val="20"/>
        </w:rPr>
        <w:t xml:space="preserve">: por. </w:t>
      </w:r>
      <w:r w:rsidRPr="0058391C">
        <w:rPr>
          <w:rStyle w:val="Emphasis"/>
          <w:sz w:val="20"/>
          <w:szCs w:val="20"/>
        </w:rPr>
        <w:t>Communicationes</w:t>
      </w:r>
      <w:r>
        <w:rPr>
          <w:sz w:val="20"/>
          <w:szCs w:val="20"/>
        </w:rPr>
        <w:t xml:space="preserve"> 9</w:t>
      </w:r>
      <w:r w:rsidRPr="0058391C">
        <w:rPr>
          <w:sz w:val="20"/>
          <w:szCs w:val="20"/>
        </w:rPr>
        <w:t xml:space="preserve">(1977), </w:t>
      </w:r>
      <w:r>
        <w:rPr>
          <w:sz w:val="20"/>
          <w:szCs w:val="20"/>
        </w:rPr>
        <w:t>s. 234 i 14</w:t>
      </w:r>
      <w:r w:rsidRPr="0058391C">
        <w:rPr>
          <w:sz w:val="20"/>
          <w:szCs w:val="20"/>
        </w:rPr>
        <w:t xml:space="preserve">(1982), </w:t>
      </w:r>
      <w:r>
        <w:rPr>
          <w:sz w:val="20"/>
          <w:szCs w:val="20"/>
        </w:rPr>
        <w:t xml:space="preserve">s. </w:t>
      </w:r>
      <w:r w:rsidRPr="0058391C">
        <w:rPr>
          <w:sz w:val="20"/>
          <w:szCs w:val="20"/>
        </w:rPr>
        <w:t xml:space="preserve">146. Na temat regresu </w:t>
      </w:r>
      <w:r w:rsidRPr="009E463D">
        <w:rPr>
          <w:i/>
          <w:iCs/>
          <w:sz w:val="20"/>
          <w:szCs w:val="20"/>
        </w:rPr>
        <w:t xml:space="preserve">Kodeksu Prawa Kanonicznego </w:t>
      </w:r>
      <w:r w:rsidRPr="0058391C">
        <w:rPr>
          <w:sz w:val="20"/>
          <w:szCs w:val="20"/>
        </w:rPr>
        <w:t>(CIC) w stosun</w:t>
      </w:r>
      <w:r>
        <w:rPr>
          <w:sz w:val="20"/>
          <w:szCs w:val="20"/>
        </w:rPr>
        <w:t>ku do nauki soborowej zob. P.</w:t>
      </w:r>
      <w:r w:rsidRPr="0058391C">
        <w:rPr>
          <w:sz w:val="20"/>
          <w:szCs w:val="20"/>
        </w:rPr>
        <w:t xml:space="preserve"> Krämer, </w:t>
      </w:r>
      <w:r w:rsidRPr="0058391C">
        <w:rPr>
          <w:rStyle w:val="Emphasis"/>
          <w:sz w:val="20"/>
          <w:szCs w:val="20"/>
        </w:rPr>
        <w:t>Kirchenrecht</w:t>
      </w:r>
      <w:r>
        <w:rPr>
          <w:sz w:val="20"/>
          <w:szCs w:val="20"/>
        </w:rPr>
        <w:t>, t</w:t>
      </w:r>
      <w:r w:rsidRPr="0058391C">
        <w:rPr>
          <w:sz w:val="20"/>
          <w:szCs w:val="20"/>
        </w:rPr>
        <w:t xml:space="preserve">. II, </w:t>
      </w:r>
      <w:r w:rsidRPr="0058391C">
        <w:rPr>
          <w:rStyle w:val="Emphasis"/>
          <w:sz w:val="20"/>
          <w:szCs w:val="20"/>
        </w:rPr>
        <w:t>Ortskirche–Gesamtkirche</w:t>
      </w:r>
      <w:r w:rsidRPr="0058391C">
        <w:rPr>
          <w:sz w:val="20"/>
          <w:szCs w:val="20"/>
        </w:rPr>
        <w:t xml:space="preserve">, Stuttgart 1993, </w:t>
      </w:r>
      <w:r>
        <w:rPr>
          <w:sz w:val="20"/>
          <w:szCs w:val="20"/>
        </w:rPr>
        <w:t xml:space="preserve">s. </w:t>
      </w:r>
      <w:r w:rsidRPr="0058391C">
        <w:rPr>
          <w:sz w:val="20"/>
          <w:szCs w:val="20"/>
        </w:rPr>
        <w:t xml:space="preserve">45–57. W </w:t>
      </w:r>
      <w:r w:rsidRPr="009E463D">
        <w:rPr>
          <w:i/>
          <w:iCs/>
          <w:sz w:val="20"/>
          <w:szCs w:val="20"/>
        </w:rPr>
        <w:t>Kodeksie Kanonów Kościołów Wschodnich</w:t>
      </w:r>
      <w:r w:rsidRPr="0058391C">
        <w:rPr>
          <w:sz w:val="20"/>
          <w:szCs w:val="20"/>
        </w:rPr>
        <w:t xml:space="preserve"> (CCEO) w kan. 979 §1 (odpowiednik kan. 129 §1 CIC) całkowicie pominięto wyrażenie </w:t>
      </w:r>
      <w:r w:rsidRPr="0058391C">
        <w:rPr>
          <w:rStyle w:val="Emphasis"/>
          <w:sz w:val="20"/>
          <w:szCs w:val="20"/>
        </w:rPr>
        <w:t>potestas iurisdictionis</w:t>
      </w:r>
      <w:r w:rsidRPr="0058391C">
        <w:rPr>
          <w:sz w:val="20"/>
          <w:szCs w:val="20"/>
        </w:rPr>
        <w:t>, niejako w celu autentycznego ukazania zagrożenia wynikającego z tego równania.</w:t>
      </w:r>
    </w:p>
  </w:footnote>
  <w:footnote w:id="9">
    <w:p w14:paraId="038A8EE7" w14:textId="77777777" w:rsidR="00C81A65" w:rsidRPr="0058391C" w:rsidRDefault="00C81A65" w:rsidP="0065513F">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rPr>
        <w:t xml:space="preserve"> W ten sposób stare powiedzenie </w:t>
      </w:r>
      <w:r w:rsidRPr="0058391C">
        <w:rPr>
          <w:rStyle w:val="Emphasis"/>
          <w:sz w:val="20"/>
          <w:szCs w:val="20"/>
        </w:rPr>
        <w:t>qui regit docet, qui docet, regit</w:t>
      </w:r>
      <w:r w:rsidRPr="0058391C">
        <w:rPr>
          <w:sz w:val="20"/>
          <w:szCs w:val="20"/>
        </w:rPr>
        <w:t xml:space="preserve"> można na nowo sformułować w świ</w:t>
      </w:r>
      <w:r>
        <w:rPr>
          <w:sz w:val="20"/>
          <w:szCs w:val="20"/>
        </w:rPr>
        <w:t>etle nauki soborowej; por. J.</w:t>
      </w:r>
      <w:r w:rsidRPr="0058391C">
        <w:rPr>
          <w:sz w:val="20"/>
          <w:szCs w:val="20"/>
        </w:rPr>
        <w:t xml:space="preserve">B. Beyer, </w:t>
      </w:r>
      <w:r w:rsidRPr="0058391C">
        <w:rPr>
          <w:rStyle w:val="Emphasis"/>
          <w:sz w:val="20"/>
          <w:szCs w:val="20"/>
        </w:rPr>
        <w:t>De natura potestatis regiminis seu iurisdictionis recte in Codice renovato enuntianda</w:t>
      </w:r>
      <w:r w:rsidRPr="0058391C">
        <w:rPr>
          <w:sz w:val="20"/>
          <w:szCs w:val="20"/>
        </w:rPr>
        <w:t xml:space="preserve">, w: </w:t>
      </w:r>
      <w:r w:rsidRPr="0058391C">
        <w:rPr>
          <w:rStyle w:val="Emphasis"/>
          <w:sz w:val="20"/>
          <w:szCs w:val="20"/>
        </w:rPr>
        <w:t>Periodica</w:t>
      </w:r>
      <w:r>
        <w:rPr>
          <w:sz w:val="20"/>
          <w:szCs w:val="20"/>
        </w:rPr>
        <w:t xml:space="preserve"> 71</w:t>
      </w:r>
      <w:r w:rsidRPr="0058391C">
        <w:rPr>
          <w:sz w:val="20"/>
          <w:szCs w:val="20"/>
        </w:rPr>
        <w:t>(1982)</w:t>
      </w:r>
      <w:r>
        <w:rPr>
          <w:sz w:val="20"/>
          <w:szCs w:val="20"/>
        </w:rPr>
        <w:t>, s.</w:t>
      </w:r>
      <w:r w:rsidRPr="0058391C">
        <w:rPr>
          <w:sz w:val="20"/>
          <w:szCs w:val="20"/>
        </w:rPr>
        <w:t xml:space="preserve"> 93–145, tutaj </w:t>
      </w:r>
      <w:r>
        <w:rPr>
          <w:sz w:val="20"/>
          <w:szCs w:val="20"/>
        </w:rPr>
        <w:t xml:space="preserve">s. </w:t>
      </w:r>
      <w:r w:rsidRPr="0058391C">
        <w:rPr>
          <w:sz w:val="20"/>
          <w:szCs w:val="20"/>
        </w:rPr>
        <w:t>118–119.</w:t>
      </w:r>
    </w:p>
    <w:p w14:paraId="7598DE06" w14:textId="77777777" w:rsidR="00C81A65" w:rsidRPr="0058391C" w:rsidRDefault="00C81A65">
      <w:pPr>
        <w:pStyle w:val="FootnoteText"/>
        <w:rPr>
          <w:rFonts w:ascii="Times New Roman" w:hAnsi="Times New Roman" w:cs="Times New Roman"/>
        </w:rPr>
      </w:pPr>
    </w:p>
  </w:footnote>
  <w:footnote w:id="10">
    <w:p w14:paraId="048A8F88" w14:textId="77777777" w:rsidR="00C81A65" w:rsidRPr="00842F52" w:rsidRDefault="00C81A65" w:rsidP="00F81749">
      <w:pPr>
        <w:pStyle w:val="NormalWeb"/>
        <w:spacing w:before="0" w:beforeAutospacing="0" w:after="0" w:afterAutospacing="0"/>
        <w:jc w:val="both"/>
        <w:rPr>
          <w:sz w:val="20"/>
          <w:szCs w:val="20"/>
        </w:rPr>
      </w:pPr>
      <w:r w:rsidRPr="0058391C">
        <w:rPr>
          <w:rStyle w:val="FootnoteReference"/>
          <w:sz w:val="20"/>
          <w:szCs w:val="20"/>
        </w:rPr>
        <w:footnoteRef/>
      </w:r>
      <w:r w:rsidRPr="00842F52">
        <w:rPr>
          <w:sz w:val="20"/>
          <w:szCs w:val="20"/>
        </w:rPr>
        <w:t xml:space="preserve"> Takie wnioski przedstawia H. Müller, </w:t>
      </w:r>
      <w:r w:rsidRPr="00842F52">
        <w:rPr>
          <w:rStyle w:val="Emphasis"/>
          <w:sz w:val="20"/>
          <w:szCs w:val="20"/>
        </w:rPr>
        <w:t>Zur Frage nach der kirchliche Vollmacht im CIC/1983</w:t>
      </w:r>
      <w:r w:rsidRPr="00842F52">
        <w:rPr>
          <w:sz w:val="20"/>
          <w:szCs w:val="20"/>
        </w:rPr>
        <w:t xml:space="preserve">, w: </w:t>
      </w:r>
      <w:r w:rsidRPr="00842F52">
        <w:rPr>
          <w:rStyle w:val="Emphasis"/>
          <w:sz w:val="20"/>
          <w:szCs w:val="20"/>
        </w:rPr>
        <w:t>ÖAKR</w:t>
      </w:r>
      <w:r w:rsidRPr="00842F52">
        <w:rPr>
          <w:sz w:val="20"/>
          <w:szCs w:val="20"/>
        </w:rPr>
        <w:t xml:space="preserve"> 35 (1985), s. 83–106, tutaj s. 105.</w:t>
      </w:r>
    </w:p>
  </w:footnote>
  <w:footnote w:id="11">
    <w:p w14:paraId="52B117EA" w14:textId="77777777" w:rsidR="00C81A65" w:rsidRPr="0058391C" w:rsidRDefault="00C81A65" w:rsidP="00F81749">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rPr>
        <w:t xml:space="preserve"> W związku z tym zob. </w:t>
      </w:r>
      <w:r>
        <w:rPr>
          <w:sz w:val="20"/>
          <w:szCs w:val="20"/>
          <w:lang w:val="de-AT"/>
        </w:rPr>
        <w:t>L.</w:t>
      </w:r>
      <w:r w:rsidRPr="0058391C">
        <w:rPr>
          <w:sz w:val="20"/>
          <w:szCs w:val="20"/>
          <w:lang w:val="de-AT"/>
        </w:rPr>
        <w:t xml:space="preserve"> Gerosa, </w:t>
      </w:r>
      <w:r w:rsidRPr="0058391C">
        <w:rPr>
          <w:rStyle w:val="Emphasis"/>
          <w:sz w:val="20"/>
          <w:szCs w:val="20"/>
          <w:lang w:val="de-AT"/>
        </w:rPr>
        <w:t>Sacro e diritto</w:t>
      </w:r>
      <w:r w:rsidRPr="0058391C">
        <w:rPr>
          <w:sz w:val="20"/>
          <w:szCs w:val="20"/>
          <w:lang w:val="de-AT"/>
        </w:rPr>
        <w:t xml:space="preserve">, Mailand 2014, </w:t>
      </w:r>
      <w:r>
        <w:rPr>
          <w:sz w:val="20"/>
          <w:szCs w:val="20"/>
          <w:lang w:val="de-AT"/>
        </w:rPr>
        <w:t xml:space="preserve">s. </w:t>
      </w:r>
      <w:r w:rsidRPr="0058391C">
        <w:rPr>
          <w:sz w:val="20"/>
          <w:szCs w:val="20"/>
          <w:lang w:val="de-AT"/>
        </w:rPr>
        <w:t xml:space="preserve">21–45, zwłaszcza </w:t>
      </w:r>
      <w:r>
        <w:rPr>
          <w:sz w:val="20"/>
          <w:szCs w:val="20"/>
          <w:lang w:val="de-AT"/>
        </w:rPr>
        <w:t xml:space="preserve">s. </w:t>
      </w:r>
      <w:r w:rsidRPr="0058391C">
        <w:rPr>
          <w:sz w:val="20"/>
          <w:szCs w:val="20"/>
          <w:lang w:val="de-AT"/>
        </w:rPr>
        <w:t>25–29.</w:t>
      </w:r>
    </w:p>
  </w:footnote>
  <w:footnote w:id="12">
    <w:p w14:paraId="6EEF5F18" w14:textId="77777777" w:rsidR="00C81A65" w:rsidRPr="0058391C" w:rsidRDefault="00C81A65" w:rsidP="00F81749">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rPr>
        <w:t xml:space="preserve"> Takim przykładem jest to, że urząd sędziego w kolegium sędziowskim może być pełniony także przez świeckiego. Por. kan. 1421 § 2/CIC oraz kan. 1087 § 2/CCEO.</w:t>
      </w:r>
    </w:p>
  </w:footnote>
  <w:footnote w:id="13">
    <w:p w14:paraId="70201BEB" w14:textId="77777777" w:rsidR="00C81A65" w:rsidRPr="0058391C" w:rsidRDefault="00C81A65" w:rsidP="009E463D">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rPr>
        <w:t xml:space="preserve"> Wyrażenie to jest przypisywane Peter</w:t>
      </w:r>
      <w:r>
        <w:rPr>
          <w:sz w:val="20"/>
          <w:szCs w:val="20"/>
        </w:rPr>
        <w:t>owi</w:t>
      </w:r>
      <w:r w:rsidRPr="0058391C">
        <w:rPr>
          <w:sz w:val="20"/>
          <w:szCs w:val="20"/>
        </w:rPr>
        <w:t xml:space="preserve"> Krämer</w:t>
      </w:r>
      <w:r>
        <w:rPr>
          <w:sz w:val="20"/>
          <w:szCs w:val="20"/>
        </w:rPr>
        <w:t>owi</w:t>
      </w:r>
      <w:r w:rsidR="00C66CF7">
        <w:rPr>
          <w:sz w:val="20"/>
          <w:szCs w:val="20"/>
        </w:rPr>
        <w:t xml:space="preserve">, </w:t>
      </w:r>
      <w:r w:rsidRPr="009E463D">
        <w:rPr>
          <w:i/>
          <w:iCs/>
          <w:sz w:val="20"/>
          <w:szCs w:val="20"/>
        </w:rPr>
        <w:t>Su che cosa</w:t>
      </w:r>
      <w:r w:rsidR="00C66CF7">
        <w:rPr>
          <w:sz w:val="20"/>
          <w:szCs w:val="20"/>
        </w:rPr>
        <w:t>, s. 54</w:t>
      </w:r>
      <w:r w:rsidRPr="0058391C">
        <w:rPr>
          <w:sz w:val="20"/>
          <w:szCs w:val="20"/>
        </w:rPr>
        <w:t xml:space="preserve">. Sam Corecco, wychodząc od synodalności jako ontologicznego wymiaru </w:t>
      </w:r>
      <w:r w:rsidRPr="0058391C">
        <w:rPr>
          <w:rStyle w:val="Emphasis"/>
          <w:sz w:val="20"/>
          <w:szCs w:val="20"/>
        </w:rPr>
        <w:t>sacra potestas</w:t>
      </w:r>
      <w:r w:rsidRPr="0058391C">
        <w:rPr>
          <w:sz w:val="20"/>
          <w:szCs w:val="20"/>
        </w:rPr>
        <w:t xml:space="preserve">, uznaje jednak dopuszczalność włączenia świeckiego do kolegium sądowego składającego się z trzech sędziów (kan. 1421 § 2). W podobny sposób można w kan. 861 § 2 (Chrzest) oraz 1112 § 1 (delegacja do asysty przy zawarciu małżeństwa) dostrzec rozszerzenie </w:t>
      </w:r>
      <w:r w:rsidRPr="0058391C">
        <w:rPr>
          <w:rStyle w:val="Emphasis"/>
          <w:sz w:val="20"/>
          <w:szCs w:val="20"/>
        </w:rPr>
        <w:t>cooperatio</w:t>
      </w:r>
      <w:r w:rsidRPr="0058391C">
        <w:rPr>
          <w:sz w:val="20"/>
          <w:szCs w:val="20"/>
        </w:rPr>
        <w:t xml:space="preserve"> świeckich przy wykonywaniu </w:t>
      </w:r>
      <w:r w:rsidRPr="0058391C">
        <w:rPr>
          <w:rStyle w:val="Emphasis"/>
          <w:sz w:val="20"/>
          <w:szCs w:val="20"/>
        </w:rPr>
        <w:t>sacra potestas</w:t>
      </w:r>
      <w:r w:rsidRPr="0058391C">
        <w:rPr>
          <w:sz w:val="20"/>
          <w:szCs w:val="20"/>
        </w:rPr>
        <w:t xml:space="preserve"> w ramach </w:t>
      </w:r>
      <w:r w:rsidRPr="0058391C">
        <w:rPr>
          <w:rStyle w:val="Emphasis"/>
          <w:sz w:val="20"/>
          <w:szCs w:val="20"/>
        </w:rPr>
        <w:t>munus sanctificandi</w:t>
      </w:r>
      <w:r w:rsidRPr="0058391C">
        <w:rPr>
          <w:sz w:val="20"/>
          <w:szCs w:val="20"/>
        </w:rPr>
        <w:t>.</w:t>
      </w:r>
    </w:p>
  </w:footnote>
  <w:footnote w:id="14">
    <w:p w14:paraId="1ADBFE7C" w14:textId="77777777" w:rsidR="00C81A65" w:rsidRPr="009E463D" w:rsidRDefault="00C81A65" w:rsidP="009E463D">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rPr>
        <w:t xml:space="preserve"> Tak podsumowuje Peter Krämer stanowisko swojego nauczyciela Klaus</w:t>
      </w:r>
      <w:r>
        <w:rPr>
          <w:sz w:val="20"/>
          <w:szCs w:val="20"/>
        </w:rPr>
        <w:t>a</w:t>
      </w:r>
      <w:r w:rsidRPr="0058391C">
        <w:rPr>
          <w:sz w:val="20"/>
          <w:szCs w:val="20"/>
        </w:rPr>
        <w:t xml:space="preserve"> Mörsdorf</w:t>
      </w:r>
      <w:r>
        <w:rPr>
          <w:sz w:val="20"/>
          <w:szCs w:val="20"/>
        </w:rPr>
        <w:t>a</w:t>
      </w:r>
      <w:r w:rsidRPr="0058391C">
        <w:rPr>
          <w:sz w:val="20"/>
          <w:szCs w:val="20"/>
        </w:rPr>
        <w:t xml:space="preserve"> (</w:t>
      </w:r>
      <w:r w:rsidRPr="009E463D">
        <w:rPr>
          <w:i/>
          <w:iCs/>
          <w:sz w:val="20"/>
          <w:szCs w:val="20"/>
        </w:rPr>
        <w:t>Su che cosa</w:t>
      </w:r>
      <w:r w:rsidRPr="0058391C">
        <w:rPr>
          <w:sz w:val="20"/>
          <w:szCs w:val="20"/>
        </w:rPr>
        <w:t xml:space="preserve">, </w:t>
      </w:r>
      <w:r>
        <w:rPr>
          <w:sz w:val="20"/>
          <w:szCs w:val="20"/>
        </w:rPr>
        <w:t xml:space="preserve">s. </w:t>
      </w:r>
      <w:r w:rsidRPr="0058391C">
        <w:rPr>
          <w:sz w:val="20"/>
          <w:szCs w:val="20"/>
        </w:rPr>
        <w:t xml:space="preserve">47). Nowsze badania i teologiczna ocena nauki Klausa Mörsdorfa na temat </w:t>
      </w:r>
      <w:r w:rsidRPr="0058391C">
        <w:rPr>
          <w:rStyle w:val="Emphasis"/>
          <w:sz w:val="20"/>
          <w:szCs w:val="20"/>
        </w:rPr>
        <w:t>sacra potestas</w:t>
      </w:r>
      <w:r>
        <w:rPr>
          <w:sz w:val="20"/>
          <w:szCs w:val="20"/>
        </w:rPr>
        <w:t xml:space="preserve"> zob. </w:t>
      </w:r>
      <w:r w:rsidRPr="009E463D">
        <w:rPr>
          <w:sz w:val="20"/>
          <w:szCs w:val="20"/>
          <w:lang w:val="de-AT"/>
        </w:rPr>
        <w:t xml:space="preserve">A. Rudiger, </w:t>
      </w:r>
      <w:r w:rsidRPr="009E463D">
        <w:rPr>
          <w:rStyle w:val="Emphasis"/>
          <w:sz w:val="20"/>
          <w:szCs w:val="20"/>
          <w:lang w:val="de-AT"/>
        </w:rPr>
        <w:t>Die Leitungs- und Machtfrage in der Katholischen Kirche</w:t>
      </w:r>
      <w:r w:rsidRPr="009E463D">
        <w:rPr>
          <w:sz w:val="20"/>
          <w:szCs w:val="20"/>
          <w:lang w:val="de-AT"/>
        </w:rPr>
        <w:t xml:space="preserve">, Buttenwiesen 2002, </w:t>
      </w:r>
      <w:r>
        <w:rPr>
          <w:sz w:val="20"/>
          <w:szCs w:val="20"/>
          <w:lang w:val="de-AT"/>
        </w:rPr>
        <w:t>s. 302–307; A.</w:t>
      </w:r>
      <w:r w:rsidRPr="009E463D">
        <w:rPr>
          <w:sz w:val="20"/>
          <w:szCs w:val="20"/>
          <w:lang w:val="de-AT"/>
        </w:rPr>
        <w:t xml:space="preserve"> Cattaneo, </w:t>
      </w:r>
      <w:r w:rsidRPr="009E463D">
        <w:rPr>
          <w:rStyle w:val="Emphasis"/>
          <w:sz w:val="20"/>
          <w:szCs w:val="20"/>
          <w:lang w:val="de-AT"/>
        </w:rPr>
        <w:t>Questioni fondamentali della canonistica nel pensiero di Klaus Mörsdorf</w:t>
      </w:r>
      <w:r w:rsidRPr="009E463D">
        <w:rPr>
          <w:sz w:val="20"/>
          <w:szCs w:val="20"/>
          <w:lang w:val="de-AT"/>
        </w:rPr>
        <w:t xml:space="preserve">, Pamplona 1986, </w:t>
      </w:r>
      <w:r>
        <w:rPr>
          <w:sz w:val="20"/>
          <w:szCs w:val="20"/>
          <w:lang w:val="de-AT"/>
        </w:rPr>
        <w:t xml:space="preserve">s. </w:t>
      </w:r>
      <w:r w:rsidRPr="009E463D">
        <w:rPr>
          <w:sz w:val="20"/>
          <w:szCs w:val="20"/>
          <w:lang w:val="de-AT"/>
        </w:rPr>
        <w:t>129–226.</w:t>
      </w:r>
    </w:p>
  </w:footnote>
  <w:footnote w:id="15">
    <w:p w14:paraId="04BE951F" w14:textId="77777777" w:rsidR="00C81A65" w:rsidRPr="0058391C" w:rsidRDefault="00C81A65" w:rsidP="009E463D">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rPr>
        <w:t xml:space="preserve"> To jest stanowisko Wilhelm B</w:t>
      </w:r>
      <w:r>
        <w:rPr>
          <w:sz w:val="20"/>
          <w:szCs w:val="20"/>
        </w:rPr>
        <w:t>ertrams, podsumowane przez P.</w:t>
      </w:r>
      <w:r w:rsidRPr="0058391C">
        <w:rPr>
          <w:sz w:val="20"/>
          <w:szCs w:val="20"/>
        </w:rPr>
        <w:t xml:space="preserve"> Krämer, </w:t>
      </w:r>
      <w:r w:rsidRPr="0058391C">
        <w:rPr>
          <w:rStyle w:val="Emphasis"/>
          <w:sz w:val="20"/>
          <w:szCs w:val="20"/>
        </w:rPr>
        <w:t>Su che cosa</w:t>
      </w:r>
      <w:r w:rsidRPr="0058391C">
        <w:rPr>
          <w:sz w:val="20"/>
          <w:szCs w:val="20"/>
        </w:rPr>
        <w:t xml:space="preserve">, </w:t>
      </w:r>
      <w:r>
        <w:rPr>
          <w:sz w:val="20"/>
          <w:szCs w:val="20"/>
        </w:rPr>
        <w:t xml:space="preserve">s. </w:t>
      </w:r>
      <w:r w:rsidRPr="0058391C">
        <w:rPr>
          <w:sz w:val="20"/>
          <w:szCs w:val="20"/>
        </w:rPr>
        <w:t>48.</w:t>
      </w:r>
    </w:p>
    <w:p w14:paraId="1E6B70F9" w14:textId="77777777" w:rsidR="00C81A65" w:rsidRPr="0058391C" w:rsidRDefault="00C81A65" w:rsidP="00F81749">
      <w:pPr>
        <w:pStyle w:val="FootnoteText"/>
        <w:rPr>
          <w:rFonts w:ascii="Times New Roman" w:hAnsi="Times New Roman" w:cs="Times New Roman"/>
        </w:rPr>
      </w:pPr>
    </w:p>
  </w:footnote>
  <w:footnote w:id="16">
    <w:p w14:paraId="1AD9C877" w14:textId="77777777" w:rsidR="00C81A65" w:rsidRPr="009E463D" w:rsidRDefault="00C81A65" w:rsidP="009E463D">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rPr>
        <w:t xml:space="preserve"> Jest to synteza rozważań Euge</w:t>
      </w:r>
      <w:r>
        <w:rPr>
          <w:sz w:val="20"/>
          <w:szCs w:val="20"/>
        </w:rPr>
        <w:t>nio Corecco, przytoczona w P.</w:t>
      </w:r>
      <w:r w:rsidRPr="0058391C">
        <w:rPr>
          <w:sz w:val="20"/>
          <w:szCs w:val="20"/>
        </w:rPr>
        <w:t xml:space="preserve"> Krämer, </w:t>
      </w:r>
      <w:r w:rsidRPr="0058391C">
        <w:rPr>
          <w:rStyle w:val="Emphasis"/>
          <w:sz w:val="20"/>
          <w:szCs w:val="20"/>
        </w:rPr>
        <w:t>Su che cosa</w:t>
      </w:r>
      <w:r>
        <w:rPr>
          <w:rStyle w:val="Emphasis"/>
          <w:sz w:val="20"/>
          <w:szCs w:val="20"/>
        </w:rPr>
        <w:t>,</w:t>
      </w:r>
      <w:r w:rsidRPr="0058391C">
        <w:rPr>
          <w:sz w:val="20"/>
          <w:szCs w:val="20"/>
        </w:rPr>
        <w:t xml:space="preserve"> </w:t>
      </w:r>
      <w:r w:rsidRPr="009E463D">
        <w:rPr>
          <w:sz w:val="20"/>
          <w:szCs w:val="20"/>
        </w:rPr>
        <w:t xml:space="preserve">, s. 48–49, oraz w L. Gerosa, </w:t>
      </w:r>
      <w:r w:rsidRPr="009E463D">
        <w:rPr>
          <w:rStyle w:val="Emphasis"/>
          <w:sz w:val="20"/>
          <w:szCs w:val="20"/>
        </w:rPr>
        <w:t>Das Recht der Kirche</w:t>
      </w:r>
      <w:r w:rsidRPr="009E463D">
        <w:rPr>
          <w:sz w:val="20"/>
          <w:szCs w:val="20"/>
        </w:rPr>
        <w:t>, Paderborn 1995, s. 268.</w:t>
      </w:r>
    </w:p>
  </w:footnote>
  <w:footnote w:id="17">
    <w:p w14:paraId="2FEC4610" w14:textId="77777777" w:rsidR="00C81A65" w:rsidRPr="009E463D" w:rsidRDefault="00C81A65" w:rsidP="009E463D">
      <w:pPr>
        <w:pStyle w:val="NormalWeb"/>
        <w:spacing w:before="0" w:beforeAutospacing="0" w:after="0" w:afterAutospacing="0"/>
        <w:jc w:val="both"/>
        <w:rPr>
          <w:sz w:val="20"/>
          <w:szCs w:val="20"/>
          <w:lang w:val="fr-FR"/>
        </w:rPr>
      </w:pPr>
      <w:r w:rsidRPr="0058391C">
        <w:rPr>
          <w:rStyle w:val="FootnoteReference"/>
          <w:sz w:val="20"/>
          <w:szCs w:val="20"/>
        </w:rPr>
        <w:footnoteRef/>
      </w:r>
      <w:r w:rsidRPr="009E463D">
        <w:rPr>
          <w:sz w:val="20"/>
          <w:szCs w:val="20"/>
          <w:lang w:val="fr-FR"/>
        </w:rPr>
        <w:t xml:space="preserve"> Peter Krämer, </w:t>
      </w:r>
      <w:r w:rsidRPr="009E463D">
        <w:rPr>
          <w:rStyle w:val="Emphasis"/>
          <w:sz w:val="20"/>
          <w:szCs w:val="20"/>
          <w:lang w:val="fr-FR"/>
        </w:rPr>
        <w:t>Su che cosa</w:t>
      </w:r>
      <w:r w:rsidRPr="009E463D">
        <w:rPr>
          <w:sz w:val="20"/>
          <w:szCs w:val="20"/>
          <w:lang w:val="fr-FR"/>
        </w:rPr>
        <w:t>, s. 55.</w:t>
      </w:r>
    </w:p>
  </w:footnote>
  <w:footnote w:id="18">
    <w:p w14:paraId="16489C92" w14:textId="77777777" w:rsidR="00C81A65" w:rsidRPr="009E463D" w:rsidRDefault="00C81A65" w:rsidP="005409D2">
      <w:pPr>
        <w:pStyle w:val="NormalWeb"/>
        <w:spacing w:before="0" w:beforeAutospacing="0" w:after="0" w:afterAutospacing="0"/>
        <w:jc w:val="both"/>
        <w:rPr>
          <w:sz w:val="20"/>
          <w:szCs w:val="20"/>
          <w:lang w:val="en-US"/>
        </w:rPr>
      </w:pPr>
      <w:r w:rsidRPr="0058391C">
        <w:rPr>
          <w:rStyle w:val="FootnoteReference"/>
          <w:sz w:val="20"/>
          <w:szCs w:val="20"/>
        </w:rPr>
        <w:footnoteRef/>
      </w:r>
      <w:r w:rsidRPr="009E463D">
        <w:rPr>
          <w:sz w:val="20"/>
          <w:szCs w:val="20"/>
          <w:lang w:val="fr-FR"/>
        </w:rPr>
        <w:t xml:space="preserve"> </w:t>
      </w:r>
      <w:r>
        <w:rPr>
          <w:sz w:val="20"/>
          <w:szCs w:val="20"/>
          <w:lang w:val="fr-FR"/>
        </w:rPr>
        <w:t>E.</w:t>
      </w:r>
      <w:r w:rsidRPr="009E463D">
        <w:rPr>
          <w:sz w:val="20"/>
          <w:szCs w:val="20"/>
          <w:lang w:val="fr-FR"/>
        </w:rPr>
        <w:t xml:space="preserve"> Corecco, </w:t>
      </w:r>
      <w:r w:rsidRPr="009E463D">
        <w:rPr>
          <w:rStyle w:val="Emphasis"/>
          <w:sz w:val="20"/>
          <w:szCs w:val="20"/>
          <w:lang w:val="fr-FR"/>
        </w:rPr>
        <w:t>Aspetti della ricezione del Vaticano II nel Codice di diritto canonico</w:t>
      </w:r>
      <w:r>
        <w:rPr>
          <w:sz w:val="20"/>
          <w:szCs w:val="20"/>
          <w:lang w:val="fr-FR"/>
        </w:rPr>
        <w:t>, w: G. Borgonovo, A. Cattaneo (red</w:t>
      </w:r>
      <w:r w:rsidRPr="009E463D">
        <w:rPr>
          <w:sz w:val="20"/>
          <w:szCs w:val="20"/>
          <w:lang w:val="fr-FR"/>
        </w:rPr>
        <w:t xml:space="preserve">.), </w:t>
      </w:r>
      <w:r w:rsidRPr="009E463D">
        <w:rPr>
          <w:rStyle w:val="Emphasis"/>
          <w:sz w:val="20"/>
          <w:szCs w:val="20"/>
          <w:lang w:val="fr-FR"/>
        </w:rPr>
        <w:t xml:space="preserve">Ius et communio. </w:t>
      </w:r>
      <w:r w:rsidRPr="009E463D">
        <w:rPr>
          <w:rStyle w:val="Emphasis"/>
          <w:sz w:val="20"/>
          <w:szCs w:val="20"/>
          <w:lang w:val="en-US"/>
        </w:rPr>
        <w:t>Scritti di Diritto Canonico</w:t>
      </w:r>
      <w:r w:rsidRPr="009E463D">
        <w:rPr>
          <w:sz w:val="20"/>
          <w:szCs w:val="20"/>
          <w:lang w:val="en-US"/>
        </w:rPr>
        <w:t>, Casale Monferrato 1997, t. II, s. 646–705, tutaj s. 668.</w:t>
      </w:r>
    </w:p>
  </w:footnote>
  <w:footnote w:id="19">
    <w:p w14:paraId="7AAB4ED3" w14:textId="77777777" w:rsidR="00C81A65" w:rsidRPr="009E463D" w:rsidRDefault="00C81A65" w:rsidP="009E463D">
      <w:pPr>
        <w:pStyle w:val="NormalWeb"/>
        <w:spacing w:before="0" w:beforeAutospacing="0" w:after="0" w:afterAutospacing="0"/>
        <w:jc w:val="both"/>
        <w:rPr>
          <w:sz w:val="20"/>
          <w:szCs w:val="20"/>
          <w:lang w:val="de-AT"/>
        </w:rPr>
      </w:pPr>
      <w:r w:rsidRPr="0058391C">
        <w:rPr>
          <w:rStyle w:val="FootnoteReference"/>
          <w:sz w:val="20"/>
          <w:szCs w:val="20"/>
        </w:rPr>
        <w:footnoteRef/>
      </w:r>
      <w:r w:rsidRPr="009E463D">
        <w:rPr>
          <w:sz w:val="20"/>
          <w:szCs w:val="20"/>
          <w:lang w:val="de-AT"/>
        </w:rPr>
        <w:t xml:space="preserve"> Por. P. Krämer, </w:t>
      </w:r>
      <w:r w:rsidRPr="009E463D">
        <w:rPr>
          <w:rStyle w:val="Emphasis"/>
          <w:sz w:val="20"/>
          <w:szCs w:val="20"/>
          <w:lang w:val="de-AT"/>
        </w:rPr>
        <w:t xml:space="preserve">Servizio, </w:t>
      </w:r>
      <w:r w:rsidRPr="009E463D">
        <w:rPr>
          <w:sz w:val="20"/>
          <w:szCs w:val="20"/>
          <w:lang w:val="de-AT"/>
        </w:rPr>
        <w:t xml:space="preserve">s. 40–41 oraz </w:t>
      </w:r>
      <w:r>
        <w:rPr>
          <w:sz w:val="20"/>
          <w:szCs w:val="20"/>
          <w:lang w:val="de-AT"/>
        </w:rPr>
        <w:t xml:space="preserve">s. </w:t>
      </w:r>
      <w:r w:rsidRPr="009E463D">
        <w:rPr>
          <w:sz w:val="20"/>
          <w:szCs w:val="20"/>
          <w:lang w:val="de-AT"/>
        </w:rPr>
        <w:t>49–57.</w:t>
      </w:r>
    </w:p>
  </w:footnote>
  <w:footnote w:id="20">
    <w:p w14:paraId="18FBE0ED" w14:textId="77777777" w:rsidR="00C81A65" w:rsidRPr="0058391C" w:rsidRDefault="00C81A65" w:rsidP="00BD642B">
      <w:pPr>
        <w:pStyle w:val="NormalWeb"/>
        <w:spacing w:before="0" w:beforeAutospacing="0" w:after="0" w:afterAutospacing="0"/>
        <w:jc w:val="both"/>
        <w:rPr>
          <w:sz w:val="20"/>
          <w:szCs w:val="20"/>
          <w:lang w:val="de-AT"/>
        </w:rPr>
      </w:pPr>
      <w:r w:rsidRPr="0058391C">
        <w:rPr>
          <w:rStyle w:val="FootnoteReference"/>
          <w:sz w:val="20"/>
          <w:szCs w:val="20"/>
        </w:rPr>
        <w:footnoteRef/>
      </w:r>
      <w:r w:rsidRPr="00BD642B">
        <w:rPr>
          <w:sz w:val="20"/>
          <w:szCs w:val="20"/>
          <w:lang w:val="de-AT"/>
        </w:rPr>
        <w:t xml:space="preserve"> </w:t>
      </w:r>
      <w:r w:rsidRPr="00BD642B">
        <w:rPr>
          <w:rStyle w:val="Emphasis"/>
          <w:sz w:val="20"/>
          <w:szCs w:val="20"/>
          <w:lang w:val="de-AT"/>
        </w:rPr>
        <w:t>Relatio super caput III textus emendatus schemat</w:t>
      </w:r>
      <w:r w:rsidRPr="0058391C">
        <w:rPr>
          <w:rStyle w:val="Emphasis"/>
          <w:sz w:val="20"/>
          <w:szCs w:val="20"/>
          <w:lang w:val="de-AT"/>
        </w:rPr>
        <w:t>is constitutionis de ecclesia</w:t>
      </w:r>
      <w:r>
        <w:rPr>
          <w:sz w:val="20"/>
          <w:szCs w:val="20"/>
          <w:lang w:val="de-AT"/>
        </w:rPr>
        <w:t>, 7, tutaj cytowane w P.</w:t>
      </w:r>
      <w:r w:rsidRPr="0058391C">
        <w:rPr>
          <w:sz w:val="20"/>
          <w:szCs w:val="20"/>
          <w:lang w:val="de-AT"/>
        </w:rPr>
        <w:t xml:space="preserve"> Krämer, </w:t>
      </w:r>
      <w:r w:rsidRPr="0058391C">
        <w:rPr>
          <w:rStyle w:val="Emphasis"/>
          <w:sz w:val="20"/>
          <w:szCs w:val="20"/>
          <w:lang w:val="de-AT"/>
        </w:rPr>
        <w:t>Servizio</w:t>
      </w:r>
      <w:r w:rsidRPr="0058391C">
        <w:rPr>
          <w:sz w:val="20"/>
          <w:szCs w:val="20"/>
          <w:lang w:val="de-AT"/>
        </w:rPr>
        <w:t xml:space="preserve">, </w:t>
      </w:r>
      <w:r>
        <w:rPr>
          <w:sz w:val="20"/>
          <w:szCs w:val="20"/>
          <w:lang w:val="de-AT"/>
        </w:rPr>
        <w:t xml:space="preserve">s. </w:t>
      </w:r>
      <w:r w:rsidRPr="0058391C">
        <w:rPr>
          <w:sz w:val="20"/>
          <w:szCs w:val="20"/>
          <w:lang w:val="de-AT"/>
        </w:rPr>
        <w:t>53.</w:t>
      </w:r>
    </w:p>
  </w:footnote>
  <w:footnote w:id="21">
    <w:p w14:paraId="11F0A9B6" w14:textId="77777777" w:rsidR="00C81A65" w:rsidRPr="0058391C" w:rsidRDefault="00C81A65" w:rsidP="00354F35">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lang w:val="de-AT"/>
        </w:rPr>
        <w:t xml:space="preserve"> Por. </w:t>
      </w:r>
      <w:r w:rsidRPr="00BD642B">
        <w:rPr>
          <w:i/>
          <w:iCs/>
          <w:sz w:val="20"/>
          <w:szCs w:val="20"/>
          <w:lang w:val="de-AT"/>
        </w:rPr>
        <w:t xml:space="preserve">Lumen gentium </w:t>
      </w:r>
      <w:r w:rsidRPr="0058391C">
        <w:rPr>
          <w:sz w:val="20"/>
          <w:szCs w:val="20"/>
          <w:lang w:val="de-AT"/>
        </w:rPr>
        <w:t xml:space="preserve">24,2 oraz </w:t>
      </w:r>
      <w:r w:rsidRPr="00BD642B">
        <w:rPr>
          <w:i/>
          <w:iCs/>
          <w:sz w:val="20"/>
          <w:szCs w:val="20"/>
          <w:lang w:val="de-AT"/>
        </w:rPr>
        <w:t>Nostra aetate</w:t>
      </w:r>
      <w:r w:rsidRPr="0058391C">
        <w:rPr>
          <w:sz w:val="20"/>
          <w:szCs w:val="20"/>
          <w:lang w:val="de-AT"/>
        </w:rPr>
        <w:t xml:space="preserve"> 2,2.</w:t>
      </w:r>
    </w:p>
  </w:footnote>
  <w:footnote w:id="22">
    <w:p w14:paraId="58AB54C7" w14:textId="77777777" w:rsidR="00C81A65" w:rsidRPr="0058391C" w:rsidRDefault="00C81A65" w:rsidP="00BD642B">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lang w:val="de-AT"/>
        </w:rPr>
        <w:t xml:space="preserve"> </w:t>
      </w:r>
      <w:r>
        <w:rPr>
          <w:sz w:val="20"/>
          <w:szCs w:val="20"/>
          <w:lang w:val="de-AT"/>
        </w:rPr>
        <w:t>Por. P.</w:t>
      </w:r>
      <w:r w:rsidRPr="0058391C">
        <w:rPr>
          <w:sz w:val="20"/>
          <w:szCs w:val="20"/>
          <w:lang w:val="de-AT"/>
        </w:rPr>
        <w:t xml:space="preserve"> Krämer, </w:t>
      </w:r>
      <w:r w:rsidRPr="0058391C">
        <w:rPr>
          <w:rStyle w:val="Emphasis"/>
          <w:sz w:val="20"/>
          <w:szCs w:val="20"/>
          <w:lang w:val="de-AT"/>
        </w:rPr>
        <w:t>Servizio</w:t>
      </w:r>
      <w:r w:rsidRPr="0058391C">
        <w:rPr>
          <w:sz w:val="20"/>
          <w:szCs w:val="20"/>
          <w:lang w:val="de-AT"/>
        </w:rPr>
        <w:t xml:space="preserve">, </w:t>
      </w:r>
      <w:r>
        <w:rPr>
          <w:sz w:val="20"/>
          <w:szCs w:val="20"/>
          <w:lang w:val="de-AT"/>
        </w:rPr>
        <w:t>s.</w:t>
      </w:r>
      <w:r w:rsidRPr="0058391C">
        <w:rPr>
          <w:sz w:val="20"/>
          <w:szCs w:val="20"/>
          <w:lang w:val="de-AT"/>
        </w:rPr>
        <w:t xml:space="preserve">55–56, który z kolei cytuje: T. Jiménez-Irresti, </w:t>
      </w:r>
      <w:r w:rsidRPr="0058391C">
        <w:rPr>
          <w:rStyle w:val="Emphasis"/>
          <w:sz w:val="20"/>
          <w:szCs w:val="20"/>
          <w:lang w:val="de-AT"/>
        </w:rPr>
        <w:t>Die göttliche Sendung in die Geschichte und die kanonischen Sendungen</w:t>
      </w:r>
      <w:r w:rsidRPr="0058391C">
        <w:rPr>
          <w:sz w:val="20"/>
          <w:szCs w:val="20"/>
          <w:lang w:val="de-AT"/>
        </w:rPr>
        <w:t xml:space="preserve">, w: </w:t>
      </w:r>
      <w:r w:rsidRPr="0058391C">
        <w:rPr>
          <w:rStyle w:val="Emphasis"/>
          <w:sz w:val="20"/>
          <w:szCs w:val="20"/>
          <w:lang w:val="de-AT"/>
        </w:rPr>
        <w:t>Concilium</w:t>
      </w:r>
      <w:r w:rsidRPr="0058391C">
        <w:rPr>
          <w:sz w:val="20"/>
          <w:szCs w:val="20"/>
          <w:lang w:val="de-AT"/>
        </w:rPr>
        <w:t xml:space="preserve"> 4 (1968), </w:t>
      </w:r>
      <w:r>
        <w:rPr>
          <w:sz w:val="20"/>
          <w:szCs w:val="20"/>
          <w:lang w:val="de-AT"/>
        </w:rPr>
        <w:t xml:space="preserve">s. </w:t>
      </w:r>
      <w:r w:rsidRPr="0058391C">
        <w:rPr>
          <w:sz w:val="20"/>
          <w:szCs w:val="20"/>
          <w:lang w:val="de-AT"/>
        </w:rPr>
        <w:t>599–602.</w:t>
      </w:r>
    </w:p>
  </w:footnote>
  <w:footnote w:id="23">
    <w:p w14:paraId="3FE02FD5" w14:textId="77777777" w:rsidR="00C81A65" w:rsidRPr="0058391C" w:rsidRDefault="00C81A65" w:rsidP="00354F35">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lang w:val="de-AT"/>
        </w:rPr>
        <w:t xml:space="preserve"> Por. </w:t>
      </w:r>
      <w:r w:rsidRPr="00BD642B">
        <w:rPr>
          <w:i/>
          <w:iCs/>
          <w:sz w:val="20"/>
          <w:szCs w:val="20"/>
          <w:lang w:val="de-AT"/>
        </w:rPr>
        <w:t>Nostra aetate</w:t>
      </w:r>
      <w:r>
        <w:rPr>
          <w:sz w:val="20"/>
          <w:szCs w:val="20"/>
          <w:lang w:val="de-AT"/>
        </w:rPr>
        <w:t xml:space="preserve"> 2,2 oraz komentarz O.</w:t>
      </w:r>
      <w:r w:rsidRPr="0058391C">
        <w:rPr>
          <w:sz w:val="20"/>
          <w:szCs w:val="20"/>
          <w:lang w:val="de-AT"/>
        </w:rPr>
        <w:t xml:space="preserve"> Semmelroth, </w:t>
      </w:r>
      <w:r w:rsidRPr="0058391C">
        <w:rPr>
          <w:rStyle w:val="Emphasis"/>
          <w:sz w:val="20"/>
          <w:szCs w:val="20"/>
          <w:lang w:val="de-AT"/>
        </w:rPr>
        <w:t>Die Lehre von der kollegialen Hirtengewalt über die Gesamtkirche «unter Berücksichtigung der angefügten Erklärungen»</w:t>
      </w:r>
      <w:r w:rsidRPr="0058391C">
        <w:rPr>
          <w:sz w:val="20"/>
          <w:szCs w:val="20"/>
          <w:lang w:val="de-AT"/>
        </w:rPr>
        <w:t xml:space="preserve">, w: </w:t>
      </w:r>
      <w:r w:rsidRPr="0058391C">
        <w:rPr>
          <w:rStyle w:val="Emphasis"/>
          <w:sz w:val="20"/>
          <w:szCs w:val="20"/>
          <w:lang w:val="de-AT"/>
        </w:rPr>
        <w:t>Scholastik</w:t>
      </w:r>
      <w:r>
        <w:rPr>
          <w:sz w:val="20"/>
          <w:szCs w:val="20"/>
          <w:lang w:val="de-AT"/>
        </w:rPr>
        <w:t xml:space="preserve"> 40</w:t>
      </w:r>
      <w:r w:rsidRPr="0058391C">
        <w:rPr>
          <w:sz w:val="20"/>
          <w:szCs w:val="20"/>
          <w:lang w:val="de-AT"/>
        </w:rPr>
        <w:t xml:space="preserve">(1965), </w:t>
      </w:r>
      <w:r>
        <w:rPr>
          <w:sz w:val="20"/>
          <w:szCs w:val="20"/>
          <w:lang w:val="de-AT"/>
        </w:rPr>
        <w:t xml:space="preserve">s. </w:t>
      </w:r>
      <w:r w:rsidRPr="0058391C">
        <w:rPr>
          <w:sz w:val="20"/>
          <w:szCs w:val="20"/>
          <w:lang w:val="de-AT"/>
        </w:rPr>
        <w:t xml:space="preserve">161–179, tutaj </w:t>
      </w:r>
      <w:r>
        <w:rPr>
          <w:sz w:val="20"/>
          <w:szCs w:val="20"/>
          <w:lang w:val="de-AT"/>
        </w:rPr>
        <w:t xml:space="preserve">s. </w:t>
      </w:r>
      <w:r w:rsidRPr="0058391C">
        <w:rPr>
          <w:sz w:val="20"/>
          <w:szCs w:val="20"/>
          <w:lang w:val="de-AT"/>
        </w:rPr>
        <w:t>168.</w:t>
      </w:r>
    </w:p>
  </w:footnote>
  <w:footnote w:id="24">
    <w:p w14:paraId="1697DA8B" w14:textId="77777777" w:rsidR="00C81A65" w:rsidRPr="0058391C" w:rsidRDefault="00C81A65" w:rsidP="0096752F">
      <w:pPr>
        <w:pStyle w:val="NormalWeb"/>
        <w:spacing w:before="0" w:beforeAutospacing="0" w:after="0" w:afterAutospacing="0"/>
        <w:jc w:val="both"/>
        <w:rPr>
          <w:sz w:val="20"/>
          <w:szCs w:val="20"/>
          <w:lang w:val="en-US"/>
        </w:rPr>
      </w:pPr>
      <w:r w:rsidRPr="0058391C">
        <w:rPr>
          <w:rStyle w:val="FootnoteReference"/>
          <w:sz w:val="20"/>
          <w:szCs w:val="20"/>
        </w:rPr>
        <w:footnoteRef/>
      </w:r>
      <w:r w:rsidRPr="0058391C">
        <w:rPr>
          <w:sz w:val="20"/>
          <w:szCs w:val="20"/>
        </w:rPr>
        <w:t xml:space="preserve"> </w:t>
      </w:r>
      <w:r>
        <w:rPr>
          <w:sz w:val="20"/>
          <w:szCs w:val="20"/>
        </w:rPr>
        <w:t>Nauka S</w:t>
      </w:r>
      <w:r w:rsidRPr="0058391C">
        <w:rPr>
          <w:sz w:val="20"/>
          <w:szCs w:val="20"/>
        </w:rPr>
        <w:t xml:space="preserve">oboru ma historycznie dalekie korzenie, na co wskazuje Ottavio De Bertolis, cytując wielkiego francuskiego historyka prawa Jean Gaudemet: już „Gratian nie rozróżnia </w:t>
      </w:r>
      <w:r w:rsidRPr="0058391C">
        <w:rPr>
          <w:rStyle w:val="Emphasis"/>
          <w:sz w:val="20"/>
          <w:szCs w:val="20"/>
        </w:rPr>
        <w:t>Ordo</w:t>
      </w:r>
      <w:r w:rsidRPr="0058391C">
        <w:rPr>
          <w:sz w:val="20"/>
          <w:szCs w:val="20"/>
        </w:rPr>
        <w:t xml:space="preserve"> i </w:t>
      </w:r>
      <w:r w:rsidRPr="0058391C">
        <w:rPr>
          <w:rStyle w:val="Emphasis"/>
          <w:sz w:val="20"/>
          <w:szCs w:val="20"/>
        </w:rPr>
        <w:t>Jurisdiktion</w:t>
      </w:r>
      <w:r w:rsidRPr="0058391C">
        <w:rPr>
          <w:sz w:val="20"/>
          <w:szCs w:val="20"/>
        </w:rPr>
        <w:t xml:space="preserve">, lecz </w:t>
      </w:r>
      <w:r w:rsidRPr="0058391C">
        <w:rPr>
          <w:rStyle w:val="Emphasis"/>
          <w:sz w:val="20"/>
          <w:szCs w:val="20"/>
        </w:rPr>
        <w:t>potestas officii</w:t>
      </w:r>
      <w:r w:rsidRPr="0058391C">
        <w:rPr>
          <w:sz w:val="20"/>
          <w:szCs w:val="20"/>
        </w:rPr>
        <w:t xml:space="preserve">, która zawsze pozostaje, oraz </w:t>
      </w:r>
      <w:r w:rsidRPr="0058391C">
        <w:rPr>
          <w:rStyle w:val="Emphasis"/>
          <w:sz w:val="20"/>
          <w:szCs w:val="20"/>
        </w:rPr>
        <w:t>executio officii</w:t>
      </w:r>
      <w:r w:rsidRPr="0058391C">
        <w:rPr>
          <w:sz w:val="20"/>
          <w:szCs w:val="20"/>
        </w:rPr>
        <w:t xml:space="preserve">, którą natomiast traci heretyk”; por. </w:t>
      </w:r>
      <w:r>
        <w:rPr>
          <w:sz w:val="20"/>
          <w:szCs w:val="20"/>
          <w:lang w:val="en-US"/>
        </w:rPr>
        <w:t>O. d</w:t>
      </w:r>
      <w:r w:rsidRPr="0058391C">
        <w:rPr>
          <w:sz w:val="20"/>
          <w:szCs w:val="20"/>
          <w:lang w:val="en-US"/>
        </w:rPr>
        <w:t xml:space="preserve">e Bertolis, </w:t>
      </w:r>
      <w:r w:rsidRPr="0058391C">
        <w:rPr>
          <w:rStyle w:val="Emphasis"/>
          <w:sz w:val="20"/>
          <w:szCs w:val="20"/>
          <w:lang w:val="en-US"/>
        </w:rPr>
        <w:t>Origine ed esercizio della potestà ecclesiastica di governo in San Tommaso</w:t>
      </w:r>
      <w:r w:rsidRPr="0058391C">
        <w:rPr>
          <w:sz w:val="20"/>
          <w:szCs w:val="20"/>
          <w:lang w:val="en-US"/>
        </w:rPr>
        <w:t xml:space="preserve">, Roma 2005, </w:t>
      </w:r>
      <w:r>
        <w:rPr>
          <w:sz w:val="20"/>
          <w:szCs w:val="20"/>
          <w:lang w:val="en-US"/>
        </w:rPr>
        <w:t xml:space="preserve">s. </w:t>
      </w:r>
      <w:r w:rsidRPr="0058391C">
        <w:rPr>
          <w:sz w:val="20"/>
          <w:szCs w:val="20"/>
          <w:lang w:val="en-US"/>
        </w:rPr>
        <w:t>19.</w:t>
      </w:r>
    </w:p>
  </w:footnote>
  <w:footnote w:id="25">
    <w:p w14:paraId="5AA7CA01" w14:textId="77777777" w:rsidR="00C81A65" w:rsidRPr="00BD642B" w:rsidRDefault="00C81A65" w:rsidP="00BD642B">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lang w:val="fr-FR"/>
        </w:rPr>
        <w:t xml:space="preserve"> W tym sensie można podzielić ocenę Patrick</w:t>
      </w:r>
      <w:r>
        <w:rPr>
          <w:sz w:val="20"/>
          <w:szCs w:val="20"/>
          <w:lang w:val="fr-FR"/>
        </w:rPr>
        <w:t>a</w:t>
      </w:r>
      <w:r w:rsidRPr="0058391C">
        <w:rPr>
          <w:sz w:val="20"/>
          <w:szCs w:val="20"/>
          <w:lang w:val="fr-FR"/>
        </w:rPr>
        <w:t xml:space="preserve"> Valdrini</w:t>
      </w:r>
      <w:r>
        <w:rPr>
          <w:sz w:val="20"/>
          <w:szCs w:val="20"/>
          <w:lang w:val="fr-FR"/>
        </w:rPr>
        <w:t>ego</w:t>
      </w:r>
      <w:r w:rsidRPr="0058391C">
        <w:rPr>
          <w:sz w:val="20"/>
          <w:szCs w:val="20"/>
          <w:lang w:val="fr-FR"/>
        </w:rPr>
        <w:t xml:space="preserve"> we wstępie do rozprawy doktorskiej Laurent</w:t>
      </w:r>
      <w:r>
        <w:rPr>
          <w:sz w:val="20"/>
          <w:szCs w:val="20"/>
          <w:lang w:val="fr-FR"/>
        </w:rPr>
        <w:t>a</w:t>
      </w:r>
      <w:r w:rsidRPr="0058391C">
        <w:rPr>
          <w:sz w:val="20"/>
          <w:szCs w:val="20"/>
          <w:lang w:val="fr-FR"/>
        </w:rPr>
        <w:t xml:space="preserve"> Villemin</w:t>
      </w:r>
      <w:r>
        <w:rPr>
          <w:sz w:val="20"/>
          <w:szCs w:val="20"/>
          <w:lang w:val="fr-FR"/>
        </w:rPr>
        <w:t>a</w:t>
      </w:r>
      <w:r w:rsidRPr="0058391C">
        <w:rPr>
          <w:sz w:val="20"/>
          <w:szCs w:val="20"/>
          <w:lang w:val="fr-FR"/>
        </w:rPr>
        <w:t xml:space="preserve">: „La distinction entre pouvoir d’ordre et pouvoir de jurisdiction qui, au 12e siècle, est née dans un paradigme théologique ancien, ne peut plus être utilisée car, aujourd’hui, un nouveau paradigme théologique s’est installé”. </w:t>
      </w:r>
      <w:r w:rsidRPr="00BD642B">
        <w:rPr>
          <w:sz w:val="20"/>
          <w:szCs w:val="20"/>
        </w:rPr>
        <w:t xml:space="preserve">Zob. także recenzję tej </w:t>
      </w:r>
      <w:r>
        <w:rPr>
          <w:sz w:val="20"/>
          <w:szCs w:val="20"/>
        </w:rPr>
        <w:t>samej pracy doktorskiej A.</w:t>
      </w:r>
      <w:r w:rsidRPr="00BD642B">
        <w:rPr>
          <w:sz w:val="20"/>
          <w:szCs w:val="20"/>
        </w:rPr>
        <w:t xml:space="preserve"> Borras, </w:t>
      </w:r>
      <w:r w:rsidRPr="00BD642B">
        <w:rPr>
          <w:rStyle w:val="Emphasis"/>
          <w:sz w:val="20"/>
          <w:szCs w:val="20"/>
        </w:rPr>
        <w:t>Revue théologique de Louvain</w:t>
      </w:r>
      <w:r>
        <w:rPr>
          <w:sz w:val="20"/>
          <w:szCs w:val="20"/>
        </w:rPr>
        <w:t xml:space="preserve"> 35</w:t>
      </w:r>
      <w:r w:rsidRPr="00BD642B">
        <w:rPr>
          <w:sz w:val="20"/>
          <w:szCs w:val="20"/>
        </w:rPr>
        <w:t xml:space="preserve">(2004), </w:t>
      </w:r>
      <w:r>
        <w:rPr>
          <w:sz w:val="20"/>
          <w:szCs w:val="20"/>
        </w:rPr>
        <w:t xml:space="preserve">s. </w:t>
      </w:r>
      <w:r w:rsidRPr="00BD642B">
        <w:rPr>
          <w:sz w:val="20"/>
          <w:szCs w:val="20"/>
        </w:rPr>
        <w:t xml:space="preserve">495–509, zwłaszcza </w:t>
      </w:r>
      <w:r>
        <w:rPr>
          <w:sz w:val="20"/>
          <w:szCs w:val="20"/>
        </w:rPr>
        <w:t xml:space="preserve">s. </w:t>
      </w:r>
      <w:r w:rsidRPr="00BD642B">
        <w:rPr>
          <w:sz w:val="20"/>
          <w:szCs w:val="20"/>
        </w:rPr>
        <w:t>496–498.</w:t>
      </w:r>
    </w:p>
  </w:footnote>
  <w:footnote w:id="26">
    <w:p w14:paraId="71FD7B73" w14:textId="77777777" w:rsidR="00C81A65" w:rsidRPr="0058391C" w:rsidRDefault="00C81A65" w:rsidP="00C66CF7">
      <w:pPr>
        <w:pStyle w:val="NormalWeb"/>
        <w:spacing w:before="0" w:beforeAutospacing="0" w:after="0" w:afterAutospacing="0"/>
        <w:jc w:val="both"/>
        <w:rPr>
          <w:sz w:val="20"/>
          <w:szCs w:val="20"/>
        </w:rPr>
      </w:pPr>
      <w:r w:rsidRPr="0058391C">
        <w:rPr>
          <w:rStyle w:val="FootnoteReference"/>
          <w:sz w:val="20"/>
          <w:szCs w:val="20"/>
        </w:rPr>
        <w:footnoteRef/>
      </w:r>
      <w:r w:rsidRPr="0058391C">
        <w:rPr>
          <w:sz w:val="20"/>
          <w:szCs w:val="20"/>
        </w:rPr>
        <w:t xml:space="preserve"> Dla kanonistyki należy pon</w:t>
      </w:r>
      <w:r>
        <w:rPr>
          <w:sz w:val="20"/>
          <w:szCs w:val="20"/>
        </w:rPr>
        <w:t>ownie przytoczyć zwłaszcza P.</w:t>
      </w:r>
      <w:r w:rsidRPr="0058391C">
        <w:rPr>
          <w:sz w:val="20"/>
          <w:szCs w:val="20"/>
        </w:rPr>
        <w:t xml:space="preserve"> Krämer</w:t>
      </w:r>
      <w:r w:rsidR="00256899">
        <w:rPr>
          <w:sz w:val="20"/>
          <w:szCs w:val="20"/>
        </w:rPr>
        <w:t>a</w:t>
      </w:r>
      <w:r w:rsidRPr="0058391C">
        <w:rPr>
          <w:sz w:val="20"/>
          <w:szCs w:val="20"/>
        </w:rPr>
        <w:t xml:space="preserve">, </w:t>
      </w:r>
      <w:r w:rsidRPr="0058391C">
        <w:rPr>
          <w:rStyle w:val="Emphasis"/>
          <w:sz w:val="20"/>
          <w:szCs w:val="20"/>
        </w:rPr>
        <w:t>Servizio</w:t>
      </w:r>
      <w:r w:rsidR="00C66CF7">
        <w:rPr>
          <w:sz w:val="20"/>
          <w:szCs w:val="20"/>
        </w:rPr>
        <w:t>. S</w:t>
      </w:r>
      <w:r w:rsidRPr="0058391C">
        <w:rPr>
          <w:sz w:val="20"/>
          <w:szCs w:val="20"/>
        </w:rPr>
        <w:t xml:space="preserve">pośród tekstów Magisterium papieskiego niezbędne jest wskazanie pierwszej encykliki </w:t>
      </w:r>
      <w:r>
        <w:rPr>
          <w:sz w:val="20"/>
          <w:szCs w:val="20"/>
        </w:rPr>
        <w:t>papieża Benedykta</w:t>
      </w:r>
      <w:r w:rsidRPr="0058391C">
        <w:rPr>
          <w:sz w:val="20"/>
          <w:szCs w:val="20"/>
        </w:rPr>
        <w:t xml:space="preserve"> XVI, w której nie tylko mówi on o </w:t>
      </w:r>
      <w:r w:rsidRPr="0058391C">
        <w:rPr>
          <w:rStyle w:val="Emphasis"/>
          <w:sz w:val="20"/>
          <w:szCs w:val="20"/>
        </w:rPr>
        <w:t>diakonia</w:t>
      </w:r>
      <w:r w:rsidRPr="0058391C">
        <w:rPr>
          <w:sz w:val="20"/>
          <w:szCs w:val="20"/>
        </w:rPr>
        <w:t xml:space="preserve"> jako „nieodzownym wyrazie” istoty samego Kościoła, lecz przedstawia także inną triadę </w:t>
      </w:r>
      <w:r w:rsidRPr="0058391C">
        <w:rPr>
          <w:rStyle w:val="Emphasis"/>
          <w:sz w:val="20"/>
          <w:szCs w:val="20"/>
        </w:rPr>
        <w:t>munera</w:t>
      </w:r>
      <w:r w:rsidRPr="0058391C">
        <w:rPr>
          <w:sz w:val="20"/>
          <w:szCs w:val="20"/>
        </w:rPr>
        <w:t>: „Istota Kościoła wyraża się w potrójnym zadaniu: głoszenie Słowa Bożego (</w:t>
      </w:r>
      <w:r w:rsidRPr="00BD642B">
        <w:rPr>
          <w:i/>
          <w:iCs/>
          <w:sz w:val="20"/>
          <w:szCs w:val="20"/>
        </w:rPr>
        <w:t>kerygma-martyria</w:t>
      </w:r>
      <w:r w:rsidRPr="0058391C">
        <w:rPr>
          <w:sz w:val="20"/>
          <w:szCs w:val="20"/>
        </w:rPr>
        <w:t>), sprawowanie sakramentów (</w:t>
      </w:r>
      <w:r w:rsidRPr="00BD642B">
        <w:rPr>
          <w:i/>
          <w:iCs/>
          <w:sz w:val="20"/>
          <w:szCs w:val="20"/>
        </w:rPr>
        <w:t>leiturgia</w:t>
      </w:r>
      <w:r w:rsidRPr="0058391C">
        <w:rPr>
          <w:sz w:val="20"/>
          <w:szCs w:val="20"/>
        </w:rPr>
        <w:t>), służba miłości (</w:t>
      </w:r>
      <w:r w:rsidRPr="00BD642B">
        <w:rPr>
          <w:i/>
          <w:iCs/>
          <w:sz w:val="20"/>
          <w:szCs w:val="20"/>
        </w:rPr>
        <w:t>diakonia</w:t>
      </w:r>
      <w:r w:rsidRPr="0058391C">
        <w:rPr>
          <w:sz w:val="20"/>
          <w:szCs w:val="20"/>
        </w:rPr>
        <w:t>). Są to zadania, które wzajemnie się warunkują i nie dają się od siebie oddzielić. Służba miłości nie jest dla Kościoła jakąś działalnością dobroczynną, którą można powierzyć innym, lecz należy do jego istoty i jest nieodzownym wyra</w:t>
      </w:r>
      <w:r>
        <w:rPr>
          <w:sz w:val="20"/>
          <w:szCs w:val="20"/>
        </w:rPr>
        <w:t>zem jego własnej natury” (Benedy</w:t>
      </w:r>
      <w:r w:rsidRPr="0058391C">
        <w:rPr>
          <w:sz w:val="20"/>
          <w:szCs w:val="20"/>
        </w:rPr>
        <w:t xml:space="preserve">kt XVI, </w:t>
      </w:r>
      <w:r w:rsidRPr="0058391C">
        <w:rPr>
          <w:rStyle w:val="Emphasis"/>
          <w:sz w:val="20"/>
          <w:szCs w:val="20"/>
        </w:rPr>
        <w:t>Deus caritas est</w:t>
      </w:r>
      <w:r>
        <w:rPr>
          <w:sz w:val="20"/>
          <w:szCs w:val="20"/>
        </w:rPr>
        <w:t xml:space="preserve">, </w:t>
      </w:r>
      <w:r w:rsidRPr="0058391C">
        <w:rPr>
          <w:sz w:val="20"/>
          <w:szCs w:val="20"/>
        </w:rPr>
        <w:t xml:space="preserve">25). Należy zauważyć, że papież jako jedyne źródło swojej obserwacji cytuje dokument odnoszący się do wykonywania </w:t>
      </w:r>
      <w:r w:rsidRPr="0058391C">
        <w:rPr>
          <w:rStyle w:val="Emphasis"/>
          <w:sz w:val="20"/>
          <w:szCs w:val="20"/>
        </w:rPr>
        <w:t>sacra potestas</w:t>
      </w:r>
      <w:r w:rsidRPr="0058391C">
        <w:rPr>
          <w:sz w:val="20"/>
          <w:szCs w:val="20"/>
        </w:rPr>
        <w:t xml:space="preserve"> biskupów, a mianowicie </w:t>
      </w:r>
      <w:r>
        <w:rPr>
          <w:rStyle w:val="Emphasis"/>
          <w:sz w:val="20"/>
          <w:szCs w:val="20"/>
        </w:rPr>
        <w:t>Dy</w:t>
      </w:r>
      <w:r w:rsidRPr="0058391C">
        <w:rPr>
          <w:rStyle w:val="Emphasis"/>
          <w:sz w:val="20"/>
          <w:szCs w:val="20"/>
        </w:rPr>
        <w:t>rektorium dla posługi duszpasterskiej biskupów</w:t>
      </w:r>
      <w:r w:rsidRPr="0058391C">
        <w:rPr>
          <w:sz w:val="20"/>
          <w:szCs w:val="20"/>
        </w:rPr>
        <w:t xml:space="preserve"> </w:t>
      </w:r>
      <w:r w:rsidRPr="0058391C">
        <w:rPr>
          <w:rStyle w:val="Emphasis"/>
          <w:sz w:val="20"/>
          <w:szCs w:val="20"/>
        </w:rPr>
        <w:t>Apostolorum Successores</w:t>
      </w:r>
      <w:r w:rsidRPr="0058391C">
        <w:rPr>
          <w:sz w:val="20"/>
          <w:szCs w:val="20"/>
        </w:rPr>
        <w:t xml:space="preserve"> (22 lutego 2004), 194.</w:t>
      </w:r>
    </w:p>
    <w:p w14:paraId="2475EAFB" w14:textId="77777777" w:rsidR="00C81A65" w:rsidRPr="0058391C" w:rsidRDefault="00C81A65">
      <w:pPr>
        <w:pStyle w:val="FootnoteText"/>
        <w:rPr>
          <w:rFonts w:ascii="Times New Roman" w:hAnsi="Times New Roman" w:cs="Times New Roman"/>
        </w:rPr>
      </w:pPr>
    </w:p>
  </w:footnote>
  <w:footnote w:id="27">
    <w:p w14:paraId="5AC470EE" w14:textId="77777777" w:rsidR="00C81A65" w:rsidRPr="0058391C" w:rsidRDefault="00C81A65" w:rsidP="00D33642">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rPr>
        <w:t xml:space="preserve"> Szczególnie w dziele </w:t>
      </w:r>
      <w:r w:rsidRPr="0058391C">
        <w:rPr>
          <w:rStyle w:val="Emphasis"/>
          <w:sz w:val="20"/>
          <w:szCs w:val="20"/>
        </w:rPr>
        <w:t>De captivitate babylonica ecclesiae</w:t>
      </w:r>
      <w:r>
        <w:rPr>
          <w:sz w:val="20"/>
          <w:szCs w:val="20"/>
        </w:rPr>
        <w:t>, opublikowanym w 1520 r., Marcin Lut</w:t>
      </w:r>
      <w:r w:rsidRPr="0058391C">
        <w:rPr>
          <w:sz w:val="20"/>
          <w:szCs w:val="20"/>
        </w:rPr>
        <w:t xml:space="preserve">er podkreśla tę tożsamość; por. </w:t>
      </w:r>
      <w:r>
        <w:rPr>
          <w:sz w:val="20"/>
          <w:szCs w:val="20"/>
          <w:lang w:val="de-AT"/>
        </w:rPr>
        <w:t>L.</w:t>
      </w:r>
      <w:r w:rsidRPr="0058391C">
        <w:rPr>
          <w:sz w:val="20"/>
          <w:szCs w:val="20"/>
          <w:lang w:val="de-AT"/>
        </w:rPr>
        <w:t xml:space="preserve"> Müller, </w:t>
      </w:r>
      <w:r w:rsidRPr="0058391C">
        <w:rPr>
          <w:rStyle w:val="Emphasis"/>
          <w:sz w:val="20"/>
          <w:szCs w:val="20"/>
          <w:lang w:val="de-AT"/>
        </w:rPr>
        <w:t>Weihe</w:t>
      </w:r>
      <w:r w:rsidRPr="0058391C">
        <w:rPr>
          <w:sz w:val="20"/>
          <w:szCs w:val="20"/>
          <w:lang w:val="de-AT"/>
        </w:rPr>
        <w:t xml:space="preserve">, w: </w:t>
      </w:r>
      <w:r w:rsidRPr="0058391C">
        <w:rPr>
          <w:rStyle w:val="Emphasis"/>
          <w:sz w:val="20"/>
          <w:szCs w:val="20"/>
          <w:lang w:val="de-AT"/>
        </w:rPr>
        <w:t>Ecclesia a Sacramentis. Theologische Erwägungen zum Sakramentenrecht</w:t>
      </w:r>
      <w:r>
        <w:rPr>
          <w:sz w:val="20"/>
          <w:szCs w:val="20"/>
          <w:lang w:val="de-AT"/>
        </w:rPr>
        <w:t xml:space="preserve">, </w:t>
      </w:r>
      <w:r w:rsidRPr="00BD642B">
        <w:rPr>
          <w:sz w:val="20"/>
          <w:szCs w:val="20"/>
          <w:lang w:val="de-AT"/>
        </w:rPr>
        <w:t>R.</w:t>
      </w:r>
      <w:r>
        <w:rPr>
          <w:sz w:val="20"/>
          <w:szCs w:val="20"/>
          <w:lang w:val="de-AT"/>
        </w:rPr>
        <w:t xml:space="preserve"> Ahlers, L. Gerosa, L.</w:t>
      </w:r>
      <w:r w:rsidRPr="00BD642B">
        <w:rPr>
          <w:sz w:val="20"/>
          <w:szCs w:val="20"/>
          <w:lang w:val="de-AT"/>
        </w:rPr>
        <w:t xml:space="preserve"> Müller</w:t>
      </w:r>
      <w:r>
        <w:rPr>
          <w:sz w:val="20"/>
          <w:szCs w:val="20"/>
          <w:lang w:val="de-AT"/>
        </w:rPr>
        <w:t xml:space="preserve"> (red.)</w:t>
      </w:r>
      <w:r w:rsidRPr="00BD642B">
        <w:rPr>
          <w:sz w:val="20"/>
          <w:szCs w:val="20"/>
          <w:lang w:val="de-AT"/>
        </w:rPr>
        <w:t xml:space="preserve">, Paderborn 1992, </w:t>
      </w:r>
      <w:r>
        <w:rPr>
          <w:sz w:val="20"/>
          <w:szCs w:val="20"/>
          <w:lang w:val="de-AT"/>
        </w:rPr>
        <w:t xml:space="preserve">s. </w:t>
      </w:r>
      <w:r w:rsidRPr="00BD642B">
        <w:rPr>
          <w:sz w:val="20"/>
          <w:szCs w:val="20"/>
          <w:lang w:val="de-AT"/>
        </w:rPr>
        <w:t xml:space="preserve">103–123, tutaj </w:t>
      </w:r>
      <w:r>
        <w:rPr>
          <w:sz w:val="20"/>
          <w:szCs w:val="20"/>
          <w:lang w:val="de-AT"/>
        </w:rPr>
        <w:t xml:space="preserve">s. </w:t>
      </w:r>
      <w:r w:rsidRPr="00BD642B">
        <w:rPr>
          <w:sz w:val="20"/>
          <w:szCs w:val="20"/>
          <w:lang w:val="de-AT"/>
        </w:rPr>
        <w:t xml:space="preserve">107–108. </w:t>
      </w:r>
      <w:r w:rsidRPr="0058391C">
        <w:rPr>
          <w:sz w:val="20"/>
          <w:szCs w:val="20"/>
        </w:rPr>
        <w:t xml:space="preserve">W odniesieniu do faktu, że katolicka teologia kapłaństwa urzędowego była przez zbyt długi czas kształtowana przez cele antyreformacyjne, zob. </w:t>
      </w:r>
      <w:r>
        <w:rPr>
          <w:sz w:val="20"/>
          <w:szCs w:val="20"/>
          <w:lang w:val="de-AT"/>
        </w:rPr>
        <w:t>J.</w:t>
      </w:r>
      <w:r w:rsidRPr="0058391C">
        <w:rPr>
          <w:sz w:val="20"/>
          <w:szCs w:val="20"/>
          <w:lang w:val="de-AT"/>
        </w:rPr>
        <w:t xml:space="preserve"> Ratzinger, </w:t>
      </w:r>
      <w:r w:rsidRPr="0058391C">
        <w:rPr>
          <w:rStyle w:val="Emphasis"/>
          <w:sz w:val="20"/>
          <w:szCs w:val="20"/>
          <w:lang w:val="de-AT"/>
        </w:rPr>
        <w:t>Die kirchliche Lehre vom sacramentum ordinis</w:t>
      </w:r>
      <w:r w:rsidRPr="0058391C">
        <w:rPr>
          <w:sz w:val="20"/>
          <w:szCs w:val="20"/>
          <w:lang w:val="de-AT"/>
        </w:rPr>
        <w:t xml:space="preserve">, w: </w:t>
      </w:r>
      <w:r w:rsidRPr="0058391C">
        <w:rPr>
          <w:rStyle w:val="Emphasis"/>
          <w:sz w:val="20"/>
          <w:szCs w:val="20"/>
          <w:lang w:val="de-AT"/>
        </w:rPr>
        <w:t>IKaZ</w:t>
      </w:r>
      <w:r>
        <w:rPr>
          <w:sz w:val="20"/>
          <w:szCs w:val="20"/>
          <w:lang w:val="de-AT"/>
        </w:rPr>
        <w:t xml:space="preserve"> 10</w:t>
      </w:r>
      <w:r w:rsidRPr="0058391C">
        <w:rPr>
          <w:sz w:val="20"/>
          <w:szCs w:val="20"/>
          <w:lang w:val="de-AT"/>
        </w:rPr>
        <w:t xml:space="preserve">(1981), </w:t>
      </w:r>
      <w:r>
        <w:rPr>
          <w:sz w:val="20"/>
          <w:szCs w:val="20"/>
          <w:lang w:val="de-AT"/>
        </w:rPr>
        <w:t xml:space="preserve">s. </w:t>
      </w:r>
      <w:r w:rsidRPr="0058391C">
        <w:rPr>
          <w:sz w:val="20"/>
          <w:szCs w:val="20"/>
          <w:lang w:val="de-AT"/>
        </w:rPr>
        <w:t xml:space="preserve">435–445, tutaj </w:t>
      </w:r>
      <w:r>
        <w:rPr>
          <w:sz w:val="20"/>
          <w:szCs w:val="20"/>
          <w:lang w:val="de-AT"/>
        </w:rPr>
        <w:t xml:space="preserve">s. </w:t>
      </w:r>
      <w:r w:rsidRPr="0058391C">
        <w:rPr>
          <w:sz w:val="20"/>
          <w:szCs w:val="20"/>
          <w:lang w:val="de-AT"/>
        </w:rPr>
        <w:t>444.</w:t>
      </w:r>
    </w:p>
  </w:footnote>
  <w:footnote w:id="28">
    <w:p w14:paraId="3D2D3AD2" w14:textId="77777777" w:rsidR="00C81A65" w:rsidRPr="0058391C" w:rsidRDefault="00C81A65" w:rsidP="00D33642">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lang w:val="de-AT"/>
        </w:rPr>
        <w:t xml:space="preserve"> Na</w:t>
      </w:r>
      <w:r>
        <w:rPr>
          <w:sz w:val="20"/>
          <w:szCs w:val="20"/>
          <w:lang w:val="de-AT"/>
        </w:rPr>
        <w:t xml:space="preserve"> ten temat zob. szczególnie H.U.</w:t>
      </w:r>
      <w:r w:rsidRPr="0058391C">
        <w:rPr>
          <w:sz w:val="20"/>
          <w:szCs w:val="20"/>
          <w:lang w:val="de-AT"/>
        </w:rPr>
        <w:t xml:space="preserve"> von Balthasar, </w:t>
      </w:r>
      <w:r w:rsidRPr="0058391C">
        <w:rPr>
          <w:rStyle w:val="Emphasis"/>
          <w:sz w:val="20"/>
          <w:szCs w:val="20"/>
          <w:lang w:val="de-AT"/>
        </w:rPr>
        <w:t>Christlicher Stand</w:t>
      </w:r>
      <w:r w:rsidRPr="0058391C">
        <w:rPr>
          <w:sz w:val="20"/>
          <w:szCs w:val="20"/>
          <w:lang w:val="de-AT"/>
        </w:rPr>
        <w:t xml:space="preserve">, Einsiedeln 1977, </w:t>
      </w:r>
      <w:r>
        <w:rPr>
          <w:sz w:val="20"/>
          <w:szCs w:val="20"/>
          <w:lang w:val="de-AT"/>
        </w:rPr>
        <w:t xml:space="preserve">s. </w:t>
      </w:r>
      <w:r w:rsidRPr="0058391C">
        <w:rPr>
          <w:sz w:val="20"/>
          <w:szCs w:val="20"/>
          <w:lang w:val="de-AT"/>
        </w:rPr>
        <w:t>145–202.</w:t>
      </w:r>
    </w:p>
  </w:footnote>
  <w:footnote w:id="29">
    <w:p w14:paraId="0B365466" w14:textId="77777777" w:rsidR="00C81A65" w:rsidRPr="0058391C" w:rsidRDefault="00C81A65" w:rsidP="00DB5885">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lang w:val="de-AT"/>
        </w:rPr>
        <w:t xml:space="preserve"> Internationale Theologische Kommission, </w:t>
      </w:r>
      <w:r w:rsidRPr="0058391C">
        <w:rPr>
          <w:rStyle w:val="Emphasis"/>
          <w:sz w:val="20"/>
          <w:szCs w:val="20"/>
          <w:lang w:val="de-AT"/>
        </w:rPr>
        <w:t>Ausgewählte Themen der Ekklesiologie zum 20. Jahrestag nach Abschluss des II. Vatikanischen Konzils</w:t>
      </w:r>
      <w:r w:rsidRPr="0058391C">
        <w:rPr>
          <w:sz w:val="20"/>
          <w:szCs w:val="20"/>
          <w:lang w:val="de-AT"/>
        </w:rPr>
        <w:t>, Vatikanstadt 1984, §7,3.</w:t>
      </w:r>
    </w:p>
  </w:footnote>
  <w:footnote w:id="30">
    <w:p w14:paraId="3E5072D2" w14:textId="77777777" w:rsidR="00C81A65" w:rsidRPr="00842F52" w:rsidRDefault="00C81A65" w:rsidP="00DB5885">
      <w:pPr>
        <w:pStyle w:val="NormalWeb"/>
        <w:spacing w:before="0" w:beforeAutospacing="0" w:after="0" w:afterAutospacing="0"/>
        <w:jc w:val="both"/>
        <w:rPr>
          <w:sz w:val="20"/>
          <w:szCs w:val="20"/>
          <w:lang w:val="de-AT"/>
        </w:rPr>
      </w:pPr>
      <w:r w:rsidRPr="0058391C">
        <w:rPr>
          <w:rStyle w:val="FootnoteReference"/>
          <w:sz w:val="20"/>
          <w:szCs w:val="20"/>
        </w:rPr>
        <w:footnoteRef/>
      </w:r>
      <w:r w:rsidRPr="00842F52">
        <w:rPr>
          <w:sz w:val="20"/>
          <w:szCs w:val="20"/>
          <w:lang w:val="de-AT"/>
        </w:rPr>
        <w:t xml:space="preserve"> Zob. w tym zakresie analizę U. Betti, </w:t>
      </w:r>
      <w:r w:rsidRPr="00842F52">
        <w:rPr>
          <w:rStyle w:val="Emphasis"/>
          <w:sz w:val="20"/>
          <w:szCs w:val="20"/>
          <w:lang w:val="de-AT"/>
        </w:rPr>
        <w:t>In margine al nuovo Codice di diritto canonico</w:t>
      </w:r>
      <w:r w:rsidRPr="00842F52">
        <w:rPr>
          <w:sz w:val="20"/>
          <w:szCs w:val="20"/>
          <w:lang w:val="de-AT"/>
        </w:rPr>
        <w:t xml:space="preserve">, w: </w:t>
      </w:r>
      <w:r w:rsidRPr="00842F52">
        <w:rPr>
          <w:rStyle w:val="Emphasis"/>
          <w:sz w:val="20"/>
          <w:szCs w:val="20"/>
          <w:lang w:val="de-AT"/>
        </w:rPr>
        <w:t>Antonianum</w:t>
      </w:r>
      <w:r w:rsidRPr="00842F52">
        <w:rPr>
          <w:sz w:val="20"/>
          <w:szCs w:val="20"/>
          <w:lang w:val="de-AT"/>
        </w:rPr>
        <w:t xml:space="preserve"> 58(1983), s. 628–647, tutaj s. 635.</w:t>
      </w:r>
    </w:p>
  </w:footnote>
  <w:footnote w:id="31">
    <w:p w14:paraId="2F51AABF" w14:textId="77777777" w:rsidR="00C81A65" w:rsidRPr="0058391C" w:rsidRDefault="00C81A65" w:rsidP="00BD642B">
      <w:pPr>
        <w:pStyle w:val="NormalWeb"/>
        <w:spacing w:before="0" w:beforeAutospacing="0" w:after="0" w:afterAutospacing="0"/>
        <w:jc w:val="both"/>
        <w:rPr>
          <w:sz w:val="20"/>
          <w:szCs w:val="20"/>
          <w:lang w:val="de-AT"/>
        </w:rPr>
      </w:pPr>
      <w:r w:rsidRPr="0058391C">
        <w:rPr>
          <w:rStyle w:val="FootnoteReference"/>
          <w:sz w:val="20"/>
          <w:szCs w:val="20"/>
        </w:rPr>
        <w:footnoteRef/>
      </w:r>
      <w:r w:rsidRPr="0058391C">
        <w:rPr>
          <w:sz w:val="20"/>
          <w:szCs w:val="20"/>
          <w:lang w:val="de-AT"/>
        </w:rPr>
        <w:t xml:space="preserve"> </w:t>
      </w:r>
      <w:r>
        <w:rPr>
          <w:sz w:val="20"/>
          <w:szCs w:val="20"/>
          <w:lang w:val="de-AT"/>
        </w:rPr>
        <w:t>Por. J.</w:t>
      </w:r>
      <w:r w:rsidRPr="0058391C">
        <w:rPr>
          <w:sz w:val="20"/>
          <w:szCs w:val="20"/>
          <w:lang w:val="de-AT"/>
        </w:rPr>
        <w:t xml:space="preserve"> Ratzinger, </w:t>
      </w:r>
      <w:r w:rsidRPr="0058391C">
        <w:rPr>
          <w:rStyle w:val="Emphasis"/>
          <w:sz w:val="20"/>
          <w:szCs w:val="20"/>
          <w:lang w:val="de-AT"/>
        </w:rPr>
        <w:t>Gutachtliche Stellungnahme</w:t>
      </w:r>
      <w:r w:rsidRPr="0058391C">
        <w:rPr>
          <w:sz w:val="20"/>
          <w:szCs w:val="20"/>
          <w:lang w:val="de-AT"/>
        </w:rPr>
        <w:t xml:space="preserve">, z 16 września 1982, </w:t>
      </w:r>
      <w:r>
        <w:rPr>
          <w:sz w:val="20"/>
          <w:szCs w:val="20"/>
          <w:lang w:val="de-AT"/>
        </w:rPr>
        <w:t xml:space="preserve">s. </w:t>
      </w:r>
      <w:r w:rsidRPr="0058391C">
        <w:rPr>
          <w:sz w:val="20"/>
          <w:szCs w:val="20"/>
          <w:lang w:val="de-AT"/>
        </w:rPr>
        <w:t>3.</w:t>
      </w:r>
    </w:p>
  </w:footnote>
  <w:footnote w:id="32">
    <w:p w14:paraId="6B102DA9" w14:textId="77777777" w:rsidR="00C81A65" w:rsidRPr="00BD642B" w:rsidRDefault="00C81A65" w:rsidP="00C81A65">
      <w:pPr>
        <w:pStyle w:val="NormalWeb"/>
        <w:spacing w:before="0" w:beforeAutospacing="0" w:after="0" w:afterAutospacing="0"/>
        <w:jc w:val="both"/>
        <w:rPr>
          <w:sz w:val="20"/>
          <w:szCs w:val="20"/>
          <w:lang w:val="de-AT"/>
        </w:rPr>
      </w:pPr>
      <w:r w:rsidRPr="0058391C">
        <w:rPr>
          <w:rStyle w:val="FootnoteReference"/>
          <w:sz w:val="20"/>
          <w:szCs w:val="20"/>
        </w:rPr>
        <w:footnoteRef/>
      </w:r>
      <w:r w:rsidRPr="00BD642B">
        <w:rPr>
          <w:sz w:val="20"/>
          <w:szCs w:val="20"/>
        </w:rPr>
        <w:t xml:space="preserve"> </w:t>
      </w:r>
      <w:r>
        <w:rPr>
          <w:sz w:val="20"/>
          <w:szCs w:val="20"/>
        </w:rPr>
        <w:t>Por. L.</w:t>
      </w:r>
      <w:r w:rsidRPr="00BD642B">
        <w:rPr>
          <w:sz w:val="20"/>
          <w:szCs w:val="20"/>
        </w:rPr>
        <w:t xml:space="preserve"> Gerosa, </w:t>
      </w:r>
      <w:r w:rsidRPr="00BD642B">
        <w:rPr>
          <w:rStyle w:val="Emphasis"/>
          <w:sz w:val="20"/>
          <w:szCs w:val="20"/>
        </w:rPr>
        <w:t>Prefazione</w:t>
      </w:r>
      <w:r>
        <w:rPr>
          <w:sz w:val="20"/>
          <w:szCs w:val="20"/>
        </w:rPr>
        <w:t>, w: E.</w:t>
      </w:r>
      <w:r w:rsidRPr="00BD642B">
        <w:rPr>
          <w:sz w:val="20"/>
          <w:szCs w:val="20"/>
        </w:rPr>
        <w:t xml:space="preserve"> Corecco, </w:t>
      </w:r>
      <w:r w:rsidRPr="00BD642B">
        <w:rPr>
          <w:rStyle w:val="Emphasis"/>
          <w:sz w:val="20"/>
          <w:szCs w:val="20"/>
        </w:rPr>
        <w:t xml:space="preserve">Democrazia e Chiesa. </w:t>
      </w:r>
      <w:r w:rsidRPr="00BD642B">
        <w:rPr>
          <w:rStyle w:val="Emphasis"/>
          <w:sz w:val="20"/>
          <w:szCs w:val="20"/>
          <w:lang w:val="de-AT"/>
        </w:rPr>
        <w:t>Sinodalità e comunione</w:t>
      </w:r>
      <w:r w:rsidRPr="00BD642B">
        <w:rPr>
          <w:sz w:val="20"/>
          <w:szCs w:val="20"/>
          <w:lang w:val="de-AT"/>
        </w:rPr>
        <w:t xml:space="preserve">, Bologna 2023, </w:t>
      </w:r>
      <w:r>
        <w:rPr>
          <w:sz w:val="20"/>
          <w:szCs w:val="20"/>
          <w:lang w:val="de-AT"/>
        </w:rPr>
        <w:t xml:space="preserve">s. </w:t>
      </w:r>
      <w:r w:rsidRPr="00BD642B">
        <w:rPr>
          <w:sz w:val="20"/>
          <w:szCs w:val="20"/>
          <w:lang w:val="de-AT"/>
        </w:rPr>
        <w:t>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786"/>
    <w:multiLevelType w:val="hybridMultilevel"/>
    <w:tmpl w:val="872E5BDE"/>
    <w:lvl w:ilvl="0" w:tplc="B5842A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9D73DA"/>
    <w:multiLevelType w:val="multilevel"/>
    <w:tmpl w:val="91C0E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5C01EE"/>
    <w:multiLevelType w:val="hybridMultilevel"/>
    <w:tmpl w:val="D1F2DF70"/>
    <w:lvl w:ilvl="0" w:tplc="86B67A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4F5561"/>
    <w:multiLevelType w:val="multilevel"/>
    <w:tmpl w:val="3F122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C54A0A"/>
    <w:multiLevelType w:val="multilevel"/>
    <w:tmpl w:val="4FC22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692AB5"/>
    <w:multiLevelType w:val="multilevel"/>
    <w:tmpl w:val="51860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784E88"/>
    <w:multiLevelType w:val="multilevel"/>
    <w:tmpl w:val="F23EC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666775">
    <w:abstractNumId w:val="0"/>
  </w:num>
  <w:num w:numId="2" w16cid:durableId="114834804">
    <w:abstractNumId w:val="2"/>
  </w:num>
  <w:num w:numId="3" w16cid:durableId="409355163">
    <w:abstractNumId w:val="4"/>
  </w:num>
  <w:num w:numId="4" w16cid:durableId="545534581">
    <w:abstractNumId w:val="3"/>
  </w:num>
  <w:num w:numId="5" w16cid:durableId="895354825">
    <w:abstractNumId w:val="5"/>
  </w:num>
  <w:num w:numId="6" w16cid:durableId="1772318455">
    <w:abstractNumId w:val="6"/>
  </w:num>
  <w:num w:numId="7" w16cid:durableId="157162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368"/>
    <w:rsid w:val="00057D75"/>
    <w:rsid w:val="000B5D5E"/>
    <w:rsid w:val="000D091F"/>
    <w:rsid w:val="000F6417"/>
    <w:rsid w:val="0012610D"/>
    <w:rsid w:val="001874FB"/>
    <w:rsid w:val="001B618C"/>
    <w:rsid w:val="001E7257"/>
    <w:rsid w:val="0023335E"/>
    <w:rsid w:val="00241F11"/>
    <w:rsid w:val="00256899"/>
    <w:rsid w:val="00293AB8"/>
    <w:rsid w:val="002D3368"/>
    <w:rsid w:val="00354F35"/>
    <w:rsid w:val="00364908"/>
    <w:rsid w:val="003A0CE5"/>
    <w:rsid w:val="00476A64"/>
    <w:rsid w:val="004A5E09"/>
    <w:rsid w:val="004F5095"/>
    <w:rsid w:val="005115B6"/>
    <w:rsid w:val="005409D2"/>
    <w:rsid w:val="0058391C"/>
    <w:rsid w:val="00584870"/>
    <w:rsid w:val="00605DD3"/>
    <w:rsid w:val="0065513F"/>
    <w:rsid w:val="006E60F0"/>
    <w:rsid w:val="0072737C"/>
    <w:rsid w:val="00735037"/>
    <w:rsid w:val="007C07CE"/>
    <w:rsid w:val="007D1E16"/>
    <w:rsid w:val="00842F52"/>
    <w:rsid w:val="00874798"/>
    <w:rsid w:val="008C3CDF"/>
    <w:rsid w:val="008E421E"/>
    <w:rsid w:val="00907968"/>
    <w:rsid w:val="00911A0A"/>
    <w:rsid w:val="0096752F"/>
    <w:rsid w:val="009E463D"/>
    <w:rsid w:val="00AB1730"/>
    <w:rsid w:val="00AB25C9"/>
    <w:rsid w:val="00B13AED"/>
    <w:rsid w:val="00B64A07"/>
    <w:rsid w:val="00B831D8"/>
    <w:rsid w:val="00BC6627"/>
    <w:rsid w:val="00BD642B"/>
    <w:rsid w:val="00C43494"/>
    <w:rsid w:val="00C57012"/>
    <w:rsid w:val="00C66CF7"/>
    <w:rsid w:val="00C81A65"/>
    <w:rsid w:val="00CE3D60"/>
    <w:rsid w:val="00D33642"/>
    <w:rsid w:val="00D44829"/>
    <w:rsid w:val="00D45532"/>
    <w:rsid w:val="00D46003"/>
    <w:rsid w:val="00DB5885"/>
    <w:rsid w:val="00DF0B62"/>
    <w:rsid w:val="00DF4C0B"/>
    <w:rsid w:val="00E276D9"/>
    <w:rsid w:val="00E30C39"/>
    <w:rsid w:val="00E32429"/>
    <w:rsid w:val="00E445F4"/>
    <w:rsid w:val="00E562AB"/>
    <w:rsid w:val="00E75E1C"/>
    <w:rsid w:val="00E75EBE"/>
    <w:rsid w:val="00EB04A3"/>
    <w:rsid w:val="00F61E43"/>
    <w:rsid w:val="00F81749"/>
    <w:rsid w:val="00FB1A04"/>
    <w:rsid w:val="00FC0799"/>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DEE7"/>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4A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33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3368"/>
    <w:rPr>
      <w:b/>
      <w:bCs/>
    </w:rPr>
  </w:style>
  <w:style w:type="paragraph" w:styleId="FootnoteText">
    <w:name w:val="footnote text"/>
    <w:basedOn w:val="Normal"/>
    <w:link w:val="FootnoteTextChar"/>
    <w:uiPriority w:val="99"/>
    <w:semiHidden/>
    <w:unhideWhenUsed/>
    <w:rsid w:val="002D33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368"/>
    <w:rPr>
      <w:sz w:val="20"/>
      <w:szCs w:val="20"/>
    </w:rPr>
  </w:style>
  <w:style w:type="character" w:styleId="FootnoteReference">
    <w:name w:val="footnote reference"/>
    <w:basedOn w:val="DefaultParagraphFont"/>
    <w:uiPriority w:val="99"/>
    <w:semiHidden/>
    <w:unhideWhenUsed/>
    <w:rsid w:val="002D3368"/>
    <w:rPr>
      <w:vertAlign w:val="superscript"/>
    </w:rPr>
  </w:style>
  <w:style w:type="character" w:styleId="Emphasis">
    <w:name w:val="Emphasis"/>
    <w:basedOn w:val="DefaultParagraphFont"/>
    <w:uiPriority w:val="20"/>
    <w:qFormat/>
    <w:rsid w:val="002D3368"/>
    <w:rPr>
      <w:i/>
      <w:iCs/>
    </w:rPr>
  </w:style>
  <w:style w:type="character" w:customStyle="1" w:styleId="Heading1Char">
    <w:name w:val="Heading 1 Char"/>
    <w:basedOn w:val="DefaultParagraphFont"/>
    <w:link w:val="Heading1"/>
    <w:uiPriority w:val="9"/>
    <w:rsid w:val="00B64A07"/>
    <w:rPr>
      <w:rFonts w:ascii="Times New Roman" w:eastAsia="Times New Roman" w:hAnsi="Times New Roman" w:cs="Times New Roman"/>
      <w:b/>
      <w:bCs/>
      <w:kern w:val="36"/>
      <w:sz w:val="48"/>
      <w:szCs w:val="48"/>
    </w:rPr>
  </w:style>
  <w:style w:type="paragraph" w:styleId="NoSpacing">
    <w:name w:val="No Spacing"/>
    <w:uiPriority w:val="1"/>
    <w:qFormat/>
    <w:rsid w:val="00B64A07"/>
    <w:pPr>
      <w:spacing w:after="0" w:line="240" w:lineRule="auto"/>
    </w:pPr>
  </w:style>
  <w:style w:type="character" w:styleId="Hyperlink">
    <w:name w:val="Hyperlink"/>
    <w:basedOn w:val="DefaultParagraphFont"/>
    <w:uiPriority w:val="99"/>
    <w:semiHidden/>
    <w:unhideWhenUsed/>
    <w:rsid w:val="00E27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12">
      <w:bodyDiv w:val="1"/>
      <w:marLeft w:val="0"/>
      <w:marRight w:val="0"/>
      <w:marTop w:val="0"/>
      <w:marBottom w:val="0"/>
      <w:divBdr>
        <w:top w:val="none" w:sz="0" w:space="0" w:color="auto"/>
        <w:left w:val="none" w:sz="0" w:space="0" w:color="auto"/>
        <w:bottom w:val="none" w:sz="0" w:space="0" w:color="auto"/>
        <w:right w:val="none" w:sz="0" w:space="0" w:color="auto"/>
      </w:divBdr>
    </w:div>
    <w:div w:id="49426845">
      <w:bodyDiv w:val="1"/>
      <w:marLeft w:val="0"/>
      <w:marRight w:val="0"/>
      <w:marTop w:val="0"/>
      <w:marBottom w:val="0"/>
      <w:divBdr>
        <w:top w:val="none" w:sz="0" w:space="0" w:color="auto"/>
        <w:left w:val="none" w:sz="0" w:space="0" w:color="auto"/>
        <w:bottom w:val="none" w:sz="0" w:space="0" w:color="auto"/>
        <w:right w:val="none" w:sz="0" w:space="0" w:color="auto"/>
      </w:divBdr>
    </w:div>
    <w:div w:id="70545427">
      <w:bodyDiv w:val="1"/>
      <w:marLeft w:val="0"/>
      <w:marRight w:val="0"/>
      <w:marTop w:val="0"/>
      <w:marBottom w:val="0"/>
      <w:divBdr>
        <w:top w:val="none" w:sz="0" w:space="0" w:color="auto"/>
        <w:left w:val="none" w:sz="0" w:space="0" w:color="auto"/>
        <w:bottom w:val="none" w:sz="0" w:space="0" w:color="auto"/>
        <w:right w:val="none" w:sz="0" w:space="0" w:color="auto"/>
      </w:divBdr>
    </w:div>
    <w:div w:id="168836418">
      <w:bodyDiv w:val="1"/>
      <w:marLeft w:val="0"/>
      <w:marRight w:val="0"/>
      <w:marTop w:val="0"/>
      <w:marBottom w:val="0"/>
      <w:divBdr>
        <w:top w:val="none" w:sz="0" w:space="0" w:color="auto"/>
        <w:left w:val="none" w:sz="0" w:space="0" w:color="auto"/>
        <w:bottom w:val="none" w:sz="0" w:space="0" w:color="auto"/>
        <w:right w:val="none" w:sz="0" w:space="0" w:color="auto"/>
      </w:divBdr>
    </w:div>
    <w:div w:id="213199084">
      <w:bodyDiv w:val="1"/>
      <w:marLeft w:val="0"/>
      <w:marRight w:val="0"/>
      <w:marTop w:val="0"/>
      <w:marBottom w:val="0"/>
      <w:divBdr>
        <w:top w:val="none" w:sz="0" w:space="0" w:color="auto"/>
        <w:left w:val="none" w:sz="0" w:space="0" w:color="auto"/>
        <w:bottom w:val="none" w:sz="0" w:space="0" w:color="auto"/>
        <w:right w:val="none" w:sz="0" w:space="0" w:color="auto"/>
      </w:divBdr>
    </w:div>
    <w:div w:id="236792945">
      <w:bodyDiv w:val="1"/>
      <w:marLeft w:val="0"/>
      <w:marRight w:val="0"/>
      <w:marTop w:val="0"/>
      <w:marBottom w:val="0"/>
      <w:divBdr>
        <w:top w:val="none" w:sz="0" w:space="0" w:color="auto"/>
        <w:left w:val="none" w:sz="0" w:space="0" w:color="auto"/>
        <w:bottom w:val="none" w:sz="0" w:space="0" w:color="auto"/>
        <w:right w:val="none" w:sz="0" w:space="0" w:color="auto"/>
      </w:divBdr>
    </w:div>
    <w:div w:id="256259270">
      <w:bodyDiv w:val="1"/>
      <w:marLeft w:val="0"/>
      <w:marRight w:val="0"/>
      <w:marTop w:val="0"/>
      <w:marBottom w:val="0"/>
      <w:divBdr>
        <w:top w:val="none" w:sz="0" w:space="0" w:color="auto"/>
        <w:left w:val="none" w:sz="0" w:space="0" w:color="auto"/>
        <w:bottom w:val="none" w:sz="0" w:space="0" w:color="auto"/>
        <w:right w:val="none" w:sz="0" w:space="0" w:color="auto"/>
      </w:divBdr>
    </w:div>
    <w:div w:id="264195613">
      <w:bodyDiv w:val="1"/>
      <w:marLeft w:val="0"/>
      <w:marRight w:val="0"/>
      <w:marTop w:val="0"/>
      <w:marBottom w:val="0"/>
      <w:divBdr>
        <w:top w:val="none" w:sz="0" w:space="0" w:color="auto"/>
        <w:left w:val="none" w:sz="0" w:space="0" w:color="auto"/>
        <w:bottom w:val="none" w:sz="0" w:space="0" w:color="auto"/>
        <w:right w:val="none" w:sz="0" w:space="0" w:color="auto"/>
      </w:divBdr>
    </w:div>
    <w:div w:id="346323858">
      <w:bodyDiv w:val="1"/>
      <w:marLeft w:val="0"/>
      <w:marRight w:val="0"/>
      <w:marTop w:val="0"/>
      <w:marBottom w:val="0"/>
      <w:divBdr>
        <w:top w:val="none" w:sz="0" w:space="0" w:color="auto"/>
        <w:left w:val="none" w:sz="0" w:space="0" w:color="auto"/>
        <w:bottom w:val="none" w:sz="0" w:space="0" w:color="auto"/>
        <w:right w:val="none" w:sz="0" w:space="0" w:color="auto"/>
      </w:divBdr>
    </w:div>
    <w:div w:id="353969835">
      <w:bodyDiv w:val="1"/>
      <w:marLeft w:val="0"/>
      <w:marRight w:val="0"/>
      <w:marTop w:val="0"/>
      <w:marBottom w:val="0"/>
      <w:divBdr>
        <w:top w:val="none" w:sz="0" w:space="0" w:color="auto"/>
        <w:left w:val="none" w:sz="0" w:space="0" w:color="auto"/>
        <w:bottom w:val="none" w:sz="0" w:space="0" w:color="auto"/>
        <w:right w:val="none" w:sz="0" w:space="0" w:color="auto"/>
      </w:divBdr>
    </w:div>
    <w:div w:id="415438380">
      <w:bodyDiv w:val="1"/>
      <w:marLeft w:val="0"/>
      <w:marRight w:val="0"/>
      <w:marTop w:val="0"/>
      <w:marBottom w:val="0"/>
      <w:divBdr>
        <w:top w:val="none" w:sz="0" w:space="0" w:color="auto"/>
        <w:left w:val="none" w:sz="0" w:space="0" w:color="auto"/>
        <w:bottom w:val="none" w:sz="0" w:space="0" w:color="auto"/>
        <w:right w:val="none" w:sz="0" w:space="0" w:color="auto"/>
      </w:divBdr>
    </w:div>
    <w:div w:id="436146152">
      <w:bodyDiv w:val="1"/>
      <w:marLeft w:val="0"/>
      <w:marRight w:val="0"/>
      <w:marTop w:val="0"/>
      <w:marBottom w:val="0"/>
      <w:divBdr>
        <w:top w:val="none" w:sz="0" w:space="0" w:color="auto"/>
        <w:left w:val="none" w:sz="0" w:space="0" w:color="auto"/>
        <w:bottom w:val="none" w:sz="0" w:space="0" w:color="auto"/>
        <w:right w:val="none" w:sz="0" w:space="0" w:color="auto"/>
      </w:divBdr>
    </w:div>
    <w:div w:id="456025513">
      <w:bodyDiv w:val="1"/>
      <w:marLeft w:val="0"/>
      <w:marRight w:val="0"/>
      <w:marTop w:val="0"/>
      <w:marBottom w:val="0"/>
      <w:divBdr>
        <w:top w:val="none" w:sz="0" w:space="0" w:color="auto"/>
        <w:left w:val="none" w:sz="0" w:space="0" w:color="auto"/>
        <w:bottom w:val="none" w:sz="0" w:space="0" w:color="auto"/>
        <w:right w:val="none" w:sz="0" w:space="0" w:color="auto"/>
      </w:divBdr>
    </w:div>
    <w:div w:id="489567897">
      <w:bodyDiv w:val="1"/>
      <w:marLeft w:val="0"/>
      <w:marRight w:val="0"/>
      <w:marTop w:val="0"/>
      <w:marBottom w:val="0"/>
      <w:divBdr>
        <w:top w:val="none" w:sz="0" w:space="0" w:color="auto"/>
        <w:left w:val="none" w:sz="0" w:space="0" w:color="auto"/>
        <w:bottom w:val="none" w:sz="0" w:space="0" w:color="auto"/>
        <w:right w:val="none" w:sz="0" w:space="0" w:color="auto"/>
      </w:divBdr>
    </w:div>
    <w:div w:id="498039735">
      <w:bodyDiv w:val="1"/>
      <w:marLeft w:val="0"/>
      <w:marRight w:val="0"/>
      <w:marTop w:val="0"/>
      <w:marBottom w:val="0"/>
      <w:divBdr>
        <w:top w:val="none" w:sz="0" w:space="0" w:color="auto"/>
        <w:left w:val="none" w:sz="0" w:space="0" w:color="auto"/>
        <w:bottom w:val="none" w:sz="0" w:space="0" w:color="auto"/>
        <w:right w:val="none" w:sz="0" w:space="0" w:color="auto"/>
      </w:divBdr>
    </w:div>
    <w:div w:id="563561582">
      <w:bodyDiv w:val="1"/>
      <w:marLeft w:val="0"/>
      <w:marRight w:val="0"/>
      <w:marTop w:val="0"/>
      <w:marBottom w:val="0"/>
      <w:divBdr>
        <w:top w:val="none" w:sz="0" w:space="0" w:color="auto"/>
        <w:left w:val="none" w:sz="0" w:space="0" w:color="auto"/>
        <w:bottom w:val="none" w:sz="0" w:space="0" w:color="auto"/>
        <w:right w:val="none" w:sz="0" w:space="0" w:color="auto"/>
      </w:divBdr>
    </w:div>
    <w:div w:id="578948241">
      <w:bodyDiv w:val="1"/>
      <w:marLeft w:val="0"/>
      <w:marRight w:val="0"/>
      <w:marTop w:val="0"/>
      <w:marBottom w:val="0"/>
      <w:divBdr>
        <w:top w:val="none" w:sz="0" w:space="0" w:color="auto"/>
        <w:left w:val="none" w:sz="0" w:space="0" w:color="auto"/>
        <w:bottom w:val="none" w:sz="0" w:space="0" w:color="auto"/>
        <w:right w:val="none" w:sz="0" w:space="0" w:color="auto"/>
      </w:divBdr>
    </w:div>
    <w:div w:id="580453300">
      <w:bodyDiv w:val="1"/>
      <w:marLeft w:val="0"/>
      <w:marRight w:val="0"/>
      <w:marTop w:val="0"/>
      <w:marBottom w:val="0"/>
      <w:divBdr>
        <w:top w:val="none" w:sz="0" w:space="0" w:color="auto"/>
        <w:left w:val="none" w:sz="0" w:space="0" w:color="auto"/>
        <w:bottom w:val="none" w:sz="0" w:space="0" w:color="auto"/>
        <w:right w:val="none" w:sz="0" w:space="0" w:color="auto"/>
      </w:divBdr>
    </w:div>
    <w:div w:id="585962350">
      <w:bodyDiv w:val="1"/>
      <w:marLeft w:val="0"/>
      <w:marRight w:val="0"/>
      <w:marTop w:val="0"/>
      <w:marBottom w:val="0"/>
      <w:divBdr>
        <w:top w:val="none" w:sz="0" w:space="0" w:color="auto"/>
        <w:left w:val="none" w:sz="0" w:space="0" w:color="auto"/>
        <w:bottom w:val="none" w:sz="0" w:space="0" w:color="auto"/>
        <w:right w:val="none" w:sz="0" w:space="0" w:color="auto"/>
      </w:divBdr>
    </w:div>
    <w:div w:id="587226676">
      <w:bodyDiv w:val="1"/>
      <w:marLeft w:val="0"/>
      <w:marRight w:val="0"/>
      <w:marTop w:val="0"/>
      <w:marBottom w:val="0"/>
      <w:divBdr>
        <w:top w:val="none" w:sz="0" w:space="0" w:color="auto"/>
        <w:left w:val="none" w:sz="0" w:space="0" w:color="auto"/>
        <w:bottom w:val="none" w:sz="0" w:space="0" w:color="auto"/>
        <w:right w:val="none" w:sz="0" w:space="0" w:color="auto"/>
      </w:divBdr>
    </w:div>
    <w:div w:id="632252581">
      <w:bodyDiv w:val="1"/>
      <w:marLeft w:val="0"/>
      <w:marRight w:val="0"/>
      <w:marTop w:val="0"/>
      <w:marBottom w:val="0"/>
      <w:divBdr>
        <w:top w:val="none" w:sz="0" w:space="0" w:color="auto"/>
        <w:left w:val="none" w:sz="0" w:space="0" w:color="auto"/>
        <w:bottom w:val="none" w:sz="0" w:space="0" w:color="auto"/>
        <w:right w:val="none" w:sz="0" w:space="0" w:color="auto"/>
      </w:divBdr>
    </w:div>
    <w:div w:id="643436772">
      <w:bodyDiv w:val="1"/>
      <w:marLeft w:val="0"/>
      <w:marRight w:val="0"/>
      <w:marTop w:val="0"/>
      <w:marBottom w:val="0"/>
      <w:divBdr>
        <w:top w:val="none" w:sz="0" w:space="0" w:color="auto"/>
        <w:left w:val="none" w:sz="0" w:space="0" w:color="auto"/>
        <w:bottom w:val="none" w:sz="0" w:space="0" w:color="auto"/>
        <w:right w:val="none" w:sz="0" w:space="0" w:color="auto"/>
      </w:divBdr>
      <w:divsChild>
        <w:div w:id="579870730">
          <w:marLeft w:val="0"/>
          <w:marRight w:val="0"/>
          <w:marTop w:val="0"/>
          <w:marBottom w:val="0"/>
          <w:divBdr>
            <w:top w:val="none" w:sz="0" w:space="0" w:color="auto"/>
            <w:left w:val="none" w:sz="0" w:space="0" w:color="auto"/>
            <w:bottom w:val="none" w:sz="0" w:space="0" w:color="auto"/>
            <w:right w:val="none" w:sz="0" w:space="0" w:color="auto"/>
          </w:divBdr>
          <w:divsChild>
            <w:div w:id="1467820296">
              <w:marLeft w:val="0"/>
              <w:marRight w:val="0"/>
              <w:marTop w:val="0"/>
              <w:marBottom w:val="0"/>
              <w:divBdr>
                <w:top w:val="none" w:sz="0" w:space="0" w:color="auto"/>
                <w:left w:val="none" w:sz="0" w:space="0" w:color="auto"/>
                <w:bottom w:val="none" w:sz="0" w:space="0" w:color="auto"/>
                <w:right w:val="none" w:sz="0" w:space="0" w:color="auto"/>
              </w:divBdr>
              <w:divsChild>
                <w:div w:id="1179614289">
                  <w:marLeft w:val="0"/>
                  <w:marRight w:val="0"/>
                  <w:marTop w:val="0"/>
                  <w:marBottom w:val="0"/>
                  <w:divBdr>
                    <w:top w:val="none" w:sz="0" w:space="0" w:color="auto"/>
                    <w:left w:val="none" w:sz="0" w:space="0" w:color="auto"/>
                    <w:bottom w:val="none" w:sz="0" w:space="0" w:color="auto"/>
                    <w:right w:val="none" w:sz="0" w:space="0" w:color="auto"/>
                  </w:divBdr>
                  <w:divsChild>
                    <w:div w:id="2062899495">
                      <w:marLeft w:val="0"/>
                      <w:marRight w:val="0"/>
                      <w:marTop w:val="0"/>
                      <w:marBottom w:val="0"/>
                      <w:divBdr>
                        <w:top w:val="none" w:sz="0" w:space="0" w:color="auto"/>
                        <w:left w:val="none" w:sz="0" w:space="0" w:color="auto"/>
                        <w:bottom w:val="none" w:sz="0" w:space="0" w:color="auto"/>
                        <w:right w:val="none" w:sz="0" w:space="0" w:color="auto"/>
                      </w:divBdr>
                      <w:divsChild>
                        <w:div w:id="67964055">
                          <w:marLeft w:val="0"/>
                          <w:marRight w:val="0"/>
                          <w:marTop w:val="0"/>
                          <w:marBottom w:val="0"/>
                          <w:divBdr>
                            <w:top w:val="none" w:sz="0" w:space="0" w:color="auto"/>
                            <w:left w:val="none" w:sz="0" w:space="0" w:color="auto"/>
                            <w:bottom w:val="none" w:sz="0" w:space="0" w:color="auto"/>
                            <w:right w:val="none" w:sz="0" w:space="0" w:color="auto"/>
                          </w:divBdr>
                          <w:divsChild>
                            <w:div w:id="1532959829">
                              <w:marLeft w:val="0"/>
                              <w:marRight w:val="0"/>
                              <w:marTop w:val="0"/>
                              <w:marBottom w:val="0"/>
                              <w:divBdr>
                                <w:top w:val="none" w:sz="0" w:space="0" w:color="auto"/>
                                <w:left w:val="none" w:sz="0" w:space="0" w:color="auto"/>
                                <w:bottom w:val="none" w:sz="0" w:space="0" w:color="auto"/>
                                <w:right w:val="none" w:sz="0" w:space="0" w:color="auto"/>
                              </w:divBdr>
                              <w:divsChild>
                                <w:div w:id="8295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22792">
      <w:bodyDiv w:val="1"/>
      <w:marLeft w:val="0"/>
      <w:marRight w:val="0"/>
      <w:marTop w:val="0"/>
      <w:marBottom w:val="0"/>
      <w:divBdr>
        <w:top w:val="none" w:sz="0" w:space="0" w:color="auto"/>
        <w:left w:val="none" w:sz="0" w:space="0" w:color="auto"/>
        <w:bottom w:val="none" w:sz="0" w:space="0" w:color="auto"/>
        <w:right w:val="none" w:sz="0" w:space="0" w:color="auto"/>
      </w:divBdr>
    </w:div>
    <w:div w:id="745686853">
      <w:bodyDiv w:val="1"/>
      <w:marLeft w:val="0"/>
      <w:marRight w:val="0"/>
      <w:marTop w:val="0"/>
      <w:marBottom w:val="0"/>
      <w:divBdr>
        <w:top w:val="none" w:sz="0" w:space="0" w:color="auto"/>
        <w:left w:val="none" w:sz="0" w:space="0" w:color="auto"/>
        <w:bottom w:val="none" w:sz="0" w:space="0" w:color="auto"/>
        <w:right w:val="none" w:sz="0" w:space="0" w:color="auto"/>
      </w:divBdr>
    </w:div>
    <w:div w:id="785659932">
      <w:bodyDiv w:val="1"/>
      <w:marLeft w:val="0"/>
      <w:marRight w:val="0"/>
      <w:marTop w:val="0"/>
      <w:marBottom w:val="0"/>
      <w:divBdr>
        <w:top w:val="none" w:sz="0" w:space="0" w:color="auto"/>
        <w:left w:val="none" w:sz="0" w:space="0" w:color="auto"/>
        <w:bottom w:val="none" w:sz="0" w:space="0" w:color="auto"/>
        <w:right w:val="none" w:sz="0" w:space="0" w:color="auto"/>
      </w:divBdr>
    </w:div>
    <w:div w:id="865289074">
      <w:bodyDiv w:val="1"/>
      <w:marLeft w:val="0"/>
      <w:marRight w:val="0"/>
      <w:marTop w:val="0"/>
      <w:marBottom w:val="0"/>
      <w:divBdr>
        <w:top w:val="none" w:sz="0" w:space="0" w:color="auto"/>
        <w:left w:val="none" w:sz="0" w:space="0" w:color="auto"/>
        <w:bottom w:val="none" w:sz="0" w:space="0" w:color="auto"/>
        <w:right w:val="none" w:sz="0" w:space="0" w:color="auto"/>
      </w:divBdr>
    </w:div>
    <w:div w:id="933127164">
      <w:bodyDiv w:val="1"/>
      <w:marLeft w:val="0"/>
      <w:marRight w:val="0"/>
      <w:marTop w:val="0"/>
      <w:marBottom w:val="0"/>
      <w:divBdr>
        <w:top w:val="none" w:sz="0" w:space="0" w:color="auto"/>
        <w:left w:val="none" w:sz="0" w:space="0" w:color="auto"/>
        <w:bottom w:val="none" w:sz="0" w:space="0" w:color="auto"/>
        <w:right w:val="none" w:sz="0" w:space="0" w:color="auto"/>
      </w:divBdr>
    </w:div>
    <w:div w:id="981429381">
      <w:bodyDiv w:val="1"/>
      <w:marLeft w:val="0"/>
      <w:marRight w:val="0"/>
      <w:marTop w:val="0"/>
      <w:marBottom w:val="0"/>
      <w:divBdr>
        <w:top w:val="none" w:sz="0" w:space="0" w:color="auto"/>
        <w:left w:val="none" w:sz="0" w:space="0" w:color="auto"/>
        <w:bottom w:val="none" w:sz="0" w:space="0" w:color="auto"/>
        <w:right w:val="none" w:sz="0" w:space="0" w:color="auto"/>
      </w:divBdr>
    </w:div>
    <w:div w:id="987510995">
      <w:bodyDiv w:val="1"/>
      <w:marLeft w:val="0"/>
      <w:marRight w:val="0"/>
      <w:marTop w:val="0"/>
      <w:marBottom w:val="0"/>
      <w:divBdr>
        <w:top w:val="none" w:sz="0" w:space="0" w:color="auto"/>
        <w:left w:val="none" w:sz="0" w:space="0" w:color="auto"/>
        <w:bottom w:val="none" w:sz="0" w:space="0" w:color="auto"/>
        <w:right w:val="none" w:sz="0" w:space="0" w:color="auto"/>
      </w:divBdr>
    </w:div>
    <w:div w:id="1002587529">
      <w:bodyDiv w:val="1"/>
      <w:marLeft w:val="0"/>
      <w:marRight w:val="0"/>
      <w:marTop w:val="0"/>
      <w:marBottom w:val="0"/>
      <w:divBdr>
        <w:top w:val="none" w:sz="0" w:space="0" w:color="auto"/>
        <w:left w:val="none" w:sz="0" w:space="0" w:color="auto"/>
        <w:bottom w:val="none" w:sz="0" w:space="0" w:color="auto"/>
        <w:right w:val="none" w:sz="0" w:space="0" w:color="auto"/>
      </w:divBdr>
    </w:div>
    <w:div w:id="1044671037">
      <w:bodyDiv w:val="1"/>
      <w:marLeft w:val="0"/>
      <w:marRight w:val="0"/>
      <w:marTop w:val="0"/>
      <w:marBottom w:val="0"/>
      <w:divBdr>
        <w:top w:val="none" w:sz="0" w:space="0" w:color="auto"/>
        <w:left w:val="none" w:sz="0" w:space="0" w:color="auto"/>
        <w:bottom w:val="none" w:sz="0" w:space="0" w:color="auto"/>
        <w:right w:val="none" w:sz="0" w:space="0" w:color="auto"/>
      </w:divBdr>
    </w:div>
    <w:div w:id="1046492281">
      <w:bodyDiv w:val="1"/>
      <w:marLeft w:val="0"/>
      <w:marRight w:val="0"/>
      <w:marTop w:val="0"/>
      <w:marBottom w:val="0"/>
      <w:divBdr>
        <w:top w:val="none" w:sz="0" w:space="0" w:color="auto"/>
        <w:left w:val="none" w:sz="0" w:space="0" w:color="auto"/>
        <w:bottom w:val="none" w:sz="0" w:space="0" w:color="auto"/>
        <w:right w:val="none" w:sz="0" w:space="0" w:color="auto"/>
      </w:divBdr>
    </w:div>
    <w:div w:id="1056852326">
      <w:bodyDiv w:val="1"/>
      <w:marLeft w:val="0"/>
      <w:marRight w:val="0"/>
      <w:marTop w:val="0"/>
      <w:marBottom w:val="0"/>
      <w:divBdr>
        <w:top w:val="none" w:sz="0" w:space="0" w:color="auto"/>
        <w:left w:val="none" w:sz="0" w:space="0" w:color="auto"/>
        <w:bottom w:val="none" w:sz="0" w:space="0" w:color="auto"/>
        <w:right w:val="none" w:sz="0" w:space="0" w:color="auto"/>
      </w:divBdr>
    </w:div>
    <w:div w:id="1058937341">
      <w:bodyDiv w:val="1"/>
      <w:marLeft w:val="0"/>
      <w:marRight w:val="0"/>
      <w:marTop w:val="0"/>
      <w:marBottom w:val="0"/>
      <w:divBdr>
        <w:top w:val="none" w:sz="0" w:space="0" w:color="auto"/>
        <w:left w:val="none" w:sz="0" w:space="0" w:color="auto"/>
        <w:bottom w:val="none" w:sz="0" w:space="0" w:color="auto"/>
        <w:right w:val="none" w:sz="0" w:space="0" w:color="auto"/>
      </w:divBdr>
    </w:div>
    <w:div w:id="1059673222">
      <w:bodyDiv w:val="1"/>
      <w:marLeft w:val="0"/>
      <w:marRight w:val="0"/>
      <w:marTop w:val="0"/>
      <w:marBottom w:val="0"/>
      <w:divBdr>
        <w:top w:val="none" w:sz="0" w:space="0" w:color="auto"/>
        <w:left w:val="none" w:sz="0" w:space="0" w:color="auto"/>
        <w:bottom w:val="none" w:sz="0" w:space="0" w:color="auto"/>
        <w:right w:val="none" w:sz="0" w:space="0" w:color="auto"/>
      </w:divBdr>
    </w:div>
    <w:div w:id="1123570659">
      <w:bodyDiv w:val="1"/>
      <w:marLeft w:val="0"/>
      <w:marRight w:val="0"/>
      <w:marTop w:val="0"/>
      <w:marBottom w:val="0"/>
      <w:divBdr>
        <w:top w:val="none" w:sz="0" w:space="0" w:color="auto"/>
        <w:left w:val="none" w:sz="0" w:space="0" w:color="auto"/>
        <w:bottom w:val="none" w:sz="0" w:space="0" w:color="auto"/>
        <w:right w:val="none" w:sz="0" w:space="0" w:color="auto"/>
      </w:divBdr>
    </w:div>
    <w:div w:id="1132095510">
      <w:bodyDiv w:val="1"/>
      <w:marLeft w:val="0"/>
      <w:marRight w:val="0"/>
      <w:marTop w:val="0"/>
      <w:marBottom w:val="0"/>
      <w:divBdr>
        <w:top w:val="none" w:sz="0" w:space="0" w:color="auto"/>
        <w:left w:val="none" w:sz="0" w:space="0" w:color="auto"/>
        <w:bottom w:val="none" w:sz="0" w:space="0" w:color="auto"/>
        <w:right w:val="none" w:sz="0" w:space="0" w:color="auto"/>
      </w:divBdr>
    </w:div>
    <w:div w:id="1165364006">
      <w:bodyDiv w:val="1"/>
      <w:marLeft w:val="0"/>
      <w:marRight w:val="0"/>
      <w:marTop w:val="0"/>
      <w:marBottom w:val="0"/>
      <w:divBdr>
        <w:top w:val="none" w:sz="0" w:space="0" w:color="auto"/>
        <w:left w:val="none" w:sz="0" w:space="0" w:color="auto"/>
        <w:bottom w:val="none" w:sz="0" w:space="0" w:color="auto"/>
        <w:right w:val="none" w:sz="0" w:space="0" w:color="auto"/>
      </w:divBdr>
    </w:div>
    <w:div w:id="1181822799">
      <w:bodyDiv w:val="1"/>
      <w:marLeft w:val="0"/>
      <w:marRight w:val="0"/>
      <w:marTop w:val="0"/>
      <w:marBottom w:val="0"/>
      <w:divBdr>
        <w:top w:val="none" w:sz="0" w:space="0" w:color="auto"/>
        <w:left w:val="none" w:sz="0" w:space="0" w:color="auto"/>
        <w:bottom w:val="none" w:sz="0" w:space="0" w:color="auto"/>
        <w:right w:val="none" w:sz="0" w:space="0" w:color="auto"/>
      </w:divBdr>
    </w:div>
    <w:div w:id="1256015350">
      <w:bodyDiv w:val="1"/>
      <w:marLeft w:val="0"/>
      <w:marRight w:val="0"/>
      <w:marTop w:val="0"/>
      <w:marBottom w:val="0"/>
      <w:divBdr>
        <w:top w:val="none" w:sz="0" w:space="0" w:color="auto"/>
        <w:left w:val="none" w:sz="0" w:space="0" w:color="auto"/>
        <w:bottom w:val="none" w:sz="0" w:space="0" w:color="auto"/>
        <w:right w:val="none" w:sz="0" w:space="0" w:color="auto"/>
      </w:divBdr>
    </w:div>
    <w:div w:id="1311323777">
      <w:bodyDiv w:val="1"/>
      <w:marLeft w:val="0"/>
      <w:marRight w:val="0"/>
      <w:marTop w:val="0"/>
      <w:marBottom w:val="0"/>
      <w:divBdr>
        <w:top w:val="none" w:sz="0" w:space="0" w:color="auto"/>
        <w:left w:val="none" w:sz="0" w:space="0" w:color="auto"/>
        <w:bottom w:val="none" w:sz="0" w:space="0" w:color="auto"/>
        <w:right w:val="none" w:sz="0" w:space="0" w:color="auto"/>
      </w:divBdr>
    </w:div>
    <w:div w:id="1324047828">
      <w:bodyDiv w:val="1"/>
      <w:marLeft w:val="0"/>
      <w:marRight w:val="0"/>
      <w:marTop w:val="0"/>
      <w:marBottom w:val="0"/>
      <w:divBdr>
        <w:top w:val="none" w:sz="0" w:space="0" w:color="auto"/>
        <w:left w:val="none" w:sz="0" w:space="0" w:color="auto"/>
        <w:bottom w:val="none" w:sz="0" w:space="0" w:color="auto"/>
        <w:right w:val="none" w:sz="0" w:space="0" w:color="auto"/>
      </w:divBdr>
    </w:div>
    <w:div w:id="1347361525">
      <w:bodyDiv w:val="1"/>
      <w:marLeft w:val="0"/>
      <w:marRight w:val="0"/>
      <w:marTop w:val="0"/>
      <w:marBottom w:val="0"/>
      <w:divBdr>
        <w:top w:val="none" w:sz="0" w:space="0" w:color="auto"/>
        <w:left w:val="none" w:sz="0" w:space="0" w:color="auto"/>
        <w:bottom w:val="none" w:sz="0" w:space="0" w:color="auto"/>
        <w:right w:val="none" w:sz="0" w:space="0" w:color="auto"/>
      </w:divBdr>
    </w:div>
    <w:div w:id="1400861215">
      <w:bodyDiv w:val="1"/>
      <w:marLeft w:val="0"/>
      <w:marRight w:val="0"/>
      <w:marTop w:val="0"/>
      <w:marBottom w:val="0"/>
      <w:divBdr>
        <w:top w:val="none" w:sz="0" w:space="0" w:color="auto"/>
        <w:left w:val="none" w:sz="0" w:space="0" w:color="auto"/>
        <w:bottom w:val="none" w:sz="0" w:space="0" w:color="auto"/>
        <w:right w:val="none" w:sz="0" w:space="0" w:color="auto"/>
      </w:divBdr>
    </w:div>
    <w:div w:id="1464542322">
      <w:bodyDiv w:val="1"/>
      <w:marLeft w:val="0"/>
      <w:marRight w:val="0"/>
      <w:marTop w:val="0"/>
      <w:marBottom w:val="0"/>
      <w:divBdr>
        <w:top w:val="none" w:sz="0" w:space="0" w:color="auto"/>
        <w:left w:val="none" w:sz="0" w:space="0" w:color="auto"/>
        <w:bottom w:val="none" w:sz="0" w:space="0" w:color="auto"/>
        <w:right w:val="none" w:sz="0" w:space="0" w:color="auto"/>
      </w:divBdr>
    </w:div>
    <w:div w:id="1474982009">
      <w:bodyDiv w:val="1"/>
      <w:marLeft w:val="0"/>
      <w:marRight w:val="0"/>
      <w:marTop w:val="0"/>
      <w:marBottom w:val="0"/>
      <w:divBdr>
        <w:top w:val="none" w:sz="0" w:space="0" w:color="auto"/>
        <w:left w:val="none" w:sz="0" w:space="0" w:color="auto"/>
        <w:bottom w:val="none" w:sz="0" w:space="0" w:color="auto"/>
        <w:right w:val="none" w:sz="0" w:space="0" w:color="auto"/>
      </w:divBdr>
    </w:div>
    <w:div w:id="1495417066">
      <w:bodyDiv w:val="1"/>
      <w:marLeft w:val="0"/>
      <w:marRight w:val="0"/>
      <w:marTop w:val="0"/>
      <w:marBottom w:val="0"/>
      <w:divBdr>
        <w:top w:val="none" w:sz="0" w:space="0" w:color="auto"/>
        <w:left w:val="none" w:sz="0" w:space="0" w:color="auto"/>
        <w:bottom w:val="none" w:sz="0" w:space="0" w:color="auto"/>
        <w:right w:val="none" w:sz="0" w:space="0" w:color="auto"/>
      </w:divBdr>
    </w:div>
    <w:div w:id="1583875517">
      <w:bodyDiv w:val="1"/>
      <w:marLeft w:val="0"/>
      <w:marRight w:val="0"/>
      <w:marTop w:val="0"/>
      <w:marBottom w:val="0"/>
      <w:divBdr>
        <w:top w:val="none" w:sz="0" w:space="0" w:color="auto"/>
        <w:left w:val="none" w:sz="0" w:space="0" w:color="auto"/>
        <w:bottom w:val="none" w:sz="0" w:space="0" w:color="auto"/>
        <w:right w:val="none" w:sz="0" w:space="0" w:color="auto"/>
      </w:divBdr>
    </w:div>
    <w:div w:id="1601645801">
      <w:bodyDiv w:val="1"/>
      <w:marLeft w:val="0"/>
      <w:marRight w:val="0"/>
      <w:marTop w:val="0"/>
      <w:marBottom w:val="0"/>
      <w:divBdr>
        <w:top w:val="none" w:sz="0" w:space="0" w:color="auto"/>
        <w:left w:val="none" w:sz="0" w:space="0" w:color="auto"/>
        <w:bottom w:val="none" w:sz="0" w:space="0" w:color="auto"/>
        <w:right w:val="none" w:sz="0" w:space="0" w:color="auto"/>
      </w:divBdr>
    </w:div>
    <w:div w:id="1607036357">
      <w:bodyDiv w:val="1"/>
      <w:marLeft w:val="0"/>
      <w:marRight w:val="0"/>
      <w:marTop w:val="0"/>
      <w:marBottom w:val="0"/>
      <w:divBdr>
        <w:top w:val="none" w:sz="0" w:space="0" w:color="auto"/>
        <w:left w:val="none" w:sz="0" w:space="0" w:color="auto"/>
        <w:bottom w:val="none" w:sz="0" w:space="0" w:color="auto"/>
        <w:right w:val="none" w:sz="0" w:space="0" w:color="auto"/>
      </w:divBdr>
    </w:div>
    <w:div w:id="1627203287">
      <w:bodyDiv w:val="1"/>
      <w:marLeft w:val="0"/>
      <w:marRight w:val="0"/>
      <w:marTop w:val="0"/>
      <w:marBottom w:val="0"/>
      <w:divBdr>
        <w:top w:val="none" w:sz="0" w:space="0" w:color="auto"/>
        <w:left w:val="none" w:sz="0" w:space="0" w:color="auto"/>
        <w:bottom w:val="none" w:sz="0" w:space="0" w:color="auto"/>
        <w:right w:val="none" w:sz="0" w:space="0" w:color="auto"/>
      </w:divBdr>
    </w:div>
    <w:div w:id="1628075377">
      <w:bodyDiv w:val="1"/>
      <w:marLeft w:val="0"/>
      <w:marRight w:val="0"/>
      <w:marTop w:val="0"/>
      <w:marBottom w:val="0"/>
      <w:divBdr>
        <w:top w:val="none" w:sz="0" w:space="0" w:color="auto"/>
        <w:left w:val="none" w:sz="0" w:space="0" w:color="auto"/>
        <w:bottom w:val="none" w:sz="0" w:space="0" w:color="auto"/>
        <w:right w:val="none" w:sz="0" w:space="0" w:color="auto"/>
      </w:divBdr>
    </w:div>
    <w:div w:id="1633553260">
      <w:bodyDiv w:val="1"/>
      <w:marLeft w:val="0"/>
      <w:marRight w:val="0"/>
      <w:marTop w:val="0"/>
      <w:marBottom w:val="0"/>
      <w:divBdr>
        <w:top w:val="none" w:sz="0" w:space="0" w:color="auto"/>
        <w:left w:val="none" w:sz="0" w:space="0" w:color="auto"/>
        <w:bottom w:val="none" w:sz="0" w:space="0" w:color="auto"/>
        <w:right w:val="none" w:sz="0" w:space="0" w:color="auto"/>
      </w:divBdr>
    </w:div>
    <w:div w:id="1670256496">
      <w:bodyDiv w:val="1"/>
      <w:marLeft w:val="0"/>
      <w:marRight w:val="0"/>
      <w:marTop w:val="0"/>
      <w:marBottom w:val="0"/>
      <w:divBdr>
        <w:top w:val="none" w:sz="0" w:space="0" w:color="auto"/>
        <w:left w:val="none" w:sz="0" w:space="0" w:color="auto"/>
        <w:bottom w:val="none" w:sz="0" w:space="0" w:color="auto"/>
        <w:right w:val="none" w:sz="0" w:space="0" w:color="auto"/>
      </w:divBdr>
    </w:div>
    <w:div w:id="1686130522">
      <w:bodyDiv w:val="1"/>
      <w:marLeft w:val="0"/>
      <w:marRight w:val="0"/>
      <w:marTop w:val="0"/>
      <w:marBottom w:val="0"/>
      <w:divBdr>
        <w:top w:val="none" w:sz="0" w:space="0" w:color="auto"/>
        <w:left w:val="none" w:sz="0" w:space="0" w:color="auto"/>
        <w:bottom w:val="none" w:sz="0" w:space="0" w:color="auto"/>
        <w:right w:val="none" w:sz="0" w:space="0" w:color="auto"/>
      </w:divBdr>
    </w:div>
    <w:div w:id="1724717015">
      <w:bodyDiv w:val="1"/>
      <w:marLeft w:val="0"/>
      <w:marRight w:val="0"/>
      <w:marTop w:val="0"/>
      <w:marBottom w:val="0"/>
      <w:divBdr>
        <w:top w:val="none" w:sz="0" w:space="0" w:color="auto"/>
        <w:left w:val="none" w:sz="0" w:space="0" w:color="auto"/>
        <w:bottom w:val="none" w:sz="0" w:space="0" w:color="auto"/>
        <w:right w:val="none" w:sz="0" w:space="0" w:color="auto"/>
      </w:divBdr>
    </w:div>
    <w:div w:id="1734429250">
      <w:bodyDiv w:val="1"/>
      <w:marLeft w:val="0"/>
      <w:marRight w:val="0"/>
      <w:marTop w:val="0"/>
      <w:marBottom w:val="0"/>
      <w:divBdr>
        <w:top w:val="none" w:sz="0" w:space="0" w:color="auto"/>
        <w:left w:val="none" w:sz="0" w:space="0" w:color="auto"/>
        <w:bottom w:val="none" w:sz="0" w:space="0" w:color="auto"/>
        <w:right w:val="none" w:sz="0" w:space="0" w:color="auto"/>
      </w:divBdr>
    </w:div>
    <w:div w:id="1739866437">
      <w:bodyDiv w:val="1"/>
      <w:marLeft w:val="0"/>
      <w:marRight w:val="0"/>
      <w:marTop w:val="0"/>
      <w:marBottom w:val="0"/>
      <w:divBdr>
        <w:top w:val="none" w:sz="0" w:space="0" w:color="auto"/>
        <w:left w:val="none" w:sz="0" w:space="0" w:color="auto"/>
        <w:bottom w:val="none" w:sz="0" w:space="0" w:color="auto"/>
        <w:right w:val="none" w:sz="0" w:space="0" w:color="auto"/>
      </w:divBdr>
    </w:div>
    <w:div w:id="1764296071">
      <w:bodyDiv w:val="1"/>
      <w:marLeft w:val="0"/>
      <w:marRight w:val="0"/>
      <w:marTop w:val="0"/>
      <w:marBottom w:val="0"/>
      <w:divBdr>
        <w:top w:val="none" w:sz="0" w:space="0" w:color="auto"/>
        <w:left w:val="none" w:sz="0" w:space="0" w:color="auto"/>
        <w:bottom w:val="none" w:sz="0" w:space="0" w:color="auto"/>
        <w:right w:val="none" w:sz="0" w:space="0" w:color="auto"/>
      </w:divBdr>
    </w:div>
    <w:div w:id="1910116226">
      <w:bodyDiv w:val="1"/>
      <w:marLeft w:val="0"/>
      <w:marRight w:val="0"/>
      <w:marTop w:val="0"/>
      <w:marBottom w:val="0"/>
      <w:divBdr>
        <w:top w:val="none" w:sz="0" w:space="0" w:color="auto"/>
        <w:left w:val="none" w:sz="0" w:space="0" w:color="auto"/>
        <w:bottom w:val="none" w:sz="0" w:space="0" w:color="auto"/>
        <w:right w:val="none" w:sz="0" w:space="0" w:color="auto"/>
      </w:divBdr>
    </w:div>
    <w:div w:id="1932006676">
      <w:bodyDiv w:val="1"/>
      <w:marLeft w:val="0"/>
      <w:marRight w:val="0"/>
      <w:marTop w:val="0"/>
      <w:marBottom w:val="0"/>
      <w:divBdr>
        <w:top w:val="none" w:sz="0" w:space="0" w:color="auto"/>
        <w:left w:val="none" w:sz="0" w:space="0" w:color="auto"/>
        <w:bottom w:val="none" w:sz="0" w:space="0" w:color="auto"/>
        <w:right w:val="none" w:sz="0" w:space="0" w:color="auto"/>
      </w:divBdr>
    </w:div>
    <w:div w:id="1939368673">
      <w:bodyDiv w:val="1"/>
      <w:marLeft w:val="0"/>
      <w:marRight w:val="0"/>
      <w:marTop w:val="0"/>
      <w:marBottom w:val="0"/>
      <w:divBdr>
        <w:top w:val="none" w:sz="0" w:space="0" w:color="auto"/>
        <w:left w:val="none" w:sz="0" w:space="0" w:color="auto"/>
        <w:bottom w:val="none" w:sz="0" w:space="0" w:color="auto"/>
        <w:right w:val="none" w:sz="0" w:space="0" w:color="auto"/>
      </w:divBdr>
    </w:div>
    <w:div w:id="1953248482">
      <w:bodyDiv w:val="1"/>
      <w:marLeft w:val="0"/>
      <w:marRight w:val="0"/>
      <w:marTop w:val="0"/>
      <w:marBottom w:val="0"/>
      <w:divBdr>
        <w:top w:val="none" w:sz="0" w:space="0" w:color="auto"/>
        <w:left w:val="none" w:sz="0" w:space="0" w:color="auto"/>
        <w:bottom w:val="none" w:sz="0" w:space="0" w:color="auto"/>
        <w:right w:val="none" w:sz="0" w:space="0" w:color="auto"/>
      </w:divBdr>
    </w:div>
    <w:div w:id="2093701881">
      <w:bodyDiv w:val="1"/>
      <w:marLeft w:val="0"/>
      <w:marRight w:val="0"/>
      <w:marTop w:val="0"/>
      <w:marBottom w:val="0"/>
      <w:divBdr>
        <w:top w:val="none" w:sz="0" w:space="0" w:color="auto"/>
        <w:left w:val="none" w:sz="0" w:space="0" w:color="auto"/>
        <w:bottom w:val="none" w:sz="0" w:space="0" w:color="auto"/>
        <w:right w:val="none" w:sz="0" w:space="0" w:color="auto"/>
      </w:divBdr>
    </w:div>
    <w:div w:id="212992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ero.gerosa@usi.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B03C-109E-4959-AA7F-85179140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3824</Words>
  <Characters>21803</Characters>
  <Application>Microsoft Office Word</Application>
  <DocSecurity>0</DocSecurity>
  <Lines>181</Lines>
  <Paragraphs>51</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4</cp:revision>
  <dcterms:created xsi:type="dcterms:W3CDTF">2026-03-15T20:49:00Z</dcterms:created>
  <dcterms:modified xsi:type="dcterms:W3CDTF">2026-07-07T10:13:00Z</dcterms:modified>
</cp:coreProperties>
</file>