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ADF2" w14:textId="258FB293" w:rsidR="00793808" w:rsidRPr="00250803" w:rsidRDefault="00617468" w:rsidP="00617468">
      <w:pPr>
        <w:bidi/>
        <w:spacing w:line="240" w:lineRule="auto"/>
        <w:jc w:val="right"/>
        <w:rPr>
          <w:rStyle w:val="Hyperlink"/>
          <w:rFonts w:ascii="Times New Roman" w:hAnsi="Times New Roman" w:cs="Times New Roman"/>
          <w:color w:val="auto"/>
          <w:sz w:val="27"/>
          <w:szCs w:val="27"/>
          <w:u w:val="none"/>
          <w:lang w:val="en-GB"/>
        </w:rPr>
      </w:pPr>
      <w:r w:rsidRPr="00617468">
        <w:rPr>
          <w:rFonts w:ascii="Times New Roman" w:hAnsi="Times New Roman" w:cs="Times New Roman"/>
          <w:sz w:val="24"/>
          <w:szCs w:val="24"/>
          <w:u w:val="single"/>
          <w:lang w:val="de-AT"/>
        </w:rPr>
        <w:t>KS. FRANZ-JOSEF BORMANN</w:t>
      </w:r>
      <w:r w:rsidR="00374F72" w:rsidRPr="00793808">
        <w:rPr>
          <w:rFonts w:ascii="Times New Roman" w:hAnsi="Times New Roman" w:cs="Times New Roman"/>
          <w:sz w:val="24"/>
          <w:szCs w:val="24"/>
          <w:lang w:val="de-AT"/>
        </w:rPr>
        <w:br/>
      </w:r>
      <w:r w:rsidR="00793808" w:rsidRPr="00793808">
        <w:rPr>
          <w:rFonts w:ascii="Times New Roman" w:hAnsi="Times New Roman" w:cs="Times New Roman"/>
          <w:sz w:val="24"/>
          <w:szCs w:val="24"/>
          <w:lang w:val="de-AT"/>
        </w:rPr>
        <w:t>University of Tübingen, Germany</w:t>
      </w:r>
      <w:r w:rsidR="00793808" w:rsidRPr="00793808">
        <w:rPr>
          <w:rFonts w:ascii="Times New Roman" w:hAnsi="Times New Roman" w:cs="Times New Roman"/>
          <w:sz w:val="24"/>
          <w:szCs w:val="24"/>
          <w:lang w:val="de-AT"/>
        </w:rPr>
        <w:br/>
        <w:t xml:space="preserve">e-mail: </w:t>
      </w:r>
      <w:hyperlink r:id="rId8" w:history="1">
        <w:r w:rsidR="00793808" w:rsidRPr="00793808">
          <w:rPr>
            <w:rStyle w:val="Hyperlink"/>
            <w:rFonts w:ascii="Times New Roman" w:hAnsi="Times New Roman" w:cs="Times New Roman"/>
            <w:color w:val="auto"/>
            <w:sz w:val="24"/>
            <w:szCs w:val="24"/>
            <w:u w:val="none"/>
            <w:lang w:val="de-AT"/>
          </w:rPr>
          <w:t>franz-josef.bormann@uni-tuebingen.de</w:t>
        </w:r>
      </w:hyperlink>
      <w:r w:rsidR="00793808" w:rsidRPr="00250803">
        <w:rPr>
          <w:rFonts w:ascii="Times New Roman" w:hAnsi="Times New Roman" w:cs="Times New Roman"/>
          <w:sz w:val="24"/>
          <w:szCs w:val="24"/>
          <w:lang w:val="en-GB"/>
        </w:rPr>
        <w:br/>
        <w:t xml:space="preserve">ORCID: </w:t>
      </w:r>
      <w:hyperlink r:id="rId9" w:history="1">
        <w:r w:rsidR="00793808" w:rsidRPr="00250803">
          <w:rPr>
            <w:rStyle w:val="Hyperlink"/>
            <w:rFonts w:ascii="Times New Roman" w:hAnsi="Times New Roman" w:cs="Times New Roman"/>
            <w:color w:val="auto"/>
            <w:sz w:val="27"/>
            <w:szCs w:val="27"/>
            <w:u w:val="none"/>
            <w:lang w:val="en-GB"/>
          </w:rPr>
          <w:t>0000-0002-0904-5542</w:t>
        </w:r>
      </w:hyperlink>
      <w:r w:rsidRPr="00250803">
        <w:rPr>
          <w:rStyle w:val="Hyperlink"/>
          <w:rFonts w:ascii="Times New Roman" w:hAnsi="Times New Roman" w:cs="Times New Roman"/>
          <w:color w:val="auto"/>
          <w:sz w:val="27"/>
          <w:szCs w:val="27"/>
          <w:u w:val="none"/>
          <w:lang w:val="en-GB"/>
        </w:rPr>
        <w:br/>
        <w:t>DOI:</w:t>
      </w:r>
      <w:r w:rsidR="00250803" w:rsidRPr="00250803">
        <w:rPr>
          <w:lang w:val="en-GB"/>
        </w:rPr>
        <w:t xml:space="preserve"> </w:t>
      </w:r>
      <w:r w:rsidR="00250803" w:rsidRPr="00250803">
        <w:rPr>
          <w:rStyle w:val="Hyperlink"/>
          <w:rFonts w:ascii="Times New Roman" w:hAnsi="Times New Roman" w:cs="Times New Roman"/>
          <w:color w:val="auto"/>
          <w:sz w:val="27"/>
          <w:szCs w:val="27"/>
          <w:u w:val="none"/>
          <w:lang w:val="en-GB"/>
        </w:rPr>
        <w:t>10.48224/COM-231-2025-31</w:t>
      </w:r>
    </w:p>
    <w:p w14:paraId="7223C79F" w14:textId="77777777" w:rsidR="00D0106E" w:rsidRPr="00250803" w:rsidRDefault="00D0106E" w:rsidP="00D0106E">
      <w:pPr>
        <w:pStyle w:val="Standard"/>
        <w:jc w:val="both"/>
        <w:rPr>
          <w:rFonts w:cs="Times New Roman"/>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D0106E" w:rsidRPr="00FA77B5" w14:paraId="6D3A9A41" w14:textId="77777777" w:rsidTr="00843A09">
        <w:trPr>
          <w:trHeight w:val="724"/>
          <w:jc w:val="right"/>
        </w:trPr>
        <w:tc>
          <w:tcPr>
            <w:tcW w:w="3685" w:type="dxa"/>
            <w:hideMark/>
          </w:tcPr>
          <w:p w14:paraId="61AE0D21" w14:textId="77777777" w:rsidR="00D0106E" w:rsidRPr="00FA77B5" w:rsidRDefault="00D0106E" w:rsidP="00843A09">
            <w:pPr>
              <w:jc w:val="center"/>
              <w:rPr>
                <w:rFonts w:ascii="Times New Roman" w:hAnsi="Times New Roman" w:cs="Times New Roman"/>
                <w:sz w:val="20"/>
                <w:szCs w:val="20"/>
              </w:rPr>
            </w:pPr>
            <w:r w:rsidRPr="00FA77B5">
              <w:rPr>
                <w:rFonts w:ascii="Times New Roman" w:hAnsi="Times New Roman" w:cs="Times New Roman"/>
                <w:sz w:val="20"/>
                <w:szCs w:val="20"/>
                <w:lang w:val="en-US"/>
              </w:rPr>
              <w:br/>
            </w:r>
            <w:r w:rsidR="00FF3EB9">
              <w:rPr>
                <w:rFonts w:ascii="Times New Roman" w:hAnsi="Times New Roman" w:cs="Times New Roman"/>
                <w:sz w:val="20"/>
                <w:szCs w:val="20"/>
              </w:rPr>
              <w:t>Communio 45(2025)3</w:t>
            </w:r>
            <w:r w:rsidRPr="00FA77B5">
              <w:rPr>
                <w:rFonts w:ascii="Times New Roman" w:hAnsi="Times New Roman" w:cs="Times New Roman"/>
                <w:sz w:val="20"/>
                <w:szCs w:val="20"/>
              </w:rPr>
              <w:t>, s. 2-2</w:t>
            </w:r>
          </w:p>
        </w:tc>
      </w:tr>
    </w:tbl>
    <w:p w14:paraId="7C3CA5B2" w14:textId="77777777" w:rsidR="00D0106E" w:rsidRPr="00FA77B5" w:rsidRDefault="00D0106E" w:rsidP="00D0106E">
      <w:pPr>
        <w:jc w:val="center"/>
        <w:rPr>
          <w:rFonts w:ascii="Times New Roman" w:hAnsi="Times New Roman" w:cs="Times New Roman"/>
          <w:b/>
        </w:rPr>
      </w:pPr>
    </w:p>
    <w:p w14:paraId="3DADA80F" w14:textId="77777777" w:rsidR="00D0106E" w:rsidRDefault="00D0106E" w:rsidP="00D0106E">
      <w:pPr>
        <w:pStyle w:val="Standard"/>
        <w:jc w:val="both"/>
      </w:pPr>
    </w:p>
    <w:p w14:paraId="4A150DCE" w14:textId="77777777" w:rsidR="002A7904" w:rsidRPr="00081091" w:rsidRDefault="002A7904" w:rsidP="00081091">
      <w:pPr>
        <w:spacing w:line="240" w:lineRule="auto"/>
        <w:jc w:val="center"/>
        <w:rPr>
          <w:rFonts w:ascii="Times New Roman" w:hAnsi="Times New Roman" w:cs="Times New Roman"/>
          <w:sz w:val="28"/>
          <w:szCs w:val="28"/>
        </w:rPr>
      </w:pPr>
      <w:r w:rsidRPr="00081091">
        <w:rPr>
          <w:rFonts w:ascii="Times New Roman" w:hAnsi="Times New Roman" w:cs="Times New Roman"/>
          <w:b/>
          <w:bCs/>
          <w:sz w:val="28"/>
          <w:szCs w:val="28"/>
        </w:rPr>
        <w:t>Tępy miecz czy niezb</w:t>
      </w:r>
      <w:r w:rsidR="006C58A9" w:rsidRPr="00081091">
        <w:rPr>
          <w:rFonts w:ascii="Times New Roman" w:hAnsi="Times New Roman" w:cs="Times New Roman"/>
          <w:b/>
          <w:bCs/>
          <w:sz w:val="28"/>
          <w:szCs w:val="28"/>
        </w:rPr>
        <w:t>ędny fundament</w:t>
      </w:r>
      <w:r w:rsidRPr="00081091">
        <w:rPr>
          <w:rFonts w:ascii="Times New Roman" w:hAnsi="Times New Roman" w:cs="Times New Roman"/>
          <w:b/>
          <w:bCs/>
          <w:sz w:val="28"/>
          <w:szCs w:val="28"/>
        </w:rPr>
        <w:t>?</w:t>
      </w:r>
      <w:r w:rsidR="00081091" w:rsidRPr="00081091">
        <w:rPr>
          <w:rFonts w:ascii="Times New Roman" w:hAnsi="Times New Roman" w:cs="Times New Roman"/>
          <w:b/>
          <w:bCs/>
          <w:sz w:val="28"/>
          <w:szCs w:val="28"/>
        </w:rPr>
        <w:br/>
      </w:r>
      <w:r w:rsidR="00081091">
        <w:rPr>
          <w:rStyle w:val="Strong"/>
          <w:rFonts w:ascii="Times New Roman" w:hAnsi="Times New Roman" w:cs="Times New Roman"/>
          <w:sz w:val="28"/>
          <w:szCs w:val="28"/>
        </w:rPr>
        <w:t>Znaczenie</w:t>
      </w:r>
      <w:r w:rsidR="0082704E" w:rsidRPr="00081091">
        <w:rPr>
          <w:rStyle w:val="Strong"/>
          <w:rFonts w:ascii="Times New Roman" w:hAnsi="Times New Roman" w:cs="Times New Roman"/>
          <w:sz w:val="28"/>
          <w:szCs w:val="28"/>
        </w:rPr>
        <w:t xml:space="preserve"> nauki Tomasza z Akwi</w:t>
      </w:r>
      <w:r w:rsidR="00617468">
        <w:rPr>
          <w:rStyle w:val="Strong"/>
          <w:rFonts w:ascii="Times New Roman" w:hAnsi="Times New Roman" w:cs="Times New Roman"/>
          <w:sz w:val="28"/>
          <w:szCs w:val="28"/>
        </w:rPr>
        <w:t>nu o naturalnym prawie moralnym</w:t>
      </w:r>
    </w:p>
    <w:p w14:paraId="24BF872E" w14:textId="77777777" w:rsidR="00016A3E" w:rsidRPr="00081091" w:rsidRDefault="00016A3E" w:rsidP="00016A3E">
      <w:pPr>
        <w:pStyle w:val="NoSpacing"/>
        <w:jc w:val="center"/>
        <w:rPr>
          <w:rFonts w:ascii="Times New Roman" w:hAnsi="Times New Roman" w:cs="Times New Roman"/>
          <w:b/>
          <w:bCs/>
          <w:sz w:val="28"/>
          <w:szCs w:val="28"/>
        </w:rPr>
      </w:pPr>
    </w:p>
    <w:p w14:paraId="62B1C667" w14:textId="77777777" w:rsidR="00016A3E" w:rsidRDefault="00081091" w:rsidP="00016A3E">
      <w:pPr>
        <w:pStyle w:val="NoSpacing"/>
        <w:jc w:val="center"/>
        <w:rPr>
          <w:rFonts w:ascii="Times New Roman" w:hAnsi="Times New Roman" w:cs="Times New Roman"/>
          <w:sz w:val="24"/>
          <w:szCs w:val="24"/>
          <w:lang w:val="en-US"/>
        </w:rPr>
      </w:pPr>
      <w:r w:rsidRPr="00081091">
        <w:rPr>
          <w:rFonts w:ascii="Times New Roman" w:hAnsi="Times New Roman" w:cs="Times New Roman"/>
          <w:b/>
          <w:bCs/>
          <w:sz w:val="28"/>
          <w:szCs w:val="28"/>
          <w:lang w:val="en-US"/>
        </w:rPr>
        <w:t xml:space="preserve">Abstract Blunt Sword or Indispensable Foundation? </w:t>
      </w:r>
      <w:r w:rsidRPr="00081091">
        <w:rPr>
          <w:rFonts w:ascii="Times New Roman" w:hAnsi="Times New Roman" w:cs="Times New Roman"/>
          <w:b/>
          <w:bCs/>
          <w:sz w:val="28"/>
          <w:szCs w:val="28"/>
          <w:lang w:val="en-US"/>
        </w:rPr>
        <w:br/>
        <w:t>On the Relevance of Thomas Aquinas’s Do</w:t>
      </w:r>
      <w:r w:rsidR="00617468">
        <w:rPr>
          <w:rFonts w:ascii="Times New Roman" w:hAnsi="Times New Roman" w:cs="Times New Roman"/>
          <w:b/>
          <w:bCs/>
          <w:sz w:val="28"/>
          <w:szCs w:val="28"/>
          <w:lang w:val="en-US"/>
        </w:rPr>
        <w:t>ctrine of the Natural Moral Law</w:t>
      </w:r>
    </w:p>
    <w:p w14:paraId="59153D53" w14:textId="77777777" w:rsidR="00081091" w:rsidRDefault="00081091" w:rsidP="00016A3E">
      <w:pPr>
        <w:pStyle w:val="NoSpacing"/>
        <w:jc w:val="center"/>
        <w:rPr>
          <w:rFonts w:ascii="Times New Roman" w:hAnsi="Times New Roman" w:cs="Times New Roman"/>
          <w:b/>
          <w:bCs/>
          <w:sz w:val="24"/>
          <w:szCs w:val="24"/>
          <w:lang w:val="en-US"/>
        </w:rPr>
      </w:pPr>
    </w:p>
    <w:p w14:paraId="1EDE862D" w14:textId="77777777" w:rsidR="00081091" w:rsidRDefault="00081091" w:rsidP="00016A3E">
      <w:pPr>
        <w:pStyle w:val="NoSpacing"/>
        <w:jc w:val="center"/>
        <w:rPr>
          <w:rFonts w:ascii="Times New Roman" w:hAnsi="Times New Roman" w:cs="Times New Roman"/>
          <w:b/>
          <w:bCs/>
          <w:sz w:val="24"/>
          <w:szCs w:val="24"/>
          <w:lang w:val="en-US"/>
        </w:rPr>
      </w:pPr>
    </w:p>
    <w:p w14:paraId="59CE2AD6" w14:textId="77777777" w:rsidR="00081091" w:rsidRPr="00326932" w:rsidRDefault="00081091" w:rsidP="00016A3E">
      <w:pPr>
        <w:pStyle w:val="NoSpacing"/>
        <w:jc w:val="center"/>
        <w:rPr>
          <w:rFonts w:ascii="Times New Roman" w:hAnsi="Times New Roman" w:cs="Times New Roman"/>
          <w:b/>
          <w:bCs/>
          <w:sz w:val="20"/>
          <w:szCs w:val="20"/>
          <w:lang w:val="en-US"/>
        </w:rPr>
      </w:pPr>
    </w:p>
    <w:p w14:paraId="554E4050" w14:textId="77777777" w:rsidR="002A7904" w:rsidRPr="00326932" w:rsidRDefault="00016A3E" w:rsidP="00016A3E">
      <w:pPr>
        <w:pStyle w:val="NoSpacing"/>
        <w:jc w:val="center"/>
        <w:rPr>
          <w:rFonts w:ascii="Times New Roman" w:hAnsi="Times New Roman" w:cs="Times New Roman"/>
          <w:b/>
          <w:bCs/>
          <w:sz w:val="20"/>
          <w:szCs w:val="20"/>
          <w:lang w:val="en-US"/>
        </w:rPr>
      </w:pPr>
      <w:r w:rsidRPr="00326932">
        <w:rPr>
          <w:rFonts w:ascii="Times New Roman" w:hAnsi="Times New Roman" w:cs="Times New Roman"/>
          <w:b/>
          <w:bCs/>
          <w:sz w:val="20"/>
          <w:szCs w:val="20"/>
          <w:lang w:val="en-US"/>
        </w:rPr>
        <w:t>Abstract</w:t>
      </w:r>
    </w:p>
    <w:p w14:paraId="36061E78" w14:textId="77777777" w:rsidR="00016A3E" w:rsidRPr="00326932" w:rsidRDefault="00016A3E" w:rsidP="00016A3E">
      <w:pPr>
        <w:spacing w:line="240" w:lineRule="auto"/>
        <w:jc w:val="both"/>
        <w:rPr>
          <w:rFonts w:ascii="Times New Roman" w:hAnsi="Times New Roman" w:cs="Times New Roman"/>
          <w:sz w:val="20"/>
          <w:szCs w:val="20"/>
          <w:lang w:val="en-US"/>
        </w:rPr>
      </w:pPr>
      <w:r w:rsidRPr="00326932">
        <w:rPr>
          <w:rFonts w:ascii="Times New Roman" w:hAnsi="Times New Roman" w:cs="Times New Roman"/>
          <w:sz w:val="20"/>
          <w:szCs w:val="20"/>
          <w:lang w:val="en-US"/>
        </w:rPr>
        <w:t xml:space="preserve">Starting from various objections to natural law forms of thought, this article first reminds us of important insights from the legal theory of Thomas Aquinas, whose cognitive approach appears to be just as indispensable as its roots in a holistic anthropology. Following this, some information is given on the necessary further development of some systematically important aspects of this type of theory. </w:t>
      </w:r>
    </w:p>
    <w:p w14:paraId="23CBC088" w14:textId="77777777" w:rsidR="00016A3E" w:rsidRPr="00326932" w:rsidRDefault="00016A3E" w:rsidP="00016A3E">
      <w:pPr>
        <w:spacing w:line="240" w:lineRule="auto"/>
        <w:jc w:val="both"/>
        <w:rPr>
          <w:rFonts w:ascii="Times New Roman" w:hAnsi="Times New Roman" w:cs="Times New Roman"/>
          <w:sz w:val="20"/>
          <w:szCs w:val="20"/>
          <w:lang w:val="en-US"/>
        </w:rPr>
      </w:pPr>
      <w:r w:rsidRPr="00326932">
        <w:rPr>
          <w:rFonts w:ascii="Times New Roman" w:hAnsi="Times New Roman" w:cs="Times New Roman"/>
          <w:b/>
          <w:bCs/>
          <w:sz w:val="20"/>
          <w:szCs w:val="20"/>
          <w:lang w:val="en-US"/>
        </w:rPr>
        <w:t>Keywords:</w:t>
      </w:r>
      <w:r w:rsidRPr="00326932">
        <w:rPr>
          <w:rFonts w:ascii="Times New Roman" w:hAnsi="Times New Roman" w:cs="Times New Roman"/>
          <w:sz w:val="20"/>
          <w:szCs w:val="20"/>
          <w:lang w:val="en-US"/>
        </w:rPr>
        <w:t xml:space="preserve"> Anthropology – Ethics – Natural Law – Morality</w:t>
      </w:r>
    </w:p>
    <w:p w14:paraId="5AA5DA33" w14:textId="77777777" w:rsidR="00081091" w:rsidRPr="00326932" w:rsidRDefault="00081091" w:rsidP="00326932">
      <w:pPr>
        <w:pStyle w:val="NoSpacing"/>
        <w:jc w:val="center"/>
        <w:rPr>
          <w:rFonts w:ascii="Times New Roman" w:hAnsi="Times New Roman" w:cs="Times New Roman"/>
          <w:sz w:val="20"/>
          <w:szCs w:val="20"/>
        </w:rPr>
      </w:pPr>
      <w:r w:rsidRPr="00326932">
        <w:rPr>
          <w:rStyle w:val="Strong"/>
          <w:rFonts w:ascii="Times New Roman" w:hAnsi="Times New Roman" w:cs="Times New Roman"/>
          <w:bCs w:val="0"/>
          <w:sz w:val="20"/>
          <w:szCs w:val="20"/>
        </w:rPr>
        <w:t>Streszczenie</w:t>
      </w:r>
    </w:p>
    <w:p w14:paraId="27B0CA98" w14:textId="77777777" w:rsidR="00081091" w:rsidRPr="00326932" w:rsidRDefault="00081091" w:rsidP="00326932">
      <w:pPr>
        <w:pStyle w:val="NoSpacing"/>
        <w:jc w:val="both"/>
      </w:pPr>
      <w:r w:rsidRPr="00326932">
        <w:rPr>
          <w:rFonts w:ascii="Times New Roman" w:hAnsi="Times New Roman" w:cs="Times New Roman"/>
          <w:sz w:val="20"/>
          <w:szCs w:val="20"/>
        </w:rPr>
        <w:t>Wychodząc od różnych zarzutów wobec naturalno-prawnych form myślenia, artykuł najpierw przypomina ważne intuicje z teorii prawa Tomasza z Akwinu, których podejście poznawcze okazuje się równie niezbędne, jak jego zakorzenienie w holistycznej antropologii. Następnie przedstawiono informacje dotyczące koniecznego dalszego rozwijania niektórych systematycznie istotnych aspektów tego typu teorii</w:t>
      </w:r>
      <w:r w:rsidRPr="00326932">
        <w:t>.</w:t>
      </w:r>
    </w:p>
    <w:p w14:paraId="4458EA8E" w14:textId="77777777" w:rsidR="00081091" w:rsidRPr="00326932" w:rsidRDefault="00081091" w:rsidP="00081091">
      <w:pPr>
        <w:pStyle w:val="NormalWeb"/>
        <w:jc w:val="both"/>
        <w:rPr>
          <w:sz w:val="20"/>
          <w:szCs w:val="20"/>
        </w:rPr>
      </w:pPr>
      <w:r w:rsidRPr="00326932">
        <w:rPr>
          <w:rStyle w:val="Strong"/>
          <w:bCs w:val="0"/>
          <w:sz w:val="20"/>
          <w:szCs w:val="20"/>
        </w:rPr>
        <w:t>Słowa kluczowe:</w:t>
      </w:r>
      <w:r w:rsidRPr="00326932">
        <w:rPr>
          <w:sz w:val="20"/>
          <w:szCs w:val="20"/>
        </w:rPr>
        <w:t xml:space="preserve"> antropologia – etyka – prawo naturalne – moralność</w:t>
      </w:r>
    </w:p>
    <w:p w14:paraId="222B326A" w14:textId="77777777" w:rsidR="002D1D56" w:rsidRDefault="00AB7CAD" w:rsidP="00AB7C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Nie tylko względy </w:t>
      </w:r>
      <w:r w:rsidR="000570E3" w:rsidRPr="001C609E">
        <w:rPr>
          <w:rFonts w:ascii="Times New Roman" w:hAnsi="Times New Roman" w:cs="Times New Roman"/>
          <w:sz w:val="24"/>
          <w:szCs w:val="24"/>
        </w:rPr>
        <w:t xml:space="preserve">historyczne, lecz przede wszystkim systematyczne, </w:t>
      </w:r>
      <w:r>
        <w:rPr>
          <w:rFonts w:ascii="Times New Roman" w:hAnsi="Times New Roman" w:cs="Times New Roman"/>
          <w:sz w:val="24"/>
          <w:szCs w:val="24"/>
        </w:rPr>
        <w:t xml:space="preserve">sprawiają, że </w:t>
      </w:r>
      <w:r w:rsidR="000570E3" w:rsidRPr="001C609E">
        <w:rPr>
          <w:rFonts w:ascii="Times New Roman" w:hAnsi="Times New Roman" w:cs="Times New Roman"/>
          <w:sz w:val="24"/>
          <w:szCs w:val="24"/>
        </w:rPr>
        <w:t xml:space="preserve">zajmowanie się naturalnym prawem w ogóle, a nauką o </w:t>
      </w:r>
      <w:r w:rsidR="000570E3" w:rsidRPr="001C609E">
        <w:rPr>
          <w:rStyle w:val="Emphasis"/>
          <w:rFonts w:ascii="Times New Roman" w:hAnsi="Times New Roman" w:cs="Times New Roman"/>
          <w:sz w:val="24"/>
          <w:szCs w:val="24"/>
        </w:rPr>
        <w:t>lex naturalis</w:t>
      </w:r>
      <w:r w:rsidR="000570E3" w:rsidRPr="001C609E">
        <w:rPr>
          <w:rFonts w:ascii="Times New Roman" w:hAnsi="Times New Roman" w:cs="Times New Roman"/>
          <w:sz w:val="24"/>
          <w:szCs w:val="24"/>
        </w:rPr>
        <w:t xml:space="preserve"> Tomasza z Akwinu w </w:t>
      </w:r>
      <w:r w:rsidR="000570E3" w:rsidRPr="00AB7CAD">
        <w:rPr>
          <w:rFonts w:ascii="Times New Roman" w:hAnsi="Times New Roman" w:cs="Times New Roman"/>
          <w:sz w:val="24"/>
          <w:szCs w:val="24"/>
        </w:rPr>
        <w:t>szczególności,</w:t>
      </w:r>
      <w:r w:rsidRPr="00AB7CAD">
        <w:rPr>
          <w:rFonts w:ascii="Times New Roman" w:hAnsi="Times New Roman" w:cs="Times New Roman"/>
          <w:sz w:val="24"/>
          <w:szCs w:val="24"/>
        </w:rPr>
        <w:t xml:space="preserve"> </w:t>
      </w:r>
      <w:r w:rsidRPr="00AB7CAD">
        <w:rPr>
          <w:rFonts w:ascii="Times New Roman" w:hAnsi="Times New Roman" w:cs="Times New Roman"/>
          <w:color w:val="09090B"/>
          <w:shd w:val="clear" w:color="auto" w:fill="FFFFFF"/>
        </w:rPr>
        <w:t>jest niezbędne dla refleksji nad podstawami teologii moralnej.</w:t>
      </w:r>
      <w:r w:rsidR="000570E3" w:rsidRPr="00AB7CAD">
        <w:rPr>
          <w:rFonts w:ascii="Times New Roman" w:hAnsi="Times New Roman" w:cs="Times New Roman"/>
          <w:sz w:val="24"/>
          <w:szCs w:val="24"/>
        </w:rPr>
        <w:t xml:space="preserve"> </w:t>
      </w:r>
      <w:r w:rsidR="000570E3" w:rsidRPr="001C609E">
        <w:rPr>
          <w:rFonts w:ascii="Times New Roman" w:hAnsi="Times New Roman" w:cs="Times New Roman"/>
          <w:sz w:val="24"/>
          <w:szCs w:val="24"/>
        </w:rPr>
        <w:t>Z jednej strony prawo naturalne, które w różnych wariantach przebiega jak czerwona nić przez zachodnią teorię moralności i prawa, pozostaje szczególnie w obręb</w:t>
      </w:r>
      <w:r>
        <w:rPr>
          <w:rFonts w:ascii="Times New Roman" w:hAnsi="Times New Roman" w:cs="Times New Roman"/>
          <w:sz w:val="24"/>
          <w:szCs w:val="24"/>
        </w:rPr>
        <w:t>ie Kościoła katolickiego „figurą argumentacyjną</w:t>
      </w:r>
      <w:r w:rsidR="000570E3" w:rsidRPr="001C609E">
        <w:rPr>
          <w:rFonts w:ascii="Times New Roman" w:hAnsi="Times New Roman" w:cs="Times New Roman"/>
          <w:sz w:val="24"/>
          <w:szCs w:val="24"/>
        </w:rPr>
        <w:t xml:space="preserve">, za </w:t>
      </w:r>
      <w:proofErr w:type="gramStart"/>
      <w:r w:rsidR="000570E3" w:rsidRPr="001C609E">
        <w:rPr>
          <w:rFonts w:ascii="Times New Roman" w:hAnsi="Times New Roman" w:cs="Times New Roman"/>
          <w:sz w:val="24"/>
          <w:szCs w:val="24"/>
        </w:rPr>
        <w:t>pomocą</w:t>
      </w:r>
      <w:proofErr w:type="gramEnd"/>
      <w:r w:rsidR="000570E3" w:rsidRPr="001C609E">
        <w:rPr>
          <w:rFonts w:ascii="Times New Roman" w:hAnsi="Times New Roman" w:cs="Times New Roman"/>
          <w:sz w:val="24"/>
          <w:szCs w:val="24"/>
        </w:rPr>
        <w:t xml:space="preserve"> której apeluje się w rozmowach z</w:t>
      </w:r>
      <w:r w:rsidR="00DA63C8">
        <w:rPr>
          <w:rFonts w:ascii="Times New Roman" w:hAnsi="Times New Roman" w:cs="Times New Roman"/>
          <w:sz w:val="24"/>
          <w:szCs w:val="24"/>
        </w:rPr>
        <w:t>e</w:t>
      </w:r>
      <w:r w:rsidR="000570E3" w:rsidRPr="001C609E">
        <w:rPr>
          <w:rFonts w:ascii="Times New Roman" w:hAnsi="Times New Roman" w:cs="Times New Roman"/>
          <w:sz w:val="24"/>
          <w:szCs w:val="24"/>
        </w:rPr>
        <w:t xml:space="preserve"> świeckim społeczeństwem i innymi wspólnotami wyznaniowymi do wspólnego rozumu oraz poszukuje podstaw do porozumienia w sprawie zasad etycznych prawa w świeckim, pluralistycznym społeczeństwie”</w:t>
      </w:r>
      <w:r w:rsidR="001C609E">
        <w:rPr>
          <w:rStyle w:val="FootnoteReference"/>
          <w:rFonts w:ascii="Times New Roman" w:hAnsi="Times New Roman" w:cs="Times New Roman"/>
          <w:sz w:val="24"/>
          <w:szCs w:val="24"/>
        </w:rPr>
        <w:footnoteReference w:id="1"/>
      </w:r>
      <w:r w:rsidR="000570E3" w:rsidRPr="001C609E">
        <w:rPr>
          <w:rFonts w:ascii="Times New Roman" w:hAnsi="Times New Roman" w:cs="Times New Roman"/>
          <w:sz w:val="24"/>
          <w:szCs w:val="24"/>
        </w:rPr>
        <w:t>.</w:t>
      </w:r>
      <w:r w:rsidR="002D1D56">
        <w:rPr>
          <w:rFonts w:ascii="Times New Roman" w:hAnsi="Times New Roman" w:cs="Times New Roman"/>
          <w:sz w:val="24"/>
          <w:szCs w:val="24"/>
        </w:rPr>
        <w:t xml:space="preserve"> </w:t>
      </w:r>
      <w:r w:rsidR="002D1D56" w:rsidRPr="002D1D56">
        <w:rPr>
          <w:rFonts w:ascii="Times New Roman" w:hAnsi="Times New Roman" w:cs="Times New Roman"/>
          <w:sz w:val="24"/>
          <w:szCs w:val="24"/>
        </w:rPr>
        <w:t>Z drugiej strony od dawna ist</w:t>
      </w:r>
      <w:r w:rsidR="00016A3E">
        <w:rPr>
          <w:rFonts w:ascii="Times New Roman" w:hAnsi="Times New Roman" w:cs="Times New Roman"/>
          <w:sz w:val="24"/>
          <w:szCs w:val="24"/>
        </w:rPr>
        <w:t>nieją spory co do prawdopodobieństwa</w:t>
      </w:r>
      <w:r w:rsidR="002D1D56" w:rsidRPr="002D1D56">
        <w:rPr>
          <w:rFonts w:ascii="Times New Roman" w:hAnsi="Times New Roman" w:cs="Times New Roman"/>
          <w:sz w:val="24"/>
          <w:szCs w:val="24"/>
        </w:rPr>
        <w:t xml:space="preserve"> i przyszłościowości normatywnego odwołania się do natury. Podczas gdy jedni uważają prawo naturalne za „tępy miecz”, inni są przekonani, „że ‹natura ludzka› jest pojęciem najwyższym </w:t>
      </w:r>
      <w:r w:rsidR="002D1D56" w:rsidRPr="002D1D56">
        <w:rPr>
          <w:rFonts w:ascii="Times New Roman" w:hAnsi="Times New Roman" w:cs="Times New Roman"/>
          <w:sz w:val="24"/>
          <w:szCs w:val="24"/>
        </w:rPr>
        <w:lastRenderedPageBreak/>
        <w:t>w filozofii moralnej”</w:t>
      </w:r>
      <w:r w:rsidR="002D1D56" w:rsidRPr="002D1D56">
        <w:rPr>
          <w:rStyle w:val="FootnoteReference"/>
          <w:rFonts w:ascii="Times New Roman" w:hAnsi="Times New Roman" w:cs="Times New Roman"/>
          <w:sz w:val="24"/>
          <w:szCs w:val="24"/>
        </w:rPr>
        <w:footnoteReference w:id="2"/>
      </w:r>
      <w:r w:rsidR="002D1D56" w:rsidRPr="002D1D56">
        <w:rPr>
          <w:rFonts w:ascii="Times New Roman" w:hAnsi="Times New Roman" w:cs="Times New Roman"/>
          <w:sz w:val="24"/>
          <w:szCs w:val="24"/>
        </w:rPr>
        <w:t xml:space="preserve">, które nawet w warunkach współczesności nie straciło na znaczeniu. Aby w tym złożonym kontekście uzyskać wiarygodną orientację, najpierw należy przeanalizować najważniejsze </w:t>
      </w:r>
      <w:proofErr w:type="gramStart"/>
      <w:r w:rsidR="002D1D56" w:rsidRPr="002D1D56">
        <w:rPr>
          <w:rFonts w:ascii="Times New Roman" w:hAnsi="Times New Roman" w:cs="Times New Roman"/>
          <w:sz w:val="24"/>
          <w:szCs w:val="24"/>
        </w:rPr>
        <w:t>zarzuty</w:t>
      </w:r>
      <w:proofErr w:type="gramEnd"/>
      <w:r w:rsidR="002D1D56" w:rsidRPr="002D1D56">
        <w:rPr>
          <w:rFonts w:ascii="Times New Roman" w:hAnsi="Times New Roman" w:cs="Times New Roman"/>
          <w:sz w:val="24"/>
          <w:szCs w:val="24"/>
        </w:rPr>
        <w:t xml:space="preserve"> wobec tego typu teorii. Następnie warto przypomnieć podstawowe wnioski nauki o prawie Tomasza, które należy bezwzględnie zachować. Na zakończenie przedstawione zostaną niektóre rozważania nad koniecznym dalszym rozwojem scholastycznego projektu teoretycznego w świetle współczesnych wyzwań metaetycznych.</w:t>
      </w:r>
    </w:p>
    <w:p w14:paraId="6E39C467" w14:textId="77777777" w:rsidR="004573F7" w:rsidRDefault="004573F7" w:rsidP="00374F72">
      <w:pPr>
        <w:spacing w:line="240" w:lineRule="auto"/>
        <w:jc w:val="both"/>
        <w:rPr>
          <w:rFonts w:ascii="Times New Roman" w:hAnsi="Times New Roman" w:cs="Times New Roman"/>
          <w:sz w:val="24"/>
          <w:szCs w:val="24"/>
        </w:rPr>
      </w:pPr>
    </w:p>
    <w:p w14:paraId="39309097" w14:textId="77777777" w:rsidR="004573F7" w:rsidRPr="00374F72" w:rsidRDefault="004573F7" w:rsidP="00374F72">
      <w:pPr>
        <w:pStyle w:val="ListParagraph"/>
        <w:numPr>
          <w:ilvl w:val="0"/>
          <w:numId w:val="1"/>
        </w:numPr>
        <w:spacing w:line="240" w:lineRule="auto"/>
        <w:ind w:left="709" w:firstLine="0"/>
        <w:jc w:val="both"/>
        <w:rPr>
          <w:rFonts w:ascii="Times New Roman" w:hAnsi="Times New Roman" w:cs="Times New Roman"/>
          <w:b/>
          <w:bCs/>
          <w:iCs/>
          <w:sz w:val="24"/>
          <w:szCs w:val="24"/>
        </w:rPr>
      </w:pPr>
      <w:r w:rsidRPr="00374F72">
        <w:rPr>
          <w:rFonts w:ascii="Times New Roman" w:hAnsi="Times New Roman" w:cs="Times New Roman"/>
          <w:b/>
          <w:bCs/>
          <w:iCs/>
          <w:sz w:val="24"/>
          <w:szCs w:val="24"/>
        </w:rPr>
        <w:t>Przyczyny kryzysu prawa naturalnego</w:t>
      </w:r>
    </w:p>
    <w:p w14:paraId="1727BD5C" w14:textId="77777777" w:rsidR="00374F72" w:rsidRDefault="00374F72" w:rsidP="00374F72">
      <w:pPr>
        <w:pStyle w:val="NormalWeb"/>
        <w:spacing w:before="0" w:beforeAutospacing="0" w:after="0" w:afterAutospacing="0"/>
        <w:ind w:firstLine="708"/>
        <w:jc w:val="both"/>
      </w:pPr>
    </w:p>
    <w:p w14:paraId="6A98375B" w14:textId="77777777" w:rsidR="009253FC" w:rsidRDefault="004573F7" w:rsidP="00374F72">
      <w:pPr>
        <w:pStyle w:val="NormalWeb"/>
        <w:spacing w:before="0" w:beforeAutospacing="0" w:after="0" w:afterAutospacing="0"/>
        <w:ind w:firstLine="708"/>
        <w:jc w:val="both"/>
      </w:pPr>
      <w:r>
        <w:t xml:space="preserve">Wielokrotnie przywoływany kryzys prawa naturalnego ma, jak wiadomo, wiele przyczyn. Jednym z jego głównych powodów </w:t>
      </w:r>
      <w:r w:rsidR="002E40F1">
        <w:t>oprócz</w:t>
      </w:r>
      <w:r>
        <w:t xml:space="preserve"> zarzutów </w:t>
      </w:r>
      <w:r w:rsidR="002E40F1">
        <w:t>o niehistoryczność i sztywność</w:t>
      </w:r>
      <w:r>
        <w:t xml:space="preserve"> myślenia </w:t>
      </w:r>
      <w:r w:rsidR="002E40F1">
        <w:t>opartego na prawie naturalnym, może być notoryczna</w:t>
      </w:r>
      <w:r>
        <w:t xml:space="preserve"> wieloznaczność i po</w:t>
      </w:r>
      <w:r w:rsidR="002E40F1">
        <w:t>datność na ideologię samego pojęcia natury</w:t>
      </w:r>
      <w:r>
        <w:t>. Nie chodzi tu jedynie o niebezpieczeństwo tzw. błędów naturalistycznych, rozumianych jako logicznie nieuzasadnione przejścia od „tego, co jest”, do „tego, co powinno być”, lecz także o narastające spłycenie potocznego rozumienia natury, która w toku swojej ekologicznej reinterpretacji niemal przestała mieć bezpośredni związek z samym ludzkim „ja”. Dla coraz większej liczby współczesnych „natura” oznacza przede wszystkim naturę otaczającą (w sensie środowiska), która albo jest romantycznie idealizowana, albo sprowadzana do dowolnie manipulowalnego obiektu ludzkiej władzy rozporządzania.</w:t>
      </w:r>
      <w:r w:rsidR="00D95AB6">
        <w:t xml:space="preserve"> </w:t>
      </w:r>
      <w:r w:rsidR="002E40F1">
        <w:t>Im bardziej człowiek dzięki nowożytnemu rozwojowi techniki emancypował się z przymusów szeroko negatywnie nacechowanego, przedcywilizacyjnego stanu naturalnego i przenosił to uprzedmiotawiające nastawienie również na biologiczno-naturalne warunki własnego istnienia, tym silniej popadał w nurt myślenia, dla którego „natura” jest zasadniczo jedynie „tym, co odmienne od rozumu”, a jej granice wydają się niemal dowolnie podatne na manipulację.</w:t>
      </w:r>
      <w:r w:rsidR="00D95AB6">
        <w:t xml:space="preserve"> </w:t>
      </w:r>
      <w:r w:rsidR="002E40F1">
        <w:t>Niezależnie od tego, czy napięcie między naturą a ludzkim rozumem rozwiązuje się racjonalistycznie na korzyść rozumu, czy naturalistycznie na korzyść różnych naturalnych czynników wpływu, za każdym razem odbiera się podstawy konstytutywnej dla prawa naturalnego idei całościowej, normatywnie nasyconej „istotowej natury” człowieka.</w:t>
      </w:r>
      <w:r w:rsidR="004764C1">
        <w:t xml:space="preserve"> U kresu tego zgubnego rozziewu między naturą a rozumem stoi nie tylko zubożone rozumienie natury, które dane z góry — konstytutywne dla ludzkiego samorozwoju — struktury porządku potrafi pojmować już jedynie jako wartościowo obojętne </w:t>
      </w:r>
      <w:r w:rsidR="004764C1">
        <w:rPr>
          <w:rStyle w:val="Emphasis"/>
        </w:rPr>
        <w:t>factum brutum</w:t>
      </w:r>
      <w:r w:rsidR="004764C1">
        <w:t>, lecz także wyraźnie osłabiona koncepcja ludzkiego rozumu, interpretowanego albo czysto formalno-proceduralnie, albo — w następstwie różnych postmodernistycznych prób dekonstrukcji i kontekstualizacji — ograniczanego w swoim zasięgu w sposób partykularny.</w:t>
      </w:r>
    </w:p>
    <w:p w14:paraId="6C907C17" w14:textId="77777777" w:rsidR="00363B58" w:rsidRDefault="009253FC" w:rsidP="00374F72">
      <w:pPr>
        <w:pStyle w:val="NormalWeb"/>
        <w:spacing w:before="0" w:beforeAutospacing="0" w:after="0" w:afterAutospacing="0"/>
        <w:ind w:firstLine="708"/>
        <w:jc w:val="both"/>
      </w:pPr>
      <w:r w:rsidRPr="009253FC">
        <w:t>Oprócz tych różnie akcentowanych zarzutów dotyczących teorii natury i rozumu istnieje również szereg specyficznie teologicznych powodów, które doprowadziły posoborową teologię moralną do coraz większego dystansowania się od własnej tr</w:t>
      </w:r>
      <w:r w:rsidR="00DA63C8">
        <w:t>adycji prawa naturalnego. Należy</w:t>
      </w:r>
      <w:r w:rsidRPr="009253FC">
        <w:t xml:space="preserve"> do nich — obok ukrytych napięć między teologicznym ujęciem stworzenia a zbawczo</w:t>
      </w:r>
      <w:r>
        <w:t>-</w:t>
      </w:r>
      <w:r w:rsidRPr="009253FC">
        <w:t xml:space="preserve">historycznym określeniem normatywnej </w:t>
      </w:r>
      <w:r w:rsidRPr="009253FC">
        <w:rPr>
          <w:rStyle w:val="Emphasis"/>
        </w:rPr>
        <w:t>natura humana</w:t>
      </w:r>
      <w:r w:rsidRPr="009253FC">
        <w:t xml:space="preserve"> oraz notorycznych problemów z przekonującym wyznaczeniem zakresu obowiązywania roszczeń prawa naturalnego — przede wszystkim konkretny sposób, w jaki papieskie nauczanie odnosiło się do tomistycznego dziedzictwa w kontrowersyjnej encyklice </w:t>
      </w:r>
      <w:r w:rsidRPr="009253FC">
        <w:rPr>
          <w:rStyle w:val="Emphasis"/>
        </w:rPr>
        <w:t>Humanae vitae</w:t>
      </w:r>
      <w:r>
        <w:rPr>
          <w:rStyle w:val="FootnoteReference"/>
          <w:i/>
          <w:iCs/>
        </w:rPr>
        <w:footnoteReference w:id="3"/>
      </w:r>
      <w:r w:rsidRPr="009253FC">
        <w:t xml:space="preserve">, który, zdaniem wielu krytyków, poprzez redukcję ludzkiej natury do integralności określonych procesów biologicznych dopuścił się naturalistycznego nieporozumienia własnej </w:t>
      </w:r>
      <w:r w:rsidRPr="009253FC">
        <w:lastRenderedPageBreak/>
        <w:t>tradycji</w:t>
      </w:r>
      <w:r>
        <w:rPr>
          <w:rStyle w:val="FootnoteReference"/>
        </w:rPr>
        <w:footnoteReference w:id="4"/>
      </w:r>
      <w:r w:rsidRPr="009253FC">
        <w:t>.</w:t>
      </w:r>
      <w:r w:rsidR="00363B58">
        <w:t xml:space="preserve"> Wobec różnych problematycznych wypaczeń, jakich myślenie o prawie naturalnym doświadczyło na przestrzeni dziejów teologii, należy przypomnieć kilka podstawowych wglądów w koncepcję </w:t>
      </w:r>
      <w:r w:rsidR="00363B58">
        <w:rPr>
          <w:rStyle w:val="Emphasis"/>
        </w:rPr>
        <w:t>lex naturalis</w:t>
      </w:r>
      <w:r w:rsidR="00363B58">
        <w:t xml:space="preserve"> u Tomasza z Akwinu, które pomimo upływu znacznego czasu wciąż wydają się zadziwiająco aktualne.</w:t>
      </w:r>
    </w:p>
    <w:p w14:paraId="7DF57CFB" w14:textId="77777777" w:rsidR="00D548DD" w:rsidRDefault="00D548DD" w:rsidP="00374F72">
      <w:pPr>
        <w:pStyle w:val="NormalWeb"/>
        <w:spacing w:before="0" w:beforeAutospacing="0" w:after="0" w:afterAutospacing="0"/>
        <w:ind w:firstLine="708"/>
        <w:jc w:val="both"/>
      </w:pPr>
    </w:p>
    <w:p w14:paraId="4DC8A87C" w14:textId="77777777" w:rsidR="00D548DD" w:rsidRPr="00374F72" w:rsidRDefault="00D548DD" w:rsidP="00374F72">
      <w:pPr>
        <w:pStyle w:val="NormalWeb"/>
        <w:numPr>
          <w:ilvl w:val="0"/>
          <w:numId w:val="1"/>
        </w:numPr>
        <w:spacing w:before="0" w:beforeAutospacing="0" w:after="0" w:afterAutospacing="0"/>
        <w:ind w:left="709" w:firstLine="0"/>
        <w:jc w:val="both"/>
        <w:rPr>
          <w:b/>
          <w:bCs/>
          <w:iCs/>
        </w:rPr>
      </w:pPr>
      <w:r w:rsidRPr="00374F72">
        <w:rPr>
          <w:b/>
          <w:bCs/>
          <w:iCs/>
        </w:rPr>
        <w:t xml:space="preserve">Podstawowe wnioski nauki o prawie </w:t>
      </w:r>
      <w:r w:rsidR="00016A3E">
        <w:rPr>
          <w:b/>
          <w:bCs/>
          <w:iCs/>
        </w:rPr>
        <w:t xml:space="preserve">naturalnym </w:t>
      </w:r>
      <w:r w:rsidRPr="00374F72">
        <w:rPr>
          <w:b/>
          <w:bCs/>
          <w:iCs/>
        </w:rPr>
        <w:t>Tomasza z Akwinu</w:t>
      </w:r>
    </w:p>
    <w:p w14:paraId="25F48E44" w14:textId="77777777" w:rsidR="00D548DD" w:rsidRPr="00D0106E" w:rsidRDefault="00D548DD" w:rsidP="00081091">
      <w:pPr>
        <w:pStyle w:val="NormalWeb"/>
        <w:spacing w:before="0" w:beforeAutospacing="0" w:after="0" w:afterAutospacing="0"/>
        <w:ind w:left="360"/>
        <w:jc w:val="both"/>
      </w:pPr>
    </w:p>
    <w:p w14:paraId="32028BCA" w14:textId="77777777" w:rsidR="005E648B" w:rsidRDefault="00D548DD" w:rsidP="00081091">
      <w:pPr>
        <w:pStyle w:val="NormalWeb"/>
        <w:spacing w:before="0" w:beforeAutospacing="0" w:after="0" w:afterAutospacing="0"/>
        <w:ind w:firstLine="708"/>
        <w:jc w:val="both"/>
      </w:pPr>
      <w:r>
        <w:t xml:space="preserve">Traktat o prawie w </w:t>
      </w:r>
      <w:r w:rsidR="00016A3E">
        <w:rPr>
          <w:rStyle w:val="Emphasis"/>
        </w:rPr>
        <w:t>Sumie Teologicznej</w:t>
      </w:r>
      <w:r>
        <w:t xml:space="preserve"> (I–II, qq. 90–108) stanowi pod tym względem szczyt scholastycznej nauki o prawie naturalnym, ponieważ Tomasz analizuje tutaj nie tylko sam analogiczny koncept prawa, lecz także związki między różnymi rodzajami prawa — wiecznym prawem Boskiej Opatrzności (</w:t>
      </w:r>
      <w:r>
        <w:rPr>
          <w:rStyle w:val="Emphasis"/>
        </w:rPr>
        <w:t>lex aeterna</w:t>
      </w:r>
      <w:r>
        <w:t>), naturalnym prawem moralnym (</w:t>
      </w:r>
      <w:r>
        <w:rPr>
          <w:rStyle w:val="Emphasis"/>
        </w:rPr>
        <w:t>lex naturalis</w:t>
      </w:r>
      <w:r>
        <w:t>), objawionym prawem Starego i Nowego Przymierza (</w:t>
      </w:r>
      <w:r>
        <w:rPr>
          <w:rStyle w:val="Emphasis"/>
        </w:rPr>
        <w:t>lex divina</w:t>
      </w:r>
      <w:r>
        <w:t>) oraz ustanowionym przez człowieka prawem pozytywnym (</w:t>
      </w:r>
      <w:r>
        <w:rPr>
          <w:rStyle w:val="Emphasis"/>
        </w:rPr>
        <w:t>lex humana</w:t>
      </w:r>
      <w:r>
        <w:t>) — w sposób tak głęboki, jak i proroczy. Już pierwszy artykuł tego traktatu stawia pytanie decydujące dla całej argumentacji, mianowicie o rozumowy charakter prawa</w:t>
      </w:r>
      <w:r w:rsidR="005E648B">
        <w:rPr>
          <w:rStyle w:val="FootnoteReference"/>
        </w:rPr>
        <w:footnoteReference w:id="5"/>
      </w:r>
      <w:r>
        <w:t>.</w:t>
      </w:r>
      <w:r w:rsidR="005E648B">
        <w:t xml:space="preserve"> Ponieważ prawo należy rozumieć jako „regułę i miarę ludzkiego postępowania”, a tę funkcję spełnia rozum praktyczny jako pierwsza zasada działania, Tomasz stwierdza programowo, że prawo jest „uporządkowaniem rozumu”</w:t>
      </w:r>
      <w:r w:rsidR="005E648B">
        <w:rPr>
          <w:rStyle w:val="FootnoteReference"/>
        </w:rPr>
        <w:footnoteReference w:id="6"/>
      </w:r>
      <w:r w:rsidR="005E648B">
        <w:t>, przy czym nie sama działalność rozumu, lecz jej rezultaty w postaci „ogólnych zdań praktycznego rozumu odnoszących się do działania”</w:t>
      </w:r>
      <w:r w:rsidR="005E648B">
        <w:rPr>
          <w:rStyle w:val="FootnoteReference"/>
        </w:rPr>
        <w:footnoteReference w:id="7"/>
      </w:r>
      <w:r w:rsidR="005E648B">
        <w:t xml:space="preserve"> mają znaczenie dla prawa. Dzięki konsekwentnej obronie związania prawa z rozumem, już na poziomie systemowego podejścia wyklucza się naturalistyczną interpretację pojęcia prawa i umożliwia syntezę chrześcijańskiej wiary w stworzenie i objawienie z teorią naukową Arystotelesa oraz stoicką nauką o </w:t>
      </w:r>
      <w:r w:rsidR="005E648B">
        <w:rPr>
          <w:rStyle w:val="Emphasis"/>
        </w:rPr>
        <w:t>oikeiosis</w:t>
      </w:r>
      <w:r w:rsidR="005E648B">
        <w:t>.</w:t>
      </w:r>
    </w:p>
    <w:p w14:paraId="26B989FE" w14:textId="77777777" w:rsidR="00B905C3" w:rsidRDefault="008B1C57" w:rsidP="00374F72">
      <w:pPr>
        <w:pStyle w:val="NormalWeb"/>
        <w:spacing w:before="0" w:beforeAutospacing="0" w:after="0" w:afterAutospacing="0"/>
        <w:ind w:firstLine="708"/>
        <w:jc w:val="both"/>
      </w:pPr>
      <w:r>
        <w:t xml:space="preserve">Współczesne badania nad Tomaszem budzą szczególnie kontrowersje w dwóch obszarach: po pierwsze w kwestii interpretacji relacji między „wiecznym” a „naturalnym prawem”, a po drugie w zakresie dokładnego określenia treści samej </w:t>
      </w:r>
      <w:r>
        <w:rPr>
          <w:rStyle w:val="Emphasis"/>
        </w:rPr>
        <w:t>lex naturalis</w:t>
      </w:r>
      <w:r>
        <w:t>. Istotne dla pierwszego problemu jest tomistyczne stwierdzenie, że prawo naturalne należy rozumieć jako „uczestnictwo” (</w:t>
      </w:r>
      <w:r>
        <w:rPr>
          <w:rStyle w:val="Emphasis"/>
        </w:rPr>
        <w:t>participatio</w:t>
      </w:r>
      <w:r>
        <w:t>) w prawie wiecznym w sensie wszechstronnej mądrości Boga</w:t>
      </w:r>
      <w:r>
        <w:rPr>
          <w:rStyle w:val="FootnoteReference"/>
        </w:rPr>
        <w:footnoteReference w:id="8"/>
      </w:r>
      <w:r>
        <w:t>.</w:t>
      </w:r>
      <w:r w:rsidR="00FD4693">
        <w:t xml:space="preserve"> Aby właściwie zrozumieć to stwierdzenie, konieczne jest uwzględnienie odmiennej funkcji rozumu teoretycznego i praktycznego oraz wyraźne rozróżnienie perspektywy ontologicznej od epistemologicznej. Wbrew interpretacji rozpowszechnionej zwłaszcza w neoscholastyce, ale spotykanej również u niektórych nowszych anglojęzycznych interpretatorów Tomasza, relacji partycypacji nie wolno błędnie rozumieć ani jako logicznego stosunku wyprowadzenia, ani jako normatywnego stosunku fundującego. Jako wynik wtórnej teologiczno-spekulatywnej interpretacji doświadczeń praktycznych cała nauka o </w:t>
      </w:r>
      <w:r w:rsidR="00FD4693">
        <w:rPr>
          <w:rStyle w:val="Emphasis"/>
        </w:rPr>
        <w:t>lex aeterna</w:t>
      </w:r>
      <w:r w:rsidR="00FD4693">
        <w:t xml:space="preserve"> oraz określenie prawa naturalnego jako uczestnictwa w prawie wiecznym należą do metafizyki działania, która jako taka «nie ma charakteru poznania praktycznego ukierunkowanego na działanie»</w:t>
      </w:r>
      <w:r w:rsidR="00FD4693">
        <w:rPr>
          <w:rStyle w:val="FootnoteReference"/>
        </w:rPr>
        <w:footnoteReference w:id="9"/>
      </w:r>
      <w:r w:rsidR="00FD4693">
        <w:t>.</w:t>
      </w:r>
      <w:r w:rsidR="00AB6847">
        <w:t xml:space="preserve"> Ponieważ dla Tomasza zobowiązanie wynikające </w:t>
      </w:r>
      <w:proofErr w:type="gramStart"/>
      <w:r w:rsidR="00AB6847">
        <w:t>z  moralnych</w:t>
      </w:r>
      <w:proofErr w:type="gramEnd"/>
      <w:r w:rsidR="00AB6847">
        <w:t xml:space="preserve"> wymagań nie polega na niczym innym, jak tylko na ich uzasadnieniu przed forum praktycznego rozumu człowieka</w:t>
      </w:r>
      <w:r w:rsidR="00AB6847">
        <w:rPr>
          <w:rStyle w:val="FootnoteReference"/>
        </w:rPr>
        <w:footnoteReference w:id="10"/>
      </w:r>
      <w:r w:rsidR="00AB6847">
        <w:t>, odwoływanie się do pojęcia Boga bądź do zależnego od niego wyobrażenia o wszechogarniającej boskiej mądrości i opatrzności okazuje się ostatecznie zbędne przy odpowiadaniu na epistemologiczne pytanie o wgląd w normatywną ważność moralnego nakazu.</w:t>
      </w:r>
      <w:r w:rsidR="009E5A10">
        <w:t xml:space="preserve"> Jak Tomasz wyraźnie stwierdza w słynnym drugim artykule </w:t>
      </w:r>
      <w:r w:rsidR="009E5A10">
        <w:rPr>
          <w:rStyle w:val="Emphasis"/>
        </w:rPr>
        <w:t>Quaestio</w:t>
      </w:r>
      <w:r w:rsidR="0037302A">
        <w:t xml:space="preserve"> 94, całkowicie poświęconym</w:t>
      </w:r>
      <w:r w:rsidR="009E5A10">
        <w:t xml:space="preserve"> analizie naturalnego prawa moralnego, rozum praktyczny dysponuje w </w:t>
      </w:r>
      <w:r w:rsidR="009E5A10">
        <w:lastRenderedPageBreak/>
        <w:t xml:space="preserve">kategorii «dobra» niepochodnym pojęciem pierwotnym, które stanowi podstawę jego najwyższej zasady </w:t>
      </w:r>
      <w:r w:rsidR="009E5A10">
        <w:rPr>
          <w:rStyle w:val="Emphasis"/>
        </w:rPr>
        <w:t>bonum est faciendum et malum vitandum</w:t>
      </w:r>
      <w:r w:rsidR="009E5A10">
        <w:t xml:space="preserve"> oraz gwarantuje autonomię etyki jako odrębnej, samodzielnej dyscypliny</w:t>
      </w:r>
      <w:r w:rsidR="009E5A10">
        <w:rPr>
          <w:rStyle w:val="FootnoteReference"/>
        </w:rPr>
        <w:footnoteReference w:id="11"/>
      </w:r>
      <w:r w:rsidR="009E5A10">
        <w:t>.</w:t>
      </w:r>
      <w:r w:rsidR="00B905C3">
        <w:t xml:space="preserve"> Niestety ta zainspirowana Arystotelesem, a dla zrozumienia praktycznego rozumu u Akwinaty kluczowa różnica perspektyw nie zawsze jest w obecnej debacie zachowywana z należytą starannością. Tak na przykład interpretacja koncepcji </w:t>
      </w:r>
      <w:r w:rsidR="00B905C3">
        <w:rPr>
          <w:rStyle w:val="Emphasis"/>
        </w:rPr>
        <w:t>lex naturalis</w:t>
      </w:r>
      <w:r w:rsidR="00B905C3">
        <w:t xml:space="preserve"> u Tomasza przedstawiona przez S. L. Brocka</w:t>
      </w:r>
      <w:r w:rsidR="00E33BF9">
        <w:rPr>
          <w:rStyle w:val="FootnoteReference"/>
        </w:rPr>
        <w:footnoteReference w:id="12"/>
      </w:r>
      <w:r w:rsidR="00B905C3">
        <w:t xml:space="preserve"> oscyluje między dwoma biegunami, które w gruncie rzeczy pozostają obok siebie bez właściwego powiązania:</w:t>
      </w:r>
    </w:p>
    <w:p w14:paraId="36EFA54C" w14:textId="77777777" w:rsidR="00EA191A" w:rsidRPr="00EA191A" w:rsidRDefault="00D47138" w:rsidP="00374F72">
      <w:pPr>
        <w:pStyle w:val="NormalWeb"/>
        <w:spacing w:before="0" w:beforeAutospacing="0" w:after="0" w:afterAutospacing="0"/>
        <w:jc w:val="both"/>
      </w:pPr>
      <w:r>
        <w:t>Z jednej strony słusznie podkreśla on, że nakazy i zakazy prawa naturalnego nie muszą być explicite rozumiane jako boskie przepisy, aby mogły funkcjonować jako prawdziwe prawo</w:t>
      </w:r>
      <w:r>
        <w:rPr>
          <w:rStyle w:val="FootnoteReference"/>
        </w:rPr>
        <w:footnoteReference w:id="13"/>
      </w:r>
      <w:r>
        <w:t>. Z drugiej strony odbiera on ludzkiej praktycznej racjonalności ponownie moc stanowienia prawa o tyle, że rola prawodawcy przysługuje wyłącznie Bogu, ponieważ ludzki rozum nie może nakazać własnej zgody na odpowiednie przepisy prawa naturalnego, a ich prawdziwość i moc regulacyjną ostatecznie gwarantuje jedynie prawo wieczne</w:t>
      </w:r>
      <w:r>
        <w:rPr>
          <w:rStyle w:val="FootnoteReference"/>
        </w:rPr>
        <w:footnoteReference w:id="14"/>
      </w:r>
      <w:r>
        <w:t>. W ten sposób osłabia się istotę tomaszowej argumentacji, ponieważ rozum praktyczny traci zdolność samodzielnego uzasadnienia — w sensie epistemologicznym, a więc w odniesieniu do wglądu w normatywne racje przemawiające za słusznością lub błędnością określonego sposobu działania. Taki pogląd stoi nie tylko w sprzeczności z praktycznym samo-doświadczeniem człowieka oraz ze specyficznym ‘magnetyzmem’ naszej praktyki wydawania ocen normatywnych, lecz także grozi chybieniem właściwego, teologicznego sensu tomaszowej idei partycypacji. Sedno tego polega nie na tym, aby rzekomo brakującą normatywną moc praktycznych ocen rozumu człowieka rekompensować poprzez odwołanie się do wszechmocnego, boskiego prawodawcy ani podnosić stopień obowiązywania naturalnych wglądów w wymogi moralne, lecz raczej na tym, aby praktyczne samo-porzucenie człowieka osadzić w kontekście teologicznym stworzenia i uzupełnić horyzontalny wymiar ludzkiej odpowiedzialności wobec współistotnych stworzeń o wymiar wertykalny.</w:t>
      </w:r>
      <w:r w:rsidR="00EA191A">
        <w:t xml:space="preserve"> </w:t>
      </w:r>
      <w:r w:rsidR="00EA191A" w:rsidRPr="00EA191A">
        <w:rPr>
          <w:rStyle w:val="Strong"/>
          <w:b w:val="0"/>
        </w:rPr>
        <w:t>Podążając za tymi normatywnymi racjami, które jego praktyczny rozum przedstawia mu jako istotne dla działania, człowiek nie tylko spełnia wymagania powszechnie obowiązującego naturalnego prawa moralnego. Może on także — o ile czuje się zobowiązany do teistycznej interpretacji rzeczywistości — ufać, że w ten sposób odpowiada woli Boga względem swojego działania, co zwłaszcza w trudnych sytuacjach decyzyjnych może mieć dla ludzkiego poczucia sensu znaczenie trudne do przecenienia.</w:t>
      </w:r>
    </w:p>
    <w:p w14:paraId="22A52E27" w14:textId="77777777" w:rsidR="009142B0" w:rsidRDefault="009142B0" w:rsidP="00374F72">
      <w:pPr>
        <w:pStyle w:val="NormalWeb"/>
        <w:spacing w:before="0" w:beforeAutospacing="0" w:after="0" w:afterAutospacing="0"/>
        <w:ind w:firstLine="708"/>
        <w:jc w:val="both"/>
      </w:pPr>
      <w:r>
        <w:t xml:space="preserve">Kategoria „dobra” jako pierwszy pojęciowy element rozumu praktycznego okazuje się jednak nie tylko z zasadniczych względów metodologicznych niezwykle istotna dla tomaszowej teorii moralnej, lecz ma także kluczowe znaczenie dla drugiego poruszonego problemu, a mianowicie dla treściowego określenia naturalnego prawa moralnego. Jeśli interpretuje się krótkie uwagi zawarte w </w:t>
      </w:r>
      <w:r>
        <w:rPr>
          <w:rStyle w:val="Emphasis"/>
        </w:rPr>
        <w:t>S.th.</w:t>
      </w:r>
      <w:r>
        <w:t xml:space="preserve"> I–II, q. 94, a. 2 na tle jego nauki o „koniecznej” </w:t>
      </w:r>
      <w:r>
        <w:lastRenderedPageBreak/>
        <w:t>bądź „naturalnej woli” człowieka, która stanowi spoiwo między jego nauką o szczęściu, działaniu i prawie naturalnym</w:t>
      </w:r>
      <w:r>
        <w:rPr>
          <w:rStyle w:val="FootnoteReference"/>
        </w:rPr>
        <w:footnoteReference w:id="15"/>
      </w:r>
      <w:r>
        <w:t xml:space="preserve">, to wyłania się mniej więcej następujący obraz: Tomasz rozumie przez </w:t>
      </w:r>
      <w:r>
        <w:rPr>
          <w:rStyle w:val="Emphasis"/>
        </w:rPr>
        <w:t>bonum</w:t>
      </w:r>
      <w:r>
        <w:t xml:space="preserve">, które jako pierwszy pojęciowy element rozumu praktycznego jest spontanicznie rozpoznawane i chciane przez wszystkich ludzi, </w:t>
      </w:r>
      <w:r>
        <w:rPr>
          <w:rStyle w:val="Emphasis"/>
        </w:rPr>
        <w:t>bonum simpliciter</w:t>
      </w:r>
      <w:r>
        <w:t xml:space="preserve">, czyli tak zwane „dobro po prostu” człowieka. Pojęcie to łączy w sobie ideę wszechstronnej realizacji „najwyższej możności bytu” człowieka, osiąganej poprzez rozumne działanie, rozumianej jako optymalne rozwinięcie podstawowych ludzkich zdolności konstytutywnych dla udanego życia. Ma ono więc złożoną, choć jedynie abstrakcyjnie określoną treść, która pokrywa się z </w:t>
      </w:r>
      <w:r>
        <w:rPr>
          <w:rStyle w:val="Emphasis"/>
        </w:rPr>
        <w:t>ratio communis</w:t>
      </w:r>
      <w:r>
        <w:t xml:space="preserve"> pojęcia szczęścia. Mimo że wymaga dalszego doprecyzowania, pojęcie „dobra”, które należy osiągać i które naturalnie jest już zawsze chciane, stanowi zatem kategorię o istotnej treści, ukazującą wyraźnie, że tomaszowa teoria prawa naturalnego opiera się na silnym założeniu perfekcjonistycznym.</w:t>
      </w:r>
    </w:p>
    <w:p w14:paraId="35E843F8" w14:textId="77777777" w:rsidR="00660DFE" w:rsidRDefault="00627071" w:rsidP="00374F72">
      <w:pPr>
        <w:pStyle w:val="NormalWeb"/>
        <w:spacing w:before="0" w:beforeAutospacing="0" w:after="0" w:afterAutospacing="0"/>
        <w:ind w:firstLine="708"/>
        <w:jc w:val="both"/>
      </w:pPr>
      <w:r>
        <w:t xml:space="preserve">W ruchu myślowym „zstępującym” Tomasz stara się wyjaśnić związek pomiędzy „dobrem po prostu” a różnymi poszczególnymi dobrami cząstkowymi, na które ukierunkowane są podstawowe ludzkie dążenia. Do sklasyfikowania tych tak zwanych </w:t>
      </w:r>
      <w:r>
        <w:rPr>
          <w:rStyle w:val="Emphasis"/>
        </w:rPr>
        <w:t>inclinationes naturales</w:t>
      </w:r>
      <w:r>
        <w:t xml:space="preserve"> posługuje się trójczłonowym modelem stopniowym antycznej filozofii przyrody, ujmującym człowieka kolejno jako zwykłą substancję, następnie jako ożywioną istotę zmysłową, i wreszcie jako specyficzną istotę rozumną. Naturalne skłonności wskazują na wielość elementarnych dóbr, których zabezpieczenie przejmują poszczególne nakazy prawa naturalnego. Właściwa interpretacja relacji między </w:t>
      </w:r>
      <w:r>
        <w:rPr>
          <w:rStyle w:val="Emphasis"/>
        </w:rPr>
        <w:t>ratio practica</w:t>
      </w:r>
      <w:r>
        <w:t xml:space="preserve"> a </w:t>
      </w:r>
      <w:r>
        <w:rPr>
          <w:rStyle w:val="Emphasis"/>
        </w:rPr>
        <w:t>inclinationes naturales</w:t>
      </w:r>
      <w:r>
        <w:t xml:space="preserve"> musi unikać dwóch komplementarnych skrajności: z jednej strony racjonalizmu, z drugiej – naturalizmu.</w:t>
      </w:r>
      <w:r w:rsidR="00CA3E94">
        <w:t xml:space="preserve"> </w:t>
      </w:r>
      <w:r w:rsidR="00CA3E94" w:rsidRPr="00CA3E94">
        <w:t xml:space="preserve">Nie jest dopuszczalne racjonalistyczne </w:t>
      </w:r>
      <w:r w:rsidR="00CA3E94">
        <w:t>degradowanie</w:t>
      </w:r>
      <w:r w:rsidR="00CA3E94" w:rsidRPr="00CA3E94">
        <w:t xml:space="preserve"> naturalnych skłonności do amorficznej, nieograniczonej plastyczności materii, podobnie jak nieprzekonująca jest naturalistyczna próba </w:t>
      </w:r>
      <w:r w:rsidR="00CA3E94">
        <w:t>zredukowania</w:t>
      </w:r>
      <w:r w:rsidR="00CA3E94" w:rsidRPr="00CA3E94">
        <w:t xml:space="preserve"> praktycznego rozumu do roli zwykłego organu odczytującego lub instancji ratyfikującej naturalne </w:t>
      </w:r>
      <w:r w:rsidR="00CA3E94">
        <w:t>dane</w:t>
      </w:r>
      <w:r w:rsidR="00CA3E94" w:rsidRPr="00CA3E94">
        <w:t>.</w:t>
      </w:r>
      <w:r w:rsidR="00CA3E94">
        <w:t xml:space="preserve"> Specyfika tomaszowej teorii prawa naturalnego polega raczej na tym, że nie przeciwstawia ona natury rozumnej i cielesno-fizycznego wymiaru ludzkiego istnienia, lecz ujmuje je we wzajemnym powiązaniu. Ta integrująca perspektywa prowadzi do wyobrażenia „natury” jako horyzontu całościowego ludzkiego spełnienia, zawsze już zakładanego w praktycznej samorealizacji człowieka, horyzontu ogólnie zarysowanego, który ogranicza przestrzeń poszczególnych decyzji działania i wskazuje kierunek konkretnemu postępowaniu. Obraz „horyzontu” wydaje się odpowiedni, aby wyrazić zarówno niearbitralność </w:t>
      </w:r>
      <w:r w:rsidR="00CA3E94">
        <w:rPr>
          <w:rStyle w:val="Emphasis"/>
        </w:rPr>
        <w:t>inclinationes naturales</w:t>
      </w:r>
      <w:r w:rsidR="00CA3E94">
        <w:t>, jak i otwartość na kształtowanie pól działania, które przez nie zostają zarysowane</w:t>
      </w:r>
      <w:r w:rsidR="00CA3E94">
        <w:rPr>
          <w:rStyle w:val="FootnoteReference"/>
        </w:rPr>
        <w:footnoteReference w:id="16"/>
      </w:r>
      <w:r w:rsidR="00CA3E94">
        <w:t>.</w:t>
      </w:r>
      <w:r w:rsidR="00660DFE">
        <w:t xml:space="preserve"> </w:t>
      </w:r>
      <w:r w:rsidR="00660DFE" w:rsidRPr="00660DFE">
        <w:rPr>
          <w:rStyle w:val="Strong"/>
          <w:b w:val="0"/>
        </w:rPr>
        <w:t>Do rozumu praktycznego należy dalsze kształtowanie tego horyzontu poprzez to, że konkretyzuje on różne podstawowe skłonności w określony projekt działania, integruje je w spójny kontekst działania, pośredniczy między sprzecznymi celami skłonności, koryguje tendencje niedostateczne lub wypaczone i w ten sposób — na fundamencie różnorodnych, gatunkowo specyficznych dyspozycji — buduje indywidualnie adekwatną i odpowiednią do sytuacji strukturę działania.</w:t>
      </w:r>
      <w:r w:rsidR="00660DFE">
        <w:t xml:space="preserve"> </w:t>
      </w:r>
      <w:r w:rsidR="00660DFE" w:rsidRPr="00660DFE">
        <w:rPr>
          <w:rStyle w:val="Strong"/>
          <w:b w:val="0"/>
        </w:rPr>
        <w:t>Rolę rozumu praktycznego w takim antropologiczno-praktycznym ujęciu natury można najlepiej porównać do funkcji moderatorki lub architektki, która z jednej strony jest zdana na określone dane i założenia, z drugiej zaś musi wobec nich realizować twórcze zadanie kształtowania</w:t>
      </w:r>
      <w:r w:rsidR="00660DFE">
        <w:rPr>
          <w:rStyle w:val="FootnoteReference"/>
          <w:bCs/>
        </w:rPr>
        <w:footnoteReference w:id="17"/>
      </w:r>
      <w:r w:rsidR="00660DFE" w:rsidRPr="00660DFE">
        <w:rPr>
          <w:rStyle w:val="Strong"/>
          <w:b w:val="0"/>
        </w:rPr>
        <w:t>.</w:t>
      </w:r>
      <w:r w:rsidR="00E27A27">
        <w:t xml:space="preserve"> Co prawda Tomasz słusznie zauważa, że podatność poszczególnych operacji rozumu na błędy wzrasta wraz z rosnącą konkretyzacją jego sądów</w:t>
      </w:r>
      <w:r w:rsidR="00E27A27">
        <w:rPr>
          <w:rStyle w:val="FootnoteReference"/>
        </w:rPr>
        <w:footnoteReference w:id="18"/>
      </w:r>
      <w:r w:rsidR="00E27A27">
        <w:t xml:space="preserve">, jednak ogólnie wykazuje on niewielkie zainteresowanie precyzyjnym określeniem dokładnych granic </w:t>
      </w:r>
      <w:r w:rsidR="00E27A27">
        <w:lastRenderedPageBreak/>
        <w:t>wielopoziomowego w sobie prawa naturalnego (</w:t>
      </w:r>
      <w:r w:rsidR="00E27A27">
        <w:rPr>
          <w:rStyle w:val="Emphasis"/>
        </w:rPr>
        <w:t>lex naturalis</w:t>
      </w:r>
      <w:r w:rsidR="00E27A27">
        <w:t>).</w:t>
      </w:r>
      <w:r w:rsidR="00D64C63">
        <w:t xml:space="preserve"> Podczas gdy podstawowe podejście poznawcze oraz kluczowa dla tomaszowej teorii prawa naturalnego bipolarna struktura </w:t>
      </w:r>
      <w:r w:rsidR="00D64C63">
        <w:rPr>
          <w:rStyle w:val="Emphasis"/>
        </w:rPr>
        <w:t>ratio practica</w:t>
      </w:r>
      <w:r w:rsidR="00D64C63">
        <w:t xml:space="preserve"> i </w:t>
      </w:r>
      <w:r w:rsidR="00D64C63">
        <w:rPr>
          <w:rStyle w:val="Emphasis"/>
        </w:rPr>
        <w:t>inclinationes naturales</w:t>
      </w:r>
      <w:r w:rsidR="00D64C63">
        <w:t xml:space="preserve"> z ich zakorzenieniem w całościowej antropologii nie straciły do dziś wiele na aktualności, inne elementy jego konkretnej konstrukcji </w:t>
      </w:r>
      <w:proofErr w:type="gramStart"/>
      <w:r w:rsidR="00D64C63">
        <w:t>teoretycznej,  w</w:t>
      </w:r>
      <w:proofErr w:type="gramEnd"/>
      <w:r w:rsidR="00D64C63">
        <w:t xml:space="preserve"> szczególności silny intuicjonizm jego epistemologii, wymagają krytycznego przeglądu, aby mogły sprostać wymaganiom współczesnej (meta-)etyki.</w:t>
      </w:r>
    </w:p>
    <w:p w14:paraId="2A84449B" w14:textId="77777777" w:rsidR="000E7CDB" w:rsidRDefault="000E7CDB" w:rsidP="00374F72">
      <w:pPr>
        <w:pStyle w:val="NormalWeb"/>
        <w:spacing w:before="0" w:beforeAutospacing="0" w:after="0" w:afterAutospacing="0"/>
        <w:ind w:firstLine="708"/>
        <w:jc w:val="both"/>
      </w:pPr>
    </w:p>
    <w:p w14:paraId="2F48BB09" w14:textId="77777777" w:rsidR="000E7CDB" w:rsidRPr="00374F72" w:rsidRDefault="000E7CDB" w:rsidP="00374F72">
      <w:pPr>
        <w:pStyle w:val="NormalWeb"/>
        <w:numPr>
          <w:ilvl w:val="0"/>
          <w:numId w:val="1"/>
        </w:numPr>
        <w:ind w:left="709" w:firstLine="0"/>
        <w:jc w:val="both"/>
        <w:rPr>
          <w:b/>
          <w:bCs/>
          <w:iCs/>
        </w:rPr>
      </w:pPr>
      <w:r w:rsidRPr="00374F72">
        <w:rPr>
          <w:b/>
          <w:bCs/>
          <w:iCs/>
        </w:rPr>
        <w:t>Postulaty dotyczące aktualizacji dziedzictwa prawa naturalnego</w:t>
      </w:r>
    </w:p>
    <w:p w14:paraId="143C221D" w14:textId="77777777" w:rsidR="00374F72" w:rsidRDefault="00311BC2" w:rsidP="00374F72">
      <w:pPr>
        <w:pStyle w:val="NormalWeb"/>
        <w:spacing w:before="0" w:beforeAutospacing="0" w:after="0" w:afterAutospacing="0"/>
        <w:ind w:firstLine="708"/>
        <w:jc w:val="both"/>
      </w:pPr>
      <w:r>
        <w:t>Modele teoretyczne prawa naturalnego wyróżniają się systematycznie przede wszystkim trzema cechami: po pierwsze, przez swoje przywiązanie do kognitywizmu w etyce normatywnej; po drugie, przez swój przedmiot dotyczący etyki sprawiedliwości; po trzecie, przez personalno-antynaturalistyczne ukierunkowanie swojego teleologicznego rozumienia natury.</w:t>
      </w:r>
    </w:p>
    <w:p w14:paraId="61F55DD8" w14:textId="77777777" w:rsidR="00374F72" w:rsidRDefault="001F51AF" w:rsidP="00374F72">
      <w:pPr>
        <w:pStyle w:val="NormalWeb"/>
        <w:spacing w:before="0" w:beforeAutospacing="0" w:after="0" w:afterAutospacing="0"/>
        <w:ind w:firstLine="708"/>
        <w:jc w:val="both"/>
      </w:pPr>
      <w:r w:rsidRPr="001F51AF">
        <w:t>Kognitywizm charakterystyczny dla prawa naturalnego polega na tym, że poszczególne wymagania moralne są rozumiane jako podstawowe spostrzeżenia naturalnego</w:t>
      </w:r>
      <w:r>
        <w:t xml:space="preserve"> </w:t>
      </w:r>
      <w:r w:rsidRPr="001F51AF">
        <w:t>rozumu praktycznego. Aby spełnić związane z tym uniwersalne roszczenia dotyczące prawdy i ważności, teorie prawa naturalnego</w:t>
      </w:r>
      <w:r>
        <w:t xml:space="preserve"> </w:t>
      </w:r>
      <w:r w:rsidRPr="001F51AF">
        <w:t>nie są w żadnym wypadku uzależnione od silnych intuicyjnych przesłanek. Zamiast tego mogą one również uwzględniać bardziej złożone epistemologiczne modele uzasadnienia,</w:t>
      </w:r>
      <w:r>
        <w:t xml:space="preserve"> </w:t>
      </w:r>
      <w:r w:rsidRPr="001F51AF">
        <w:t>na przykład oparte na teorii spójności, które poprzez integrację</w:t>
      </w:r>
      <w:r>
        <w:t xml:space="preserve"> </w:t>
      </w:r>
      <w:r w:rsidRPr="001F51AF">
        <w:t>empirycznych spostrzeżeń i refleksji dotyczących etyki zasadniczej lepiej uwzględniają histo</w:t>
      </w:r>
      <w:r>
        <w:t>ryczną warunkowość osiągniętego</w:t>
      </w:r>
      <w:r w:rsidR="002A13C2">
        <w:t xml:space="preserve"> </w:t>
      </w:r>
      <w:r w:rsidRPr="001F51AF">
        <w:t>stanu wiedzy na temat natury człowieka</w:t>
      </w:r>
      <w:r>
        <w:t>, zbliżając się w ten sposób do</w:t>
      </w:r>
      <w:r w:rsidR="002A13C2">
        <w:t xml:space="preserve"> </w:t>
      </w:r>
      <w:r w:rsidRPr="001F51AF">
        <w:t>epistemologicznego</w:t>
      </w:r>
      <w:r w:rsidR="002A13C2">
        <w:t xml:space="preserve"> ideału</w:t>
      </w:r>
      <w:r w:rsidRPr="001F51AF">
        <w:t xml:space="preserve"> „refleksyjnej równowagi”. </w:t>
      </w:r>
    </w:p>
    <w:p w14:paraId="1D1E00DC" w14:textId="77777777" w:rsidR="00374F72" w:rsidRDefault="00A6363F" w:rsidP="00374F72">
      <w:pPr>
        <w:pStyle w:val="NormalWeb"/>
        <w:spacing w:before="0" w:beforeAutospacing="0" w:after="0" w:afterAutospacing="0"/>
        <w:ind w:firstLine="708"/>
        <w:jc w:val="both"/>
      </w:pPr>
      <w:r>
        <w:t>Treść modeli teoretycznych prawa naturalnego koncentruje się na zapewnieniu podstawowych wymogów sprawiedliwości, które wynikają częściowo z indywidualnej, a częściowo także społecznej natury człowieka. W kontekście konieczności</w:t>
      </w:r>
      <w:r w:rsidR="00B02C84">
        <w:t xml:space="preserve"> </w:t>
      </w:r>
      <w:r>
        <w:t>ochrony samodzielnego kształtowania życia przez jednostkę wymogi prawa naturalnego można zrekonstruować w nowoczesny sposób jako minimum praw człowieka. Chociaż starożytne i średniowieczne warianty prawa naturalnego są nadal związane z obiektywną ideą ordo, która nie koncentruje się na jednostce, ale jest ukierunkowana na ochronę d</w:t>
      </w:r>
      <w:r w:rsidR="00B02C84">
        <w:t>obra wspólnego (</w:t>
      </w:r>
      <w:r w:rsidR="00B02C84" w:rsidRPr="00374F72">
        <w:rPr>
          <w:i/>
          <w:iCs/>
        </w:rPr>
        <w:t>bonum commune</w:t>
      </w:r>
      <w:r w:rsidR="00374F72">
        <w:t>)</w:t>
      </w:r>
      <w:r w:rsidR="00B02C84">
        <w:rPr>
          <w:rStyle w:val="FootnoteReference"/>
        </w:rPr>
        <w:footnoteReference w:id="19"/>
      </w:r>
      <w:r>
        <w:t>, przygotowują one nowoczesny zwrot w kierunku podmiotu i idei niezbywalnych praw jednostki, zwłaszcza wobec władz państwowych, w tym sensie, że nakładają one określone ograniczenia deontologiczne na sprawowanie władzy politycznej</w:t>
      </w:r>
      <w:r w:rsidR="00B02C84">
        <w:rPr>
          <w:rStyle w:val="FootnoteReference"/>
        </w:rPr>
        <w:footnoteReference w:id="20"/>
      </w:r>
      <w:r w:rsidR="00B02C84">
        <w:t>.</w:t>
      </w:r>
      <w:r w:rsidR="004B04B5">
        <w:t xml:space="preserve"> Nakazy i zakazy prawa naturalnego służą ostatecznie ochronie indywidualnego dostępu do podstawowych dóbr, bez których pomyślny rozwój człowieka jest po prostu niemożliwy, i tym samym wyznaczają absolutną granicę wszelkiemu czysto utylitarystycznemu myśleniu</w:t>
      </w:r>
      <w:r w:rsidR="004B04B5">
        <w:rPr>
          <w:rStyle w:val="FootnoteReference"/>
        </w:rPr>
        <w:footnoteReference w:id="21"/>
      </w:r>
      <w:r w:rsidR="004B04B5">
        <w:t>.</w:t>
      </w:r>
      <w:r w:rsidR="00B13110">
        <w:t xml:space="preserve"> </w:t>
      </w:r>
      <w:r w:rsidR="00B13110" w:rsidRPr="00B13110">
        <w:rPr>
          <w:rStyle w:val="Strong"/>
          <w:b w:val="0"/>
        </w:rPr>
        <w:t>Ponadto wymagania prawa naturalnego dotyczą również innej, ponadindywidualnej sfery. Ponieważ człowiek jako istota wspólnotowa może rozwijać się jedynie w relacjach społecznych, a w nowoczesnych społeczeństwach z reguły spotykają się różne religijne i świeckie światopoglądy, konieczne są także sprawiedliwe reguły gry dotyczące dostępu do przestrzeni publicznej deliberacji w sprawach, które – na przykład w ramach procesu legislacyjnego – mają istotny wpływ na możliwości działania ludzi.</w:t>
      </w:r>
      <w:r w:rsidR="0050658D">
        <w:t xml:space="preserve"> Ze względu na </w:t>
      </w:r>
      <w:r w:rsidR="0050658D">
        <w:lastRenderedPageBreak/>
        <w:t>niebezpieczeństwo nadmiernego zawężenia możliwości udziału w dyskursie politycznym wskutek partykularnych interesów poszczególnych grup lub ideologicznych wpływów, nie dziwi fakt, że debata dotycząca tak zwanej „publicznej racjonalności” stała się obecnie – obok ogólnego dyskursu praw człowieka – kolejnym punktem krystalizacji myślenia w duchu prawa naturalnego</w:t>
      </w:r>
      <w:r w:rsidR="00912369">
        <w:rPr>
          <w:rStyle w:val="FootnoteReference"/>
        </w:rPr>
        <w:footnoteReference w:id="22"/>
      </w:r>
      <w:r w:rsidR="0050658D">
        <w:t>.</w:t>
      </w:r>
    </w:p>
    <w:p w14:paraId="2313C626" w14:textId="77777777" w:rsidR="00374F72" w:rsidRDefault="00912369" w:rsidP="00374F72">
      <w:pPr>
        <w:pStyle w:val="NormalWeb"/>
        <w:spacing w:before="0" w:beforeAutospacing="0" w:after="0" w:afterAutospacing="0"/>
        <w:ind w:firstLine="708"/>
        <w:jc w:val="both"/>
      </w:pPr>
      <w:r>
        <w:t>Trzecia cecha charakterystyczna podejść opartych na prawie naturalnym polega na specyficznie personalistycznej interpretacji ich teleologicznego rozumienia natury. Choć myśl o rozwiniętej indywidualnej naturze człowieka była w przeszłości często łączona z przesa</w:t>
      </w:r>
      <w:r w:rsidR="00374F72">
        <w:t>dnym esencjalizmem</w:t>
      </w:r>
      <w:r>
        <w:t>, to jednak wobec jej nieuniknionych ontologicznych implikacji istnieją – na przykład w ślad za współczesnymi koncepcjami zdolności (</w:t>
      </w:r>
      <w:r w:rsidRPr="00374F72">
        <w:rPr>
          <w:i/>
          <w:iCs/>
        </w:rPr>
        <w:t>capability approach</w:t>
      </w:r>
      <w:r>
        <w:t>) – różne możliwości zastąpienia tradycyjnie silnego perfekcjonizmu klasycznego arystotelizmu i tomizmu bardziej umiarkowanymi i pluralistycznymi koncepcjami, które mają rozwiązać problem teleologii</w:t>
      </w:r>
      <w:r w:rsidR="002F4C59">
        <w:rPr>
          <w:rStyle w:val="FootnoteReference"/>
        </w:rPr>
        <w:footnoteReference w:id="23"/>
      </w:r>
      <w:r>
        <w:t>.</w:t>
      </w:r>
    </w:p>
    <w:p w14:paraId="48A56B8F" w14:textId="77777777" w:rsidR="003975B5" w:rsidRDefault="003975B5" w:rsidP="00374F72">
      <w:pPr>
        <w:pStyle w:val="NormalWeb"/>
        <w:spacing w:before="0" w:beforeAutospacing="0" w:after="0" w:afterAutospacing="0"/>
        <w:ind w:firstLine="708"/>
        <w:jc w:val="both"/>
      </w:pPr>
      <w:r>
        <w:t xml:space="preserve">W ten sposób można zapewne stworzyć alternatywę zarówno wobec tzw. </w:t>
      </w:r>
      <w:r>
        <w:rPr>
          <w:rStyle w:val="Emphasis"/>
        </w:rPr>
        <w:t>new natural law theory</w:t>
      </w:r>
      <w:r>
        <w:t xml:space="preserve"> Johna Finnisa i Germaina Griseza, która rezygnację z ontologicznie nasyconego pojęcia natury </w:t>
      </w:r>
      <w:r w:rsidR="005B6956">
        <w:t>na rzecz</w:t>
      </w:r>
      <w:r>
        <w:t xml:space="preserve"> silnie </w:t>
      </w:r>
      <w:r w:rsidR="005B6956">
        <w:t>ewidencyjnej interpretacji</w:t>
      </w:r>
      <w:r>
        <w:t xml:space="preserve"> różnych dóbr </w:t>
      </w:r>
      <w:r w:rsidR="005B6956">
        <w:t>indywidualnych</w:t>
      </w:r>
      <w:r w:rsidR="00D81070">
        <w:rPr>
          <w:rStyle w:val="FootnoteReference"/>
        </w:rPr>
        <w:footnoteReference w:id="24"/>
      </w:r>
      <w:r>
        <w:t xml:space="preserve">, jak i wobec przeciwnego skrajnego stanowiska – racjonalistycznie nieograniczonej ideologii samostanowienia o autonomistycznej proweniencji. Oba te podejścia prowadzą bowiem, choć z różnych powodów, do poważnych problemów </w:t>
      </w:r>
      <w:r w:rsidR="005B6956">
        <w:t>następczych</w:t>
      </w:r>
      <w:r>
        <w:t>.</w:t>
      </w:r>
    </w:p>
    <w:p w14:paraId="0D1C18EE" w14:textId="77777777" w:rsidR="00326932" w:rsidRPr="00DE3C1D" w:rsidRDefault="00326932" w:rsidP="00326932">
      <w:pPr>
        <w:pStyle w:val="Textbody"/>
        <w:ind w:left="10"/>
        <w:jc w:val="right"/>
        <w:rPr>
          <w:i/>
          <w:iCs/>
        </w:rPr>
      </w:pPr>
      <w:r>
        <w:rPr>
          <w:i/>
          <w:iCs/>
        </w:rPr>
        <w:t>Z języka niemieckiego tłumaczyła Anna Buczniewska</w:t>
      </w:r>
    </w:p>
    <w:p w14:paraId="09F51CFC" w14:textId="77777777" w:rsidR="00697E0A" w:rsidRDefault="00FF03B4" w:rsidP="00697E0A">
      <w:pPr>
        <w:pStyle w:val="NormalWeb"/>
        <w:spacing w:after="0"/>
        <w:jc w:val="both"/>
      </w:pPr>
      <w:r>
        <w:rPr>
          <w:b/>
        </w:rPr>
        <w:t xml:space="preserve">Nota o Autorze: </w:t>
      </w:r>
      <w:r w:rsidR="00697E0A">
        <w:rPr>
          <w:b/>
        </w:rPr>
        <w:t>Franz-Josef Bormann -</w:t>
      </w:r>
      <w:r w:rsidR="00697E0A" w:rsidRPr="00697E0A">
        <w:t xml:space="preserve"> </w:t>
      </w:r>
      <w:r w:rsidR="00697E0A">
        <w:t>urodzony 27 lutego 1965 w Hildesheim.</w:t>
      </w:r>
      <w:r w:rsidR="00697E0A" w:rsidRPr="00FF03B4">
        <w:t xml:space="preserve"> </w:t>
      </w:r>
      <w:r w:rsidR="00697E0A">
        <w:t>Niemiecki teolog moralny</w:t>
      </w:r>
      <w:r w:rsidR="00697E0A" w:rsidRPr="00FF03B4">
        <w:t xml:space="preserve"> i </w:t>
      </w:r>
      <w:r w:rsidR="00697E0A">
        <w:t>prezbite</w:t>
      </w:r>
      <w:r w:rsidR="00805DA3">
        <w:t>r Kościoła Rzymskokatolickiego.</w:t>
      </w:r>
      <w:r w:rsidR="00697E0A" w:rsidRPr="00FF03B4">
        <w:t xml:space="preserve"> Jest ekspertem w dziedzinie teologii moralnej Tomasza z Akwinu i znanym w kręgach fachowych ze swoich badań nad prawem naturalnym. Po maturze rozpoczął w 1984 roku studia filozofii i teologii katolickiej w Wyższej Szkole Filozoficzno-Teologicznej Sankt Georgen we Frankfurcie, które ukończył w 1986 roku z tytułem licencjata filozofii</w:t>
      </w:r>
      <w:r w:rsidR="00697E0A">
        <w:t>. Kontynuował</w:t>
      </w:r>
      <w:r w:rsidR="00697E0A" w:rsidRPr="00FF03B4">
        <w:t xml:space="preserve"> studia na Uniwersytecie w Monachium oraz w Wyższej Szkole Filozoficznej w Monachium. Tu zakończył swoje studia filozoficzne w 1988 roku tytułem Magister Artium z filozofii i zdobył nagrodę im. Alfreda Delpa za swoją pracę dyplomową. Od 1988 do 1991 roku s</w:t>
      </w:r>
      <w:r w:rsidR="00805DA3">
        <w:t>tudiował teologię katolicką</w:t>
      </w:r>
      <w:r w:rsidR="00697E0A" w:rsidRPr="00FF03B4">
        <w:t xml:space="preserve"> na Papieskim Uniwersytecie Gregoriańskim w Rzymie, ko</w:t>
      </w:r>
      <w:r w:rsidR="00805DA3">
        <w:t>ńcząc je</w:t>
      </w:r>
      <w:r w:rsidR="00697E0A" w:rsidRPr="00FF03B4">
        <w:t xml:space="preserve"> licencjatem z teologii katolickiej. Następnie od</w:t>
      </w:r>
      <w:r w:rsidR="00805DA3">
        <w:t>był roczne studia podyplomowe w</w:t>
      </w:r>
      <w:r w:rsidR="00697E0A" w:rsidRPr="00FF03B4">
        <w:t xml:space="preserve"> Wyższej Szkole Filozoficznej w Monachium, a od 1992 do 1995 roku poszerzał swoją wiedzę w ramach kolejnych studiów podyplomowych w Wyższej Szkole Filozoficzno-Teologicznej Sankt Georgen. W ramach tych studiów został również przyjęty do programu wsparcia dla doktorantów Fundacji Cusanuswerk.</w:t>
      </w:r>
      <w:r w:rsidR="00697E0A">
        <w:t xml:space="preserve"> W </w:t>
      </w:r>
      <w:r w:rsidR="00697E0A" w:rsidRPr="00FF03B4">
        <w:t>1998 rok</w:t>
      </w:r>
      <w:r w:rsidR="00805DA3">
        <w:t>u uzyskał doktorat z teologii w</w:t>
      </w:r>
      <w:r w:rsidR="00697E0A" w:rsidRPr="00FF03B4">
        <w:t xml:space="preserve"> Wyższej Szkole Filozofi</w:t>
      </w:r>
      <w:r w:rsidR="00697E0A">
        <w:t xml:space="preserve">czno-Teologicznej Sankt Georgen. </w:t>
      </w:r>
      <w:r w:rsidR="00697E0A" w:rsidRPr="00FF03B4">
        <w:t xml:space="preserve">W latach 2002-2003 pogłębił swoje studia jako Visiting Scholar na Uniwersytecie Harvarda (Wydział Filozofii) oraz w Boston College (Wydział Filozofii), a </w:t>
      </w:r>
      <w:r w:rsidR="00697E0A" w:rsidRPr="00FF03B4">
        <w:lastRenderedPageBreak/>
        <w:t xml:space="preserve">habilitację ukończył w 2005 roku. W tym samym roku objął katedrę teologii moralnej i etyki na Wydziale Teologicznym w Paderborn. Od semestru letniego 2008 roku został mianowany na katedrę teologii moralnej na Wydziale Teologii Katolickiej Uniwersytetu w Tybindze. </w:t>
      </w:r>
    </w:p>
    <w:p w14:paraId="1B659DB5" w14:textId="77777777" w:rsidR="00697E0A" w:rsidRPr="00D0106E" w:rsidRDefault="00697E0A" w:rsidP="00697E0A">
      <w:pPr>
        <w:pStyle w:val="NormalWeb"/>
        <w:spacing w:after="0"/>
        <w:jc w:val="both"/>
        <w:rPr>
          <w:b/>
          <w:bCs/>
          <w:lang w:val="en-US"/>
        </w:rPr>
      </w:pPr>
      <w:r w:rsidRPr="00D0106E">
        <w:rPr>
          <w:b/>
          <w:bCs/>
          <w:lang w:val="en-US"/>
        </w:rPr>
        <w:t>Bibliografia:</w:t>
      </w:r>
    </w:p>
    <w:p w14:paraId="245FD809" w14:textId="77777777" w:rsidR="001350EC" w:rsidRPr="001350EC" w:rsidRDefault="001350EC" w:rsidP="001350EC">
      <w:pPr>
        <w:pStyle w:val="FootnoteText"/>
        <w:ind w:left="1134" w:hanging="1134"/>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Angier T., Benson I.T., Retter M.D. (red.), </w:t>
      </w:r>
      <w:r w:rsidRPr="001350EC">
        <w:rPr>
          <w:rStyle w:val="Emphasis"/>
          <w:rFonts w:ascii="Times New Roman" w:hAnsi="Times New Roman" w:cs="Times New Roman"/>
          <w:sz w:val="24"/>
          <w:szCs w:val="24"/>
          <w:lang w:val="en-US"/>
        </w:rPr>
        <w:t>The Cambridge Handbook of Natural Law and Human Rights</w:t>
      </w:r>
      <w:r w:rsidRPr="001350EC">
        <w:rPr>
          <w:rFonts w:ascii="Times New Roman" w:hAnsi="Times New Roman" w:cs="Times New Roman"/>
          <w:sz w:val="24"/>
          <w:szCs w:val="24"/>
          <w:lang w:val="en-US"/>
        </w:rPr>
        <w:t>, Cambridge 2022.</w:t>
      </w:r>
    </w:p>
    <w:p w14:paraId="0BEF9C5A" w14:textId="77777777" w:rsidR="001350EC" w:rsidRPr="001350EC" w:rsidRDefault="001350EC" w:rsidP="001350EC">
      <w:pPr>
        <w:pStyle w:val="FootnoteText"/>
        <w:ind w:left="1134" w:hanging="1134"/>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Angier T., </w:t>
      </w:r>
      <w:r w:rsidRPr="001350EC">
        <w:rPr>
          <w:rStyle w:val="Emphasis"/>
          <w:rFonts w:ascii="Times New Roman" w:hAnsi="Times New Roman" w:cs="Times New Roman"/>
          <w:sz w:val="24"/>
          <w:szCs w:val="24"/>
          <w:lang w:val="en-US"/>
        </w:rPr>
        <w:t>Ontological and Epistemological Foundations of Human Rights</w:t>
      </w:r>
      <w:r w:rsidRPr="001350EC">
        <w:rPr>
          <w:rFonts w:ascii="Times New Roman" w:hAnsi="Times New Roman" w:cs="Times New Roman"/>
          <w:sz w:val="24"/>
          <w:szCs w:val="24"/>
          <w:lang w:val="en-US"/>
        </w:rPr>
        <w:t xml:space="preserve">, w: T. Angier, I.T. Benson, M.D. Retter (red.), </w:t>
      </w:r>
      <w:r w:rsidRPr="001350EC">
        <w:rPr>
          <w:rStyle w:val="Emphasis"/>
          <w:rFonts w:ascii="Times New Roman" w:hAnsi="Times New Roman" w:cs="Times New Roman"/>
          <w:sz w:val="24"/>
          <w:szCs w:val="24"/>
          <w:lang w:val="en-US"/>
        </w:rPr>
        <w:t>The Cambridge Handbook of Natural Law and Human Rights</w:t>
      </w:r>
      <w:r w:rsidRPr="001350EC">
        <w:rPr>
          <w:rFonts w:ascii="Times New Roman" w:hAnsi="Times New Roman" w:cs="Times New Roman"/>
          <w:sz w:val="24"/>
          <w:szCs w:val="24"/>
          <w:lang w:val="en-US"/>
        </w:rPr>
        <w:t xml:space="preserve">, Cambridge </w:t>
      </w:r>
      <w:proofErr w:type="gramStart"/>
      <w:r w:rsidRPr="001350EC">
        <w:rPr>
          <w:rFonts w:ascii="Times New Roman" w:hAnsi="Times New Roman" w:cs="Times New Roman"/>
          <w:sz w:val="24"/>
          <w:szCs w:val="24"/>
          <w:lang w:val="en-US"/>
        </w:rPr>
        <w:t>2022,  s.</w:t>
      </w:r>
      <w:proofErr w:type="gramEnd"/>
      <w:r w:rsidRPr="001350EC">
        <w:rPr>
          <w:rFonts w:ascii="Times New Roman" w:hAnsi="Times New Roman" w:cs="Times New Roman"/>
          <w:sz w:val="24"/>
          <w:szCs w:val="24"/>
          <w:lang w:val="en-US"/>
        </w:rPr>
        <w:t xml:space="preserve"> 119–132.</w:t>
      </w:r>
    </w:p>
    <w:p w14:paraId="024DDC53"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Bormann F.J., </w:t>
      </w:r>
      <w:r w:rsidRPr="001350EC">
        <w:rPr>
          <w:rStyle w:val="Emphasis"/>
          <w:rFonts w:ascii="Times New Roman" w:hAnsi="Times New Roman" w:cs="Times New Roman"/>
          <w:sz w:val="24"/>
          <w:szCs w:val="24"/>
          <w:lang w:val="de-AT"/>
        </w:rPr>
        <w:t>‹Handlungsfähigkeit› und ‹gutes Leben›. Plädoyer für einen schwachen Perfektionismus</w:t>
      </w:r>
      <w:r w:rsidRPr="001350EC">
        <w:rPr>
          <w:rFonts w:ascii="Times New Roman" w:hAnsi="Times New Roman" w:cs="Times New Roman"/>
          <w:sz w:val="24"/>
          <w:szCs w:val="24"/>
          <w:lang w:val="de-AT"/>
        </w:rPr>
        <w:t xml:space="preserve">, w: M. Hoesch, S. Muders, M. Rüther (red.), </w:t>
      </w:r>
      <w:r w:rsidRPr="001350EC">
        <w:rPr>
          <w:rStyle w:val="Emphasis"/>
          <w:rFonts w:ascii="Times New Roman" w:hAnsi="Times New Roman" w:cs="Times New Roman"/>
          <w:sz w:val="24"/>
          <w:szCs w:val="24"/>
          <w:lang w:val="de-AT"/>
        </w:rPr>
        <w:t>Glück – Werte – Sinn: metaethische, ethische und theologische Zugänge zur Frage nach dem guten Leben</w:t>
      </w:r>
      <w:r w:rsidRPr="001350EC">
        <w:rPr>
          <w:rFonts w:ascii="Times New Roman" w:hAnsi="Times New Roman" w:cs="Times New Roman"/>
          <w:sz w:val="24"/>
          <w:szCs w:val="24"/>
          <w:lang w:val="de-AT"/>
        </w:rPr>
        <w:t>, Berlin 2013, s. 177–194.</w:t>
      </w:r>
    </w:p>
    <w:p w14:paraId="000A1567" w14:textId="77777777" w:rsidR="001350EC" w:rsidRDefault="001350EC" w:rsidP="001350EC">
      <w:pPr>
        <w:pStyle w:val="FootnoteText"/>
        <w:ind w:left="993" w:hanging="993"/>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Bormann F.J., </w:t>
      </w:r>
      <w:r w:rsidRPr="001350EC">
        <w:rPr>
          <w:rStyle w:val="Emphasis"/>
          <w:rFonts w:ascii="Times New Roman" w:hAnsi="Times New Roman" w:cs="Times New Roman"/>
          <w:sz w:val="24"/>
          <w:szCs w:val="24"/>
          <w:lang w:val="de-AT"/>
        </w:rPr>
        <w:t>Natur als Horizont sittlicher Praxis. Zur handlungstheoretischen Interpretation der Lehre vom natürlichen Sittengesetz bei Thomas von Aquin</w:t>
      </w:r>
      <w:r w:rsidRPr="001350EC">
        <w:rPr>
          <w:rFonts w:ascii="Times New Roman" w:hAnsi="Times New Roman" w:cs="Times New Roman"/>
          <w:sz w:val="24"/>
          <w:szCs w:val="24"/>
          <w:lang w:val="de-AT"/>
        </w:rPr>
        <w:t>, Stuttgart 1999.</w:t>
      </w:r>
    </w:p>
    <w:p w14:paraId="1DE3BB35"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Bormann F.J., </w:t>
      </w:r>
      <w:r w:rsidRPr="001350EC">
        <w:rPr>
          <w:rStyle w:val="Emphasis"/>
          <w:rFonts w:ascii="Times New Roman" w:hAnsi="Times New Roman" w:cs="Times New Roman"/>
          <w:sz w:val="24"/>
          <w:szCs w:val="24"/>
          <w:lang w:val="de-AT"/>
        </w:rPr>
        <w:t>Naturrecht in neuem Gewand? Zu einigen zeitgenössischen Erscheinungen einer traditionellen Denkform</w:t>
      </w:r>
      <w:r w:rsidRPr="001350EC">
        <w:rPr>
          <w:rFonts w:ascii="Times New Roman" w:hAnsi="Times New Roman" w:cs="Times New Roman"/>
          <w:sz w:val="24"/>
          <w:szCs w:val="24"/>
          <w:lang w:val="de-AT"/>
        </w:rPr>
        <w:t xml:space="preserve">, w: J. Schuster SJ (red.), </w:t>
      </w:r>
      <w:r w:rsidRPr="001350EC">
        <w:rPr>
          <w:rStyle w:val="Emphasis"/>
          <w:rFonts w:ascii="Times New Roman" w:hAnsi="Times New Roman" w:cs="Times New Roman"/>
          <w:sz w:val="24"/>
          <w:szCs w:val="24"/>
          <w:lang w:val="de-AT"/>
        </w:rPr>
        <w:t>Zur Bedeutung der Philosophie für die Theologische Ethik</w:t>
      </w:r>
      <w:r w:rsidRPr="001350EC">
        <w:rPr>
          <w:rFonts w:ascii="Times New Roman" w:hAnsi="Times New Roman" w:cs="Times New Roman"/>
          <w:sz w:val="24"/>
          <w:szCs w:val="24"/>
          <w:lang w:val="de-AT"/>
        </w:rPr>
        <w:t>, Fribourg 2010, s. 81–105.</w:t>
      </w:r>
    </w:p>
    <w:p w14:paraId="44919FDD"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Bormann F.J., </w:t>
      </w:r>
      <w:r w:rsidRPr="001350EC">
        <w:rPr>
          <w:rFonts w:ascii="Times New Roman" w:hAnsi="Times New Roman" w:cs="Times New Roman"/>
          <w:i/>
          <w:iCs/>
          <w:sz w:val="24"/>
          <w:szCs w:val="24"/>
          <w:lang w:val="de-AT"/>
        </w:rPr>
        <w:t>Naturrechtliche Begründung von Menschenrechten? Ein Blick in die aristotelische Tradition</w:t>
      </w:r>
      <w:r w:rsidRPr="001350EC">
        <w:rPr>
          <w:rFonts w:ascii="Times New Roman" w:hAnsi="Times New Roman" w:cs="Times New Roman"/>
          <w:sz w:val="24"/>
          <w:szCs w:val="24"/>
          <w:lang w:val="de-AT"/>
        </w:rPr>
        <w:t>, w: M. Wasmaier-</w:t>
      </w:r>
      <w:proofErr w:type="gramStart"/>
      <w:r w:rsidRPr="001350EC">
        <w:rPr>
          <w:rFonts w:ascii="Times New Roman" w:hAnsi="Times New Roman" w:cs="Times New Roman"/>
          <w:sz w:val="24"/>
          <w:szCs w:val="24"/>
          <w:lang w:val="de-AT"/>
        </w:rPr>
        <w:t>Sailer,  M.</w:t>
      </w:r>
      <w:proofErr w:type="gramEnd"/>
      <w:r w:rsidRPr="001350EC">
        <w:rPr>
          <w:rFonts w:ascii="Times New Roman" w:hAnsi="Times New Roman" w:cs="Times New Roman"/>
          <w:sz w:val="24"/>
          <w:szCs w:val="24"/>
          <w:lang w:val="de-AT"/>
        </w:rPr>
        <w:t xml:space="preserve"> Hoesch (red.), </w:t>
      </w:r>
      <w:r w:rsidRPr="001350EC">
        <w:rPr>
          <w:rStyle w:val="Emphasis"/>
          <w:rFonts w:ascii="Times New Roman" w:hAnsi="Times New Roman" w:cs="Times New Roman"/>
          <w:sz w:val="24"/>
          <w:szCs w:val="24"/>
          <w:lang w:val="de-AT"/>
        </w:rPr>
        <w:t>Die Begründung der Menschenrechte</w:t>
      </w:r>
      <w:r w:rsidRPr="001350EC">
        <w:rPr>
          <w:rFonts w:ascii="Times New Roman" w:hAnsi="Times New Roman" w:cs="Times New Roman"/>
          <w:sz w:val="24"/>
          <w:szCs w:val="24"/>
          <w:lang w:val="de-AT"/>
        </w:rPr>
        <w:t>, Tübingen 2017, s. 135–159.</w:t>
      </w:r>
    </w:p>
    <w:p w14:paraId="21AEB253" w14:textId="77777777" w:rsidR="001350EC" w:rsidRPr="00D0106E" w:rsidRDefault="001350EC" w:rsidP="001350EC">
      <w:pPr>
        <w:pStyle w:val="FootnoteText"/>
        <w:ind w:left="993" w:hanging="993"/>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Brock S.L., </w:t>
      </w:r>
      <w:r w:rsidRPr="001350EC">
        <w:rPr>
          <w:rStyle w:val="Emphasis"/>
          <w:rFonts w:ascii="Times New Roman" w:hAnsi="Times New Roman" w:cs="Times New Roman"/>
          <w:sz w:val="24"/>
          <w:szCs w:val="24"/>
          <w:lang w:val="en-US"/>
        </w:rPr>
        <w:t>The Light That Binds. A Study in Thomas Aquinas’s Metaphysics of Natural Law</w:t>
      </w:r>
      <w:r w:rsidRPr="001350EC">
        <w:rPr>
          <w:rFonts w:ascii="Times New Roman" w:hAnsi="Times New Roman" w:cs="Times New Roman"/>
          <w:sz w:val="24"/>
          <w:szCs w:val="24"/>
          <w:lang w:val="en-US"/>
        </w:rPr>
        <w:t>, Eugene/OR 2020.</w:t>
      </w:r>
    </w:p>
    <w:p w14:paraId="45FBCB75" w14:textId="77777777" w:rsidR="001350EC" w:rsidRPr="00D0106E" w:rsidRDefault="001350EC" w:rsidP="001350EC">
      <w:pPr>
        <w:pStyle w:val="FootnoteText"/>
        <w:ind w:left="993" w:hanging="993"/>
        <w:jc w:val="both"/>
        <w:rPr>
          <w:rFonts w:ascii="Times New Roman" w:hAnsi="Times New Roman" w:cs="Times New Roman"/>
          <w:sz w:val="24"/>
          <w:szCs w:val="24"/>
          <w:lang w:val="en-US"/>
        </w:rPr>
      </w:pPr>
      <w:r w:rsidRPr="001350EC">
        <w:rPr>
          <w:rFonts w:ascii="Times New Roman" w:hAnsi="Times New Roman" w:cs="Times New Roman"/>
          <w:sz w:val="24"/>
          <w:szCs w:val="24"/>
          <w:lang w:val="de-AT"/>
        </w:rPr>
        <w:t xml:space="preserve">Foot P., </w:t>
      </w:r>
      <w:r w:rsidRPr="001350EC">
        <w:rPr>
          <w:rStyle w:val="Emphasis"/>
          <w:rFonts w:ascii="Times New Roman" w:hAnsi="Times New Roman" w:cs="Times New Roman"/>
          <w:sz w:val="24"/>
          <w:szCs w:val="24"/>
          <w:lang w:val="de-AT"/>
        </w:rPr>
        <w:t xml:space="preserve">Die Wirklichkeit des Guten. </w:t>
      </w:r>
      <w:r w:rsidRPr="00D0106E">
        <w:rPr>
          <w:rStyle w:val="Emphasis"/>
          <w:rFonts w:ascii="Times New Roman" w:hAnsi="Times New Roman" w:cs="Times New Roman"/>
          <w:sz w:val="24"/>
          <w:szCs w:val="24"/>
          <w:lang w:val="en-US"/>
        </w:rPr>
        <w:t>Moralphilosophische Aufsätze</w:t>
      </w:r>
      <w:r w:rsidRPr="00D0106E">
        <w:rPr>
          <w:rFonts w:ascii="Times New Roman" w:hAnsi="Times New Roman" w:cs="Times New Roman"/>
          <w:sz w:val="24"/>
          <w:szCs w:val="24"/>
          <w:lang w:val="en-US"/>
        </w:rPr>
        <w:t>, Frankfurt/M. 1997.</w:t>
      </w:r>
    </w:p>
    <w:p w14:paraId="67B90EE9" w14:textId="77777777" w:rsidR="001350EC" w:rsidRPr="001350EC" w:rsidRDefault="001350EC" w:rsidP="001350EC">
      <w:pPr>
        <w:pStyle w:val="FootnoteText"/>
        <w:ind w:left="1134" w:hanging="1134"/>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García-Salmones M., </w:t>
      </w:r>
      <w:r w:rsidRPr="001350EC">
        <w:rPr>
          <w:rStyle w:val="Emphasis"/>
          <w:rFonts w:ascii="Times New Roman" w:hAnsi="Times New Roman" w:cs="Times New Roman"/>
          <w:sz w:val="24"/>
          <w:szCs w:val="24"/>
          <w:lang w:val="en-US"/>
        </w:rPr>
        <w:t>The Paradox of Shrinking Individuality. Natural Rights’ Development and Relevance to Human Rights Today</w:t>
      </w:r>
      <w:r w:rsidRPr="001350EC">
        <w:rPr>
          <w:rFonts w:ascii="Times New Roman" w:hAnsi="Times New Roman" w:cs="Times New Roman"/>
          <w:sz w:val="24"/>
          <w:szCs w:val="24"/>
          <w:lang w:val="en-US"/>
        </w:rPr>
        <w:t xml:space="preserve">, w: T. Angier, I.T. Benson, M.D. Retter (red.), </w:t>
      </w:r>
      <w:r w:rsidRPr="001350EC">
        <w:rPr>
          <w:rStyle w:val="Emphasis"/>
          <w:rFonts w:ascii="Times New Roman" w:hAnsi="Times New Roman" w:cs="Times New Roman"/>
          <w:sz w:val="24"/>
          <w:szCs w:val="24"/>
          <w:lang w:val="en-US"/>
        </w:rPr>
        <w:t>The Cambridge Handbook of Natural Law and Human Rights</w:t>
      </w:r>
      <w:r w:rsidRPr="001350EC">
        <w:rPr>
          <w:rFonts w:ascii="Times New Roman" w:hAnsi="Times New Roman" w:cs="Times New Roman"/>
          <w:sz w:val="24"/>
          <w:szCs w:val="24"/>
          <w:lang w:val="en-US"/>
        </w:rPr>
        <w:t>, Cambridge 2022, s. 45–60.</w:t>
      </w:r>
    </w:p>
    <w:p w14:paraId="417DDE74" w14:textId="77777777" w:rsidR="001350EC" w:rsidRPr="001350EC" w:rsidRDefault="001350EC" w:rsidP="001350EC">
      <w:pPr>
        <w:pStyle w:val="FootnoteText"/>
        <w:ind w:left="993" w:hanging="993"/>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Habermas J., Ratzinger J., </w:t>
      </w:r>
      <w:r w:rsidRPr="001350EC">
        <w:rPr>
          <w:rStyle w:val="Emphasis"/>
          <w:rFonts w:ascii="Times New Roman" w:hAnsi="Times New Roman" w:cs="Times New Roman"/>
          <w:sz w:val="24"/>
          <w:szCs w:val="24"/>
          <w:lang w:val="de-AT"/>
        </w:rPr>
        <w:t>Dialektik der Säkularisierung. Über Vernunft und Religion</w:t>
      </w:r>
      <w:r w:rsidRPr="001350EC">
        <w:rPr>
          <w:rFonts w:ascii="Times New Roman" w:hAnsi="Times New Roman" w:cs="Times New Roman"/>
          <w:sz w:val="24"/>
          <w:szCs w:val="24"/>
          <w:lang w:val="de-AT"/>
        </w:rPr>
        <w:t>, Freiburg i. Br. 2005.</w:t>
      </w:r>
    </w:p>
    <w:p w14:paraId="14CBF1DE"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Hoesch M., Muders S., Rüther M. (red.), </w:t>
      </w:r>
      <w:r w:rsidRPr="001350EC">
        <w:rPr>
          <w:rStyle w:val="Emphasis"/>
          <w:rFonts w:ascii="Times New Roman" w:hAnsi="Times New Roman" w:cs="Times New Roman"/>
          <w:sz w:val="24"/>
          <w:szCs w:val="24"/>
          <w:lang w:val="de-AT"/>
        </w:rPr>
        <w:t>Glück – Werte – Sinn: metaethische, ethische und theologische Zugänge zur Frage nach dem guten Leben</w:t>
      </w:r>
      <w:r w:rsidRPr="001350EC">
        <w:rPr>
          <w:rFonts w:ascii="Times New Roman" w:hAnsi="Times New Roman" w:cs="Times New Roman"/>
          <w:sz w:val="24"/>
          <w:szCs w:val="24"/>
          <w:lang w:val="de-AT"/>
        </w:rPr>
        <w:t>, Berlin 2013.</w:t>
      </w:r>
    </w:p>
    <w:p w14:paraId="6F0A9070" w14:textId="77777777" w:rsidR="001350EC" w:rsidRPr="001350EC" w:rsidRDefault="001350EC" w:rsidP="001350EC">
      <w:pPr>
        <w:pStyle w:val="FootnoteText"/>
        <w:ind w:left="993" w:hanging="993"/>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Kluxen W., </w:t>
      </w:r>
      <w:r w:rsidRPr="001350EC">
        <w:rPr>
          <w:rStyle w:val="Emphasis"/>
          <w:rFonts w:ascii="Times New Roman" w:hAnsi="Times New Roman" w:cs="Times New Roman"/>
          <w:sz w:val="24"/>
          <w:szCs w:val="24"/>
          <w:lang w:val="de-AT"/>
        </w:rPr>
        <w:t>Philosophische Ethik bei Thomas von Aquin</w:t>
      </w:r>
      <w:r w:rsidRPr="001350EC">
        <w:rPr>
          <w:rFonts w:ascii="Times New Roman" w:hAnsi="Times New Roman" w:cs="Times New Roman"/>
          <w:sz w:val="24"/>
          <w:szCs w:val="24"/>
          <w:lang w:val="de-AT"/>
        </w:rPr>
        <w:t>, Hamburg ² 1980.</w:t>
      </w:r>
    </w:p>
    <w:p w14:paraId="0353FAC6" w14:textId="77777777" w:rsidR="001350EC" w:rsidRPr="001350EC" w:rsidRDefault="001350EC" w:rsidP="001350EC">
      <w:pPr>
        <w:pStyle w:val="NormalWeb"/>
        <w:spacing w:before="0" w:beforeAutospacing="0" w:after="0" w:afterAutospacing="0"/>
        <w:ind w:left="1134" w:hanging="1134"/>
        <w:jc w:val="both"/>
        <w:rPr>
          <w:rStyle w:val="Strong"/>
          <w:b w:val="0"/>
          <w:lang w:val="de-AT"/>
        </w:rPr>
      </w:pPr>
      <w:r w:rsidRPr="001350EC">
        <w:rPr>
          <w:rStyle w:val="Strong"/>
          <w:b w:val="0"/>
          <w:lang w:val="de-AT"/>
        </w:rPr>
        <w:t xml:space="preserve">Korff W., </w:t>
      </w:r>
      <w:r w:rsidRPr="001350EC">
        <w:rPr>
          <w:rStyle w:val="Emphasis"/>
          <w:bCs/>
          <w:lang w:val="de-AT"/>
        </w:rPr>
        <w:t>Der Rückgriff auf die Natur. Eine Rekonstruktion der thomanischen Lehre vom natürlichen Gesetz</w:t>
      </w:r>
      <w:r w:rsidRPr="001350EC">
        <w:rPr>
          <w:rStyle w:val="Strong"/>
          <w:b w:val="0"/>
          <w:lang w:val="de-AT"/>
        </w:rPr>
        <w:t xml:space="preserve">, w: </w:t>
      </w:r>
      <w:r w:rsidRPr="001350EC">
        <w:rPr>
          <w:rStyle w:val="Emphasis"/>
          <w:bCs/>
          <w:lang w:val="de-AT"/>
        </w:rPr>
        <w:t>Philosophisches Jahrbuch</w:t>
      </w:r>
      <w:r w:rsidRPr="001350EC">
        <w:rPr>
          <w:rStyle w:val="Strong"/>
          <w:lang w:val="de-AT"/>
        </w:rPr>
        <w:t xml:space="preserve"> </w:t>
      </w:r>
      <w:r w:rsidRPr="001350EC">
        <w:rPr>
          <w:rStyle w:val="Strong"/>
          <w:b w:val="0"/>
          <w:lang w:val="de-AT"/>
        </w:rPr>
        <w:t>94 (1987), s. 286–296.</w:t>
      </w:r>
    </w:p>
    <w:p w14:paraId="47C82890" w14:textId="77777777" w:rsidR="001350EC" w:rsidRPr="001350EC" w:rsidRDefault="001350EC" w:rsidP="001350EC">
      <w:pPr>
        <w:pStyle w:val="NormalWeb"/>
        <w:spacing w:before="0" w:beforeAutospacing="0" w:after="0" w:afterAutospacing="0"/>
        <w:ind w:left="1134" w:hanging="1134"/>
        <w:jc w:val="both"/>
        <w:rPr>
          <w:b/>
          <w:lang w:val="de-AT"/>
        </w:rPr>
      </w:pPr>
      <w:r w:rsidRPr="001350EC">
        <w:rPr>
          <w:rStyle w:val="Strong"/>
          <w:b w:val="0"/>
          <w:lang w:val="de-AT"/>
        </w:rPr>
        <w:t xml:space="preserve">Korff W., </w:t>
      </w:r>
      <w:r w:rsidRPr="001350EC">
        <w:rPr>
          <w:rStyle w:val="Emphasis"/>
          <w:bCs/>
          <w:lang w:val="de-AT"/>
        </w:rPr>
        <w:t xml:space="preserve">Wie kann der Mensch </w:t>
      </w:r>
      <w:proofErr w:type="gramStart"/>
      <w:r w:rsidRPr="001350EC">
        <w:rPr>
          <w:rStyle w:val="Emphasis"/>
          <w:bCs/>
          <w:lang w:val="de-AT"/>
        </w:rPr>
        <w:t>glücken?</w:t>
      </w:r>
      <w:r w:rsidRPr="001350EC">
        <w:rPr>
          <w:rStyle w:val="Strong"/>
          <w:lang w:val="de-AT"/>
        </w:rPr>
        <w:t>,</w:t>
      </w:r>
      <w:proofErr w:type="gramEnd"/>
      <w:r w:rsidRPr="001350EC">
        <w:rPr>
          <w:rStyle w:val="Strong"/>
          <w:b w:val="0"/>
          <w:lang w:val="de-AT"/>
        </w:rPr>
        <w:t xml:space="preserve"> München 1990.</w:t>
      </w:r>
    </w:p>
    <w:p w14:paraId="64C903B7" w14:textId="77777777" w:rsidR="001350EC" w:rsidRPr="001350EC" w:rsidRDefault="001350EC" w:rsidP="001350EC">
      <w:pPr>
        <w:pStyle w:val="FootnoteText"/>
        <w:ind w:left="993" w:hanging="993"/>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Krems G., Mumm R. (red.), </w:t>
      </w:r>
      <w:r w:rsidRPr="001350EC">
        <w:rPr>
          <w:rStyle w:val="Emphasis"/>
          <w:rFonts w:ascii="Times New Roman" w:hAnsi="Times New Roman" w:cs="Times New Roman"/>
          <w:sz w:val="24"/>
          <w:szCs w:val="24"/>
          <w:lang w:val="de-AT"/>
        </w:rPr>
        <w:t>Theologie der Ehe</w:t>
      </w:r>
      <w:r w:rsidRPr="001350EC">
        <w:rPr>
          <w:rFonts w:ascii="Times New Roman" w:hAnsi="Times New Roman" w:cs="Times New Roman"/>
          <w:sz w:val="24"/>
          <w:szCs w:val="24"/>
          <w:lang w:val="de-AT"/>
        </w:rPr>
        <w:t>, Regensburg 1969, s. 81–115, tutaj s. 98.</w:t>
      </w:r>
    </w:p>
    <w:p w14:paraId="0EA06770" w14:textId="77777777" w:rsidR="001350EC" w:rsidRPr="001350EC" w:rsidRDefault="001350EC" w:rsidP="001350EC">
      <w:pPr>
        <w:pStyle w:val="FootnoteText"/>
        <w:ind w:left="993" w:hanging="993"/>
        <w:jc w:val="both"/>
        <w:rPr>
          <w:rFonts w:ascii="Times New Roman" w:hAnsi="Times New Roman" w:cs="Times New Roman"/>
          <w:sz w:val="24"/>
          <w:szCs w:val="24"/>
          <w:lang w:val="fr-FR"/>
        </w:rPr>
      </w:pPr>
      <w:r w:rsidRPr="001350EC">
        <w:rPr>
          <w:rFonts w:ascii="Times New Roman" w:hAnsi="Times New Roman" w:cs="Times New Roman"/>
          <w:sz w:val="24"/>
          <w:szCs w:val="24"/>
          <w:lang w:val="fr-FR"/>
        </w:rPr>
        <w:t xml:space="preserve">Paul VI., Enzyklika </w:t>
      </w:r>
      <w:r w:rsidRPr="001350EC">
        <w:rPr>
          <w:rFonts w:ascii="Times New Roman" w:hAnsi="Times New Roman" w:cs="Times New Roman"/>
          <w:i/>
          <w:iCs/>
          <w:sz w:val="24"/>
          <w:szCs w:val="24"/>
          <w:lang w:val="fr-FR"/>
        </w:rPr>
        <w:t>Humanae vitae</w:t>
      </w:r>
      <w:r w:rsidRPr="001350EC">
        <w:rPr>
          <w:rFonts w:ascii="Times New Roman" w:hAnsi="Times New Roman" w:cs="Times New Roman"/>
          <w:sz w:val="24"/>
          <w:szCs w:val="24"/>
          <w:lang w:val="fr-FR"/>
        </w:rPr>
        <w:t>, Trier 1979.</w:t>
      </w:r>
    </w:p>
    <w:p w14:paraId="3AACF301" w14:textId="77777777" w:rsidR="001350EC" w:rsidRPr="00D0106E"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en-US"/>
        </w:rPr>
        <w:t xml:space="preserve">Porter J., </w:t>
      </w:r>
      <w:r w:rsidRPr="001350EC">
        <w:rPr>
          <w:rStyle w:val="Emphasis"/>
          <w:rFonts w:ascii="Times New Roman" w:hAnsi="Times New Roman" w:cs="Times New Roman"/>
          <w:sz w:val="24"/>
          <w:szCs w:val="24"/>
          <w:lang w:val="en-US"/>
        </w:rPr>
        <w:t>The Natural Law and the Specificity of Christian Morality. A Survey of Recent Work and an Agenda for Future Research</w:t>
      </w:r>
      <w:r w:rsidRPr="001350EC">
        <w:rPr>
          <w:rFonts w:ascii="Times New Roman" w:hAnsi="Times New Roman" w:cs="Times New Roman"/>
          <w:sz w:val="24"/>
          <w:szCs w:val="24"/>
          <w:lang w:val="en-US"/>
        </w:rPr>
        <w:t xml:space="preserve">, w: T.A. Salzman (red.), </w:t>
      </w:r>
      <w:r w:rsidRPr="001350EC">
        <w:rPr>
          <w:rStyle w:val="Emphasis"/>
          <w:rFonts w:ascii="Times New Roman" w:hAnsi="Times New Roman" w:cs="Times New Roman"/>
          <w:sz w:val="24"/>
          <w:szCs w:val="24"/>
          <w:lang w:val="en-US"/>
        </w:rPr>
        <w:t xml:space="preserve">Method and Catholic Moral Theology. </w:t>
      </w:r>
      <w:r w:rsidRPr="00D0106E">
        <w:rPr>
          <w:rStyle w:val="Emphasis"/>
          <w:rFonts w:ascii="Times New Roman" w:hAnsi="Times New Roman" w:cs="Times New Roman"/>
          <w:sz w:val="24"/>
          <w:szCs w:val="24"/>
          <w:lang w:val="de-AT"/>
        </w:rPr>
        <w:t>The Ongoing Reconstruction</w:t>
      </w:r>
      <w:r w:rsidRPr="00D0106E">
        <w:rPr>
          <w:rFonts w:ascii="Times New Roman" w:hAnsi="Times New Roman" w:cs="Times New Roman"/>
          <w:sz w:val="24"/>
          <w:szCs w:val="24"/>
          <w:lang w:val="de-AT"/>
        </w:rPr>
        <w:t>, Omaha 1999, s. 209–236.</w:t>
      </w:r>
    </w:p>
    <w:p w14:paraId="17F33380" w14:textId="77777777" w:rsidR="001350EC" w:rsidRPr="001350EC" w:rsidRDefault="001350EC" w:rsidP="001350EC">
      <w:pPr>
        <w:pStyle w:val="FootnoteText"/>
        <w:ind w:left="993" w:hanging="993"/>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Ratzinger J., </w:t>
      </w:r>
      <w:r w:rsidRPr="001350EC">
        <w:rPr>
          <w:rStyle w:val="Emphasis"/>
          <w:rFonts w:ascii="Times New Roman" w:hAnsi="Times New Roman" w:cs="Times New Roman"/>
          <w:sz w:val="24"/>
          <w:szCs w:val="24"/>
          <w:lang w:val="de-AT"/>
        </w:rPr>
        <w:t>Was die Welt zusammenhält. Vorpolitische moralische Grundlagen eines freiheitlichen Staates</w:t>
      </w:r>
      <w:r w:rsidRPr="001350EC">
        <w:rPr>
          <w:rFonts w:ascii="Times New Roman" w:hAnsi="Times New Roman" w:cs="Times New Roman"/>
          <w:sz w:val="24"/>
          <w:szCs w:val="24"/>
          <w:lang w:val="de-AT"/>
        </w:rPr>
        <w:t xml:space="preserve">, w: J. Habermas, J. Ratzinger, </w:t>
      </w:r>
      <w:r w:rsidRPr="001350EC">
        <w:rPr>
          <w:rStyle w:val="Emphasis"/>
          <w:rFonts w:ascii="Times New Roman" w:hAnsi="Times New Roman" w:cs="Times New Roman"/>
          <w:sz w:val="24"/>
          <w:szCs w:val="24"/>
          <w:lang w:val="de-AT"/>
        </w:rPr>
        <w:t>Dialektik der Säkularisierung. Über Vernunft und Religion</w:t>
      </w:r>
      <w:r w:rsidRPr="001350EC">
        <w:rPr>
          <w:rFonts w:ascii="Times New Roman" w:hAnsi="Times New Roman" w:cs="Times New Roman"/>
          <w:sz w:val="24"/>
          <w:szCs w:val="24"/>
          <w:lang w:val="de-AT"/>
        </w:rPr>
        <w:t>, Freiburg i. Br. 2005, s. 39–60.</w:t>
      </w:r>
    </w:p>
    <w:p w14:paraId="680B6993" w14:textId="77777777" w:rsidR="001350EC" w:rsidRPr="001350EC" w:rsidRDefault="001350EC" w:rsidP="001350EC">
      <w:pPr>
        <w:pStyle w:val="FootnoteText"/>
        <w:ind w:left="993" w:hanging="993"/>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Ratzinger J., </w:t>
      </w:r>
      <w:r w:rsidRPr="001350EC">
        <w:rPr>
          <w:rStyle w:val="Emphasis"/>
          <w:rFonts w:ascii="Times New Roman" w:hAnsi="Times New Roman" w:cs="Times New Roman"/>
          <w:sz w:val="24"/>
          <w:szCs w:val="24"/>
          <w:lang w:val="de-AT"/>
        </w:rPr>
        <w:t>Zur Theologie der Ehe</w:t>
      </w:r>
      <w:r w:rsidRPr="001350EC">
        <w:rPr>
          <w:rFonts w:ascii="Times New Roman" w:hAnsi="Times New Roman" w:cs="Times New Roman"/>
          <w:sz w:val="24"/>
          <w:szCs w:val="24"/>
          <w:lang w:val="de-AT"/>
        </w:rPr>
        <w:t xml:space="preserve">, w: G. Krems, R. Mumm (red.), </w:t>
      </w:r>
      <w:r w:rsidRPr="001350EC">
        <w:rPr>
          <w:rStyle w:val="Emphasis"/>
          <w:rFonts w:ascii="Times New Roman" w:hAnsi="Times New Roman" w:cs="Times New Roman"/>
          <w:sz w:val="24"/>
          <w:szCs w:val="24"/>
          <w:lang w:val="de-AT"/>
        </w:rPr>
        <w:t>Theologie der Ehe</w:t>
      </w:r>
      <w:r w:rsidRPr="001350EC">
        <w:rPr>
          <w:rFonts w:ascii="Times New Roman" w:hAnsi="Times New Roman" w:cs="Times New Roman"/>
          <w:sz w:val="24"/>
          <w:szCs w:val="24"/>
          <w:lang w:val="de-AT"/>
        </w:rPr>
        <w:t>, Regensburg 1969, s. 81–115, tutaj s. 98.</w:t>
      </w:r>
    </w:p>
    <w:p w14:paraId="18DE0F76"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Rawls J., </w:t>
      </w:r>
      <w:r w:rsidRPr="001350EC">
        <w:rPr>
          <w:rStyle w:val="Emphasis"/>
          <w:rFonts w:ascii="Times New Roman" w:hAnsi="Times New Roman" w:cs="Times New Roman"/>
          <w:sz w:val="24"/>
          <w:szCs w:val="24"/>
          <w:lang w:val="de-AT"/>
        </w:rPr>
        <w:t>Eine Theorie der Gerechtigkeit</w:t>
      </w:r>
      <w:r w:rsidRPr="001350EC">
        <w:rPr>
          <w:rFonts w:ascii="Times New Roman" w:hAnsi="Times New Roman" w:cs="Times New Roman"/>
          <w:sz w:val="24"/>
          <w:szCs w:val="24"/>
          <w:lang w:val="de-AT"/>
        </w:rPr>
        <w:t>, Frankfurt/M ⁵ 1990.</w:t>
      </w:r>
    </w:p>
    <w:p w14:paraId="1A03DA4A" w14:textId="77777777" w:rsidR="001350EC" w:rsidRPr="00D0106E"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en-US"/>
        </w:rPr>
        <w:lastRenderedPageBreak/>
        <w:t xml:space="preserve">Salzman T.A. (red.), </w:t>
      </w:r>
      <w:r w:rsidRPr="001350EC">
        <w:rPr>
          <w:rStyle w:val="Emphasis"/>
          <w:rFonts w:ascii="Times New Roman" w:hAnsi="Times New Roman" w:cs="Times New Roman"/>
          <w:sz w:val="24"/>
          <w:szCs w:val="24"/>
          <w:lang w:val="en-US"/>
        </w:rPr>
        <w:t xml:space="preserve">Method and Catholic Moral Theology. </w:t>
      </w:r>
      <w:r w:rsidRPr="00D0106E">
        <w:rPr>
          <w:rStyle w:val="Emphasis"/>
          <w:rFonts w:ascii="Times New Roman" w:hAnsi="Times New Roman" w:cs="Times New Roman"/>
          <w:sz w:val="24"/>
          <w:szCs w:val="24"/>
          <w:lang w:val="de-AT"/>
        </w:rPr>
        <w:t>The Ongoing Reconstruction</w:t>
      </w:r>
      <w:r w:rsidRPr="00D0106E">
        <w:rPr>
          <w:rFonts w:ascii="Times New Roman" w:hAnsi="Times New Roman" w:cs="Times New Roman"/>
          <w:sz w:val="24"/>
          <w:szCs w:val="24"/>
          <w:lang w:val="de-AT"/>
        </w:rPr>
        <w:t>, Omaha 1999.</w:t>
      </w:r>
    </w:p>
    <w:p w14:paraId="20DA1A1B"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Schuster J. (red.), </w:t>
      </w:r>
      <w:r w:rsidRPr="001350EC">
        <w:rPr>
          <w:rStyle w:val="Emphasis"/>
          <w:rFonts w:ascii="Times New Roman" w:hAnsi="Times New Roman" w:cs="Times New Roman"/>
          <w:sz w:val="24"/>
          <w:szCs w:val="24"/>
          <w:lang w:val="de-AT"/>
        </w:rPr>
        <w:t>Zur Bedeutung der Philosophie für die Theologische Ethik</w:t>
      </w:r>
      <w:r w:rsidRPr="001350EC">
        <w:rPr>
          <w:rFonts w:ascii="Times New Roman" w:hAnsi="Times New Roman" w:cs="Times New Roman"/>
          <w:sz w:val="24"/>
          <w:szCs w:val="24"/>
          <w:lang w:val="de-AT"/>
        </w:rPr>
        <w:t>, Fribourg 2010,</w:t>
      </w:r>
    </w:p>
    <w:p w14:paraId="6A2853C0" w14:textId="77777777" w:rsidR="001350EC" w:rsidRPr="001350EC" w:rsidRDefault="001350EC" w:rsidP="001350EC">
      <w:pPr>
        <w:pStyle w:val="FootnoteText"/>
        <w:ind w:left="1134" w:hanging="1134"/>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Tessitore A. (red.), </w:t>
      </w:r>
      <w:r w:rsidRPr="001350EC">
        <w:rPr>
          <w:rStyle w:val="Emphasis"/>
          <w:rFonts w:ascii="Times New Roman" w:hAnsi="Times New Roman" w:cs="Times New Roman"/>
          <w:sz w:val="24"/>
          <w:szCs w:val="24"/>
          <w:lang w:val="en-US"/>
        </w:rPr>
        <w:t>Aristotle and Modern Politics</w:t>
      </w:r>
      <w:r w:rsidRPr="001350EC">
        <w:rPr>
          <w:rFonts w:ascii="Times New Roman" w:hAnsi="Times New Roman" w:cs="Times New Roman"/>
          <w:sz w:val="24"/>
          <w:szCs w:val="24"/>
          <w:lang w:val="en-US"/>
        </w:rPr>
        <w:t xml:space="preserve">, Notre Dame 2002. </w:t>
      </w:r>
    </w:p>
    <w:p w14:paraId="2821D3B4" w14:textId="77777777" w:rsidR="001350EC" w:rsidRPr="001350EC" w:rsidRDefault="001350EC" w:rsidP="001350EC">
      <w:pPr>
        <w:pStyle w:val="FootnoteText"/>
        <w:ind w:left="993" w:hanging="993"/>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Thomas von Aquin, </w:t>
      </w:r>
      <w:r w:rsidRPr="001350EC">
        <w:rPr>
          <w:rFonts w:ascii="Times New Roman" w:hAnsi="Times New Roman" w:cs="Times New Roman"/>
          <w:i/>
          <w:iCs/>
          <w:sz w:val="24"/>
          <w:szCs w:val="24"/>
          <w:lang w:val="en-US"/>
        </w:rPr>
        <w:t>Summa Theologiae</w:t>
      </w:r>
      <w:r w:rsidRPr="001350EC">
        <w:rPr>
          <w:rFonts w:ascii="Times New Roman" w:hAnsi="Times New Roman" w:cs="Times New Roman"/>
          <w:sz w:val="24"/>
          <w:szCs w:val="24"/>
          <w:lang w:val="en-US"/>
        </w:rPr>
        <w:t>, München 1950.</w:t>
      </w:r>
    </w:p>
    <w:p w14:paraId="34C369E5" w14:textId="77777777" w:rsidR="001350EC" w:rsidRPr="001350EC" w:rsidRDefault="001350EC" w:rsidP="001350EC">
      <w:pPr>
        <w:pStyle w:val="FootnoteText"/>
        <w:ind w:left="1134" w:hanging="1134"/>
        <w:jc w:val="both"/>
        <w:rPr>
          <w:rFonts w:ascii="Times New Roman" w:hAnsi="Times New Roman" w:cs="Times New Roman"/>
          <w:sz w:val="24"/>
          <w:szCs w:val="24"/>
          <w:lang w:val="en-US"/>
        </w:rPr>
      </w:pPr>
      <w:r w:rsidRPr="001350EC">
        <w:rPr>
          <w:rFonts w:ascii="Times New Roman" w:hAnsi="Times New Roman" w:cs="Times New Roman"/>
          <w:sz w:val="24"/>
          <w:szCs w:val="24"/>
          <w:lang w:val="en-US"/>
        </w:rPr>
        <w:t xml:space="preserve">Tierney B., </w:t>
      </w:r>
      <w:r w:rsidRPr="001350EC">
        <w:rPr>
          <w:rStyle w:val="Emphasis"/>
          <w:rFonts w:ascii="Times New Roman" w:hAnsi="Times New Roman" w:cs="Times New Roman"/>
          <w:sz w:val="24"/>
          <w:szCs w:val="24"/>
          <w:lang w:val="en-US"/>
        </w:rPr>
        <w:t>The Idea of Natural Rights. Studies on Natural Rights, Natural Law, and Church Law 1150–1625</w:t>
      </w:r>
      <w:r w:rsidRPr="001350EC">
        <w:rPr>
          <w:rFonts w:ascii="Times New Roman" w:hAnsi="Times New Roman" w:cs="Times New Roman"/>
          <w:sz w:val="24"/>
          <w:szCs w:val="24"/>
          <w:lang w:val="en-US"/>
        </w:rPr>
        <w:t>, Atlanta 1997.</w:t>
      </w:r>
    </w:p>
    <w:p w14:paraId="47C2574C" w14:textId="77777777" w:rsidR="001350EC" w:rsidRPr="001350EC" w:rsidRDefault="001350EC" w:rsidP="001350EC">
      <w:pPr>
        <w:pStyle w:val="FootnoteText"/>
        <w:ind w:left="1134" w:hanging="1134"/>
        <w:jc w:val="both"/>
        <w:rPr>
          <w:rFonts w:ascii="Times New Roman" w:hAnsi="Times New Roman" w:cs="Times New Roman"/>
          <w:sz w:val="24"/>
          <w:szCs w:val="24"/>
          <w:lang w:val="de-AT"/>
        </w:rPr>
      </w:pPr>
      <w:r w:rsidRPr="001350EC">
        <w:rPr>
          <w:rFonts w:ascii="Times New Roman" w:hAnsi="Times New Roman" w:cs="Times New Roman"/>
          <w:sz w:val="24"/>
          <w:szCs w:val="24"/>
          <w:lang w:val="de-AT"/>
        </w:rPr>
        <w:t xml:space="preserve">Wasmaier-Sailer M., Hoesch M.  (red.), </w:t>
      </w:r>
      <w:r w:rsidRPr="001350EC">
        <w:rPr>
          <w:rStyle w:val="Emphasis"/>
          <w:rFonts w:ascii="Times New Roman" w:hAnsi="Times New Roman" w:cs="Times New Roman"/>
          <w:sz w:val="24"/>
          <w:szCs w:val="24"/>
          <w:lang w:val="de-AT"/>
        </w:rPr>
        <w:t>Die Begründung der Menschenrechte</w:t>
      </w:r>
      <w:r w:rsidRPr="001350EC">
        <w:rPr>
          <w:rFonts w:ascii="Times New Roman" w:hAnsi="Times New Roman" w:cs="Times New Roman"/>
          <w:sz w:val="24"/>
          <w:szCs w:val="24"/>
          <w:lang w:val="de-AT"/>
        </w:rPr>
        <w:t>, Tübingen 2017.</w:t>
      </w:r>
    </w:p>
    <w:p w14:paraId="059BE80A" w14:textId="77777777" w:rsidR="00697E0A" w:rsidRPr="00D0106E" w:rsidRDefault="00697E0A" w:rsidP="00697E0A">
      <w:pPr>
        <w:pStyle w:val="NormalWeb"/>
        <w:spacing w:after="0"/>
        <w:jc w:val="both"/>
        <w:rPr>
          <w:lang w:val="de-AT"/>
        </w:rPr>
      </w:pPr>
    </w:p>
    <w:p w14:paraId="49216A8D" w14:textId="77777777" w:rsidR="00DE0E26" w:rsidRPr="00D0106E" w:rsidRDefault="00DE0E26" w:rsidP="00697E0A">
      <w:pPr>
        <w:pStyle w:val="NormalWeb"/>
        <w:ind w:firstLine="708"/>
        <w:jc w:val="both"/>
        <w:rPr>
          <w:lang w:val="de-AT"/>
        </w:rPr>
      </w:pPr>
    </w:p>
    <w:p w14:paraId="22016F6D" w14:textId="77777777" w:rsidR="00B96E8B" w:rsidRPr="00D0106E" w:rsidRDefault="00B96E8B" w:rsidP="00374F72">
      <w:pPr>
        <w:pStyle w:val="NormalWeb"/>
        <w:spacing w:before="0" w:beforeAutospacing="0" w:after="0" w:afterAutospacing="0"/>
        <w:ind w:left="360" w:firstLine="348"/>
        <w:jc w:val="both"/>
        <w:rPr>
          <w:lang w:val="de-AT"/>
        </w:rPr>
      </w:pPr>
    </w:p>
    <w:p w14:paraId="2C1C7806" w14:textId="77777777" w:rsidR="00B96E8B" w:rsidRPr="00D0106E" w:rsidRDefault="00B96E8B" w:rsidP="00374F72">
      <w:pPr>
        <w:pStyle w:val="NormalWeb"/>
        <w:spacing w:before="0" w:beforeAutospacing="0" w:after="0" w:afterAutospacing="0"/>
        <w:ind w:left="360" w:firstLine="348"/>
        <w:jc w:val="both"/>
        <w:rPr>
          <w:lang w:val="de-AT"/>
        </w:rPr>
      </w:pPr>
    </w:p>
    <w:p w14:paraId="5B354656" w14:textId="77777777" w:rsidR="00B96E8B" w:rsidRPr="00D0106E" w:rsidRDefault="00B96E8B" w:rsidP="00374F72">
      <w:pPr>
        <w:pStyle w:val="NormalWeb"/>
        <w:spacing w:before="0" w:beforeAutospacing="0" w:after="0" w:afterAutospacing="0"/>
        <w:ind w:left="360" w:firstLine="348"/>
        <w:jc w:val="both"/>
        <w:rPr>
          <w:lang w:val="de-AT"/>
        </w:rPr>
      </w:pPr>
    </w:p>
    <w:p w14:paraId="25D82803" w14:textId="77777777" w:rsidR="00B96E8B" w:rsidRPr="00D0106E" w:rsidRDefault="00B96E8B" w:rsidP="00374F72">
      <w:pPr>
        <w:pStyle w:val="NormalWeb"/>
        <w:spacing w:before="0" w:beforeAutospacing="0" w:after="0" w:afterAutospacing="0"/>
        <w:ind w:left="360" w:firstLine="348"/>
        <w:jc w:val="both"/>
        <w:rPr>
          <w:lang w:val="de-AT"/>
        </w:rPr>
      </w:pPr>
    </w:p>
    <w:p w14:paraId="7083BB9A" w14:textId="77777777" w:rsidR="00B96E8B" w:rsidRPr="00D0106E" w:rsidRDefault="00B96E8B" w:rsidP="00374F72">
      <w:pPr>
        <w:pStyle w:val="NormalWeb"/>
        <w:spacing w:before="0" w:beforeAutospacing="0" w:after="0" w:afterAutospacing="0"/>
        <w:ind w:left="360" w:firstLine="348"/>
        <w:jc w:val="both"/>
        <w:rPr>
          <w:lang w:val="de-AT"/>
        </w:rPr>
      </w:pPr>
    </w:p>
    <w:p w14:paraId="08C0EBD9" w14:textId="77777777" w:rsidR="00B96E8B" w:rsidRPr="00D0106E" w:rsidRDefault="00B96E8B" w:rsidP="00374F72">
      <w:pPr>
        <w:pStyle w:val="NormalWeb"/>
        <w:spacing w:before="0" w:beforeAutospacing="0" w:after="0" w:afterAutospacing="0"/>
        <w:ind w:left="360" w:firstLine="348"/>
        <w:jc w:val="both"/>
        <w:rPr>
          <w:lang w:val="de-AT"/>
        </w:rPr>
      </w:pPr>
    </w:p>
    <w:p w14:paraId="6C24A2B2" w14:textId="77777777" w:rsidR="00B96E8B" w:rsidRPr="00D0106E" w:rsidRDefault="00B96E8B" w:rsidP="00374F72">
      <w:pPr>
        <w:pStyle w:val="NormalWeb"/>
        <w:spacing w:before="0" w:beforeAutospacing="0" w:after="0" w:afterAutospacing="0"/>
        <w:ind w:left="360" w:firstLine="348"/>
        <w:jc w:val="both"/>
        <w:rPr>
          <w:lang w:val="de-AT"/>
        </w:rPr>
      </w:pPr>
    </w:p>
    <w:p w14:paraId="54826FB6" w14:textId="77777777" w:rsidR="00B96E8B" w:rsidRPr="00D0106E" w:rsidRDefault="00B96E8B" w:rsidP="00374F72">
      <w:pPr>
        <w:pStyle w:val="NormalWeb"/>
        <w:spacing w:before="0" w:beforeAutospacing="0" w:after="0" w:afterAutospacing="0"/>
        <w:ind w:left="360" w:firstLine="348"/>
        <w:jc w:val="both"/>
        <w:rPr>
          <w:lang w:val="de-AT"/>
        </w:rPr>
      </w:pPr>
    </w:p>
    <w:p w14:paraId="2B048C6F" w14:textId="77777777" w:rsidR="00B96E8B" w:rsidRPr="00D0106E" w:rsidRDefault="00B96E8B" w:rsidP="00374F72">
      <w:pPr>
        <w:pStyle w:val="NormalWeb"/>
        <w:spacing w:before="0" w:beforeAutospacing="0" w:after="0" w:afterAutospacing="0"/>
        <w:ind w:left="360" w:firstLine="348"/>
        <w:jc w:val="both"/>
        <w:rPr>
          <w:lang w:val="de-AT"/>
        </w:rPr>
      </w:pPr>
    </w:p>
    <w:p w14:paraId="688C46B4" w14:textId="77777777" w:rsidR="00B96E8B" w:rsidRPr="00D0106E" w:rsidRDefault="00B96E8B" w:rsidP="00374F72">
      <w:pPr>
        <w:pStyle w:val="NormalWeb"/>
        <w:spacing w:before="0" w:beforeAutospacing="0" w:after="0" w:afterAutospacing="0"/>
        <w:ind w:left="360" w:firstLine="348"/>
        <w:jc w:val="both"/>
        <w:rPr>
          <w:lang w:val="de-AT"/>
        </w:rPr>
      </w:pPr>
    </w:p>
    <w:p w14:paraId="6881530F" w14:textId="77777777" w:rsidR="00B96E8B" w:rsidRPr="00D0106E" w:rsidRDefault="00B96E8B" w:rsidP="00374F72">
      <w:pPr>
        <w:pStyle w:val="NormalWeb"/>
        <w:spacing w:before="0" w:beforeAutospacing="0" w:after="0" w:afterAutospacing="0"/>
        <w:ind w:left="360" w:firstLine="348"/>
        <w:jc w:val="both"/>
        <w:rPr>
          <w:lang w:val="de-AT"/>
        </w:rPr>
      </w:pPr>
    </w:p>
    <w:p w14:paraId="445C6753" w14:textId="77777777" w:rsidR="00B96E8B" w:rsidRPr="00D0106E" w:rsidRDefault="00B96E8B" w:rsidP="00374F72">
      <w:pPr>
        <w:pStyle w:val="NormalWeb"/>
        <w:spacing w:before="0" w:beforeAutospacing="0" w:after="0" w:afterAutospacing="0"/>
        <w:ind w:left="360" w:firstLine="348"/>
        <w:jc w:val="both"/>
        <w:rPr>
          <w:lang w:val="de-AT"/>
        </w:rPr>
      </w:pPr>
    </w:p>
    <w:p w14:paraId="27F4C52D" w14:textId="77777777" w:rsidR="00B96E8B" w:rsidRPr="00D0106E" w:rsidRDefault="00B96E8B" w:rsidP="00374F72">
      <w:pPr>
        <w:pStyle w:val="NormalWeb"/>
        <w:spacing w:before="0" w:beforeAutospacing="0" w:after="0" w:afterAutospacing="0"/>
        <w:ind w:left="360" w:firstLine="348"/>
        <w:jc w:val="both"/>
        <w:rPr>
          <w:lang w:val="de-AT"/>
        </w:rPr>
      </w:pPr>
    </w:p>
    <w:p w14:paraId="743D2A02" w14:textId="77777777" w:rsidR="00B96E8B" w:rsidRPr="00D0106E" w:rsidRDefault="00B96E8B" w:rsidP="00374F72">
      <w:pPr>
        <w:pStyle w:val="NormalWeb"/>
        <w:spacing w:before="0" w:beforeAutospacing="0" w:after="0" w:afterAutospacing="0"/>
        <w:ind w:left="360" w:firstLine="348"/>
        <w:jc w:val="both"/>
        <w:rPr>
          <w:lang w:val="de-AT"/>
        </w:rPr>
      </w:pPr>
    </w:p>
    <w:p w14:paraId="698186AF" w14:textId="77777777" w:rsidR="00B96E8B" w:rsidRPr="00D0106E" w:rsidRDefault="00B96E8B" w:rsidP="00374F72">
      <w:pPr>
        <w:pStyle w:val="NormalWeb"/>
        <w:spacing w:before="0" w:beforeAutospacing="0" w:after="0" w:afterAutospacing="0"/>
        <w:ind w:left="360" w:firstLine="348"/>
        <w:jc w:val="both"/>
        <w:rPr>
          <w:lang w:val="de-AT"/>
        </w:rPr>
      </w:pPr>
    </w:p>
    <w:p w14:paraId="2918E06F" w14:textId="77777777" w:rsidR="00697E0A" w:rsidRPr="00D0106E" w:rsidRDefault="00697E0A">
      <w:pPr>
        <w:pStyle w:val="NormalWeb"/>
        <w:spacing w:after="0"/>
        <w:jc w:val="both"/>
        <w:rPr>
          <w:lang w:val="de-AT"/>
        </w:rPr>
      </w:pPr>
    </w:p>
    <w:sectPr w:rsidR="00697E0A" w:rsidRPr="00D0106E" w:rsidSect="003D36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1FC7" w14:textId="77777777" w:rsidR="00FC04BE" w:rsidRDefault="00FC04BE" w:rsidP="001C609E">
      <w:pPr>
        <w:spacing w:after="0" w:line="240" w:lineRule="auto"/>
      </w:pPr>
      <w:r>
        <w:separator/>
      </w:r>
    </w:p>
  </w:endnote>
  <w:endnote w:type="continuationSeparator" w:id="0">
    <w:p w14:paraId="5DB748EB" w14:textId="77777777" w:rsidR="00FC04BE" w:rsidRDefault="00FC04BE" w:rsidP="001C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4313" w14:textId="77777777" w:rsidR="00FC04BE" w:rsidRDefault="00FC04BE" w:rsidP="001C609E">
      <w:pPr>
        <w:spacing w:after="0" w:line="240" w:lineRule="auto"/>
      </w:pPr>
      <w:r>
        <w:separator/>
      </w:r>
    </w:p>
  </w:footnote>
  <w:footnote w:type="continuationSeparator" w:id="0">
    <w:p w14:paraId="6CF7B4E2" w14:textId="77777777" w:rsidR="00FC04BE" w:rsidRDefault="00FC04BE" w:rsidP="001C609E">
      <w:pPr>
        <w:spacing w:after="0" w:line="240" w:lineRule="auto"/>
      </w:pPr>
      <w:r>
        <w:continuationSeparator/>
      </w:r>
    </w:p>
  </w:footnote>
  <w:footnote w:id="1">
    <w:p w14:paraId="0E9E70EA" w14:textId="77777777" w:rsidR="001C609E" w:rsidRPr="00740EB4" w:rsidRDefault="001C609E" w:rsidP="00BF1312">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016A3E" w:rsidRPr="00740EB4">
        <w:rPr>
          <w:rFonts w:ascii="Times New Roman" w:hAnsi="Times New Roman" w:cs="Times New Roman"/>
          <w:lang w:val="de-AT"/>
        </w:rPr>
        <w:t>J.</w:t>
      </w:r>
      <w:r w:rsidR="00BF1312" w:rsidRPr="00740EB4">
        <w:rPr>
          <w:rFonts w:ascii="Times New Roman" w:hAnsi="Times New Roman" w:cs="Times New Roman"/>
          <w:lang w:val="de-AT"/>
        </w:rPr>
        <w:t xml:space="preserve"> Ratzinger, </w:t>
      </w:r>
      <w:r w:rsidR="00BF1312" w:rsidRPr="00740EB4">
        <w:rPr>
          <w:rStyle w:val="Emphasis"/>
          <w:rFonts w:ascii="Times New Roman" w:hAnsi="Times New Roman" w:cs="Times New Roman"/>
          <w:lang w:val="de-AT"/>
        </w:rPr>
        <w:t>Was die Welt zusammenhält. Vorpolitische moralische Grundlagen eines freiheitlichen Staates</w:t>
      </w:r>
      <w:r w:rsidR="00697E0A">
        <w:rPr>
          <w:rFonts w:ascii="Times New Roman" w:hAnsi="Times New Roman" w:cs="Times New Roman"/>
          <w:lang w:val="de-AT"/>
        </w:rPr>
        <w:t>, w: J. Habermas, J.</w:t>
      </w:r>
      <w:r w:rsidR="00BF1312" w:rsidRPr="00740EB4">
        <w:rPr>
          <w:rFonts w:ascii="Times New Roman" w:hAnsi="Times New Roman" w:cs="Times New Roman"/>
          <w:lang w:val="de-AT"/>
        </w:rPr>
        <w:t xml:space="preserve"> Ratzinger, </w:t>
      </w:r>
      <w:r w:rsidR="00BF1312" w:rsidRPr="00740EB4">
        <w:rPr>
          <w:rStyle w:val="Emphasis"/>
          <w:rFonts w:ascii="Times New Roman" w:hAnsi="Times New Roman" w:cs="Times New Roman"/>
          <w:lang w:val="de-AT"/>
        </w:rPr>
        <w:t>Dialektik der Säkularisierung. Über Vernunft und Religion</w:t>
      </w:r>
      <w:r w:rsidR="00BF1312" w:rsidRPr="00740EB4">
        <w:rPr>
          <w:rFonts w:ascii="Times New Roman" w:hAnsi="Times New Roman" w:cs="Times New Roman"/>
          <w:lang w:val="de-AT"/>
        </w:rPr>
        <w:t xml:space="preserve">, Freiburg i. Br. 2005, s. 39–60, </w:t>
      </w:r>
      <w:r w:rsidR="00016A3E" w:rsidRPr="00740EB4">
        <w:rPr>
          <w:rFonts w:ascii="Times New Roman" w:hAnsi="Times New Roman" w:cs="Times New Roman"/>
          <w:lang w:val="de-AT"/>
        </w:rPr>
        <w:t xml:space="preserve">tutaj s. </w:t>
      </w:r>
      <w:r w:rsidR="00BF1312" w:rsidRPr="00740EB4">
        <w:rPr>
          <w:rFonts w:ascii="Times New Roman" w:hAnsi="Times New Roman" w:cs="Times New Roman"/>
          <w:lang w:val="de-AT"/>
        </w:rPr>
        <w:t>50.</w:t>
      </w:r>
    </w:p>
  </w:footnote>
  <w:footnote w:id="2">
    <w:p w14:paraId="6F5E7A66" w14:textId="77777777" w:rsidR="00C17C79" w:rsidRPr="00740EB4" w:rsidRDefault="002D1D56" w:rsidP="00617468">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016A3E" w:rsidRPr="00740EB4">
        <w:rPr>
          <w:rFonts w:ascii="Times New Roman" w:hAnsi="Times New Roman" w:cs="Times New Roman"/>
          <w:lang w:val="de-AT"/>
        </w:rPr>
        <w:t>P.</w:t>
      </w:r>
      <w:r w:rsidR="00C17C79" w:rsidRPr="00740EB4">
        <w:rPr>
          <w:rFonts w:ascii="Times New Roman" w:hAnsi="Times New Roman" w:cs="Times New Roman"/>
          <w:lang w:val="de-AT"/>
        </w:rPr>
        <w:t xml:space="preserve"> Foot, </w:t>
      </w:r>
      <w:r w:rsidR="00C17C79" w:rsidRPr="00740EB4">
        <w:rPr>
          <w:rStyle w:val="Emphasis"/>
          <w:rFonts w:ascii="Times New Roman" w:hAnsi="Times New Roman" w:cs="Times New Roman"/>
          <w:lang w:val="de-AT"/>
        </w:rPr>
        <w:t>Die Wirklichkeit des Guten. Moralphilosophische Aufsätze</w:t>
      </w:r>
      <w:r w:rsidR="00C17C79" w:rsidRPr="00740EB4">
        <w:rPr>
          <w:rFonts w:ascii="Times New Roman" w:hAnsi="Times New Roman" w:cs="Times New Roman"/>
          <w:lang w:val="de-AT"/>
        </w:rPr>
        <w:t>, Frankfurt/M. 1997, s. 41.</w:t>
      </w:r>
    </w:p>
  </w:footnote>
  <w:footnote w:id="3">
    <w:p w14:paraId="168AA081" w14:textId="77777777" w:rsidR="009253FC" w:rsidRPr="00740EB4" w:rsidRDefault="009253FC" w:rsidP="00016A3E">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016A3E" w:rsidRPr="00740EB4">
        <w:rPr>
          <w:rFonts w:ascii="Times New Roman" w:hAnsi="Times New Roman" w:cs="Times New Roman"/>
          <w:lang w:val="de-AT"/>
        </w:rPr>
        <w:t xml:space="preserve">Por. Paul VI., Enzyklika </w:t>
      </w:r>
      <w:r w:rsidR="00D22704" w:rsidRPr="00740EB4">
        <w:rPr>
          <w:rFonts w:ascii="Times New Roman" w:hAnsi="Times New Roman" w:cs="Times New Roman"/>
          <w:i/>
          <w:iCs/>
          <w:lang w:val="de-AT"/>
        </w:rPr>
        <w:t>Humanae vitae</w:t>
      </w:r>
      <w:r w:rsidR="00016A3E" w:rsidRPr="00740EB4">
        <w:rPr>
          <w:rFonts w:ascii="Times New Roman" w:hAnsi="Times New Roman" w:cs="Times New Roman"/>
          <w:lang w:val="de-AT"/>
        </w:rPr>
        <w:t xml:space="preserve">, Trier </w:t>
      </w:r>
      <w:proofErr w:type="gramStart"/>
      <w:r w:rsidR="00016A3E" w:rsidRPr="00740EB4">
        <w:rPr>
          <w:rFonts w:ascii="Times New Roman" w:hAnsi="Times New Roman" w:cs="Times New Roman"/>
          <w:lang w:val="de-AT"/>
        </w:rPr>
        <w:t>1979,  10</w:t>
      </w:r>
      <w:proofErr w:type="gramEnd"/>
      <w:r w:rsidR="00016A3E" w:rsidRPr="00740EB4">
        <w:rPr>
          <w:rFonts w:ascii="Times New Roman" w:hAnsi="Times New Roman" w:cs="Times New Roman"/>
          <w:lang w:val="de-AT"/>
        </w:rPr>
        <w:t>, przypis</w:t>
      </w:r>
      <w:r w:rsidR="00D22704" w:rsidRPr="00740EB4">
        <w:rPr>
          <w:rFonts w:ascii="Times New Roman" w:hAnsi="Times New Roman" w:cs="Times New Roman"/>
          <w:lang w:val="de-AT"/>
        </w:rPr>
        <w:t xml:space="preserve"> 9.</w:t>
      </w:r>
    </w:p>
  </w:footnote>
  <w:footnote w:id="4">
    <w:p w14:paraId="5F3C3BAB" w14:textId="77777777" w:rsidR="009253FC" w:rsidRPr="00740EB4" w:rsidRDefault="009253FC" w:rsidP="00D22704">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016A3E" w:rsidRPr="00740EB4">
        <w:rPr>
          <w:rFonts w:ascii="Times New Roman" w:hAnsi="Times New Roman" w:cs="Times New Roman"/>
          <w:lang w:val="de-AT"/>
        </w:rPr>
        <w:t>Por. w związku z tym</w:t>
      </w:r>
      <w:r w:rsidR="00D22704" w:rsidRPr="00740EB4">
        <w:rPr>
          <w:rFonts w:ascii="Times New Roman" w:hAnsi="Times New Roman" w:cs="Times New Roman"/>
          <w:lang w:val="de-AT"/>
        </w:rPr>
        <w:t xml:space="preserve"> </w:t>
      </w:r>
      <w:r w:rsidR="00697E0A">
        <w:rPr>
          <w:rFonts w:ascii="Times New Roman" w:hAnsi="Times New Roman" w:cs="Times New Roman"/>
          <w:lang w:val="de-AT"/>
        </w:rPr>
        <w:t xml:space="preserve">J. </w:t>
      </w:r>
      <w:r w:rsidR="00D22704" w:rsidRPr="00740EB4">
        <w:rPr>
          <w:rFonts w:ascii="Times New Roman" w:hAnsi="Times New Roman" w:cs="Times New Roman"/>
          <w:lang w:val="de-AT"/>
        </w:rPr>
        <w:t xml:space="preserve">Ratzinger, </w:t>
      </w:r>
      <w:r w:rsidR="00D22704" w:rsidRPr="00740EB4">
        <w:rPr>
          <w:rStyle w:val="Emphasis"/>
          <w:rFonts w:ascii="Times New Roman" w:hAnsi="Times New Roman" w:cs="Times New Roman"/>
          <w:lang w:val="de-AT"/>
        </w:rPr>
        <w:t>Zur Theologie der Ehe</w:t>
      </w:r>
      <w:r w:rsidR="00697E0A">
        <w:rPr>
          <w:rFonts w:ascii="Times New Roman" w:hAnsi="Times New Roman" w:cs="Times New Roman"/>
          <w:lang w:val="de-AT"/>
        </w:rPr>
        <w:t>, w: G. Krems, R.</w:t>
      </w:r>
      <w:r w:rsidR="00D22704" w:rsidRPr="00740EB4">
        <w:rPr>
          <w:rFonts w:ascii="Times New Roman" w:hAnsi="Times New Roman" w:cs="Times New Roman"/>
          <w:lang w:val="de-AT"/>
        </w:rPr>
        <w:t xml:space="preserve"> Mumm (Hg.), </w:t>
      </w:r>
      <w:r w:rsidR="00D22704" w:rsidRPr="00740EB4">
        <w:rPr>
          <w:rStyle w:val="Emphasis"/>
          <w:rFonts w:ascii="Times New Roman" w:hAnsi="Times New Roman" w:cs="Times New Roman"/>
          <w:lang w:val="de-AT"/>
        </w:rPr>
        <w:t>Theologie der Ehe</w:t>
      </w:r>
      <w:r w:rsidR="00D22704" w:rsidRPr="00740EB4">
        <w:rPr>
          <w:rFonts w:ascii="Times New Roman" w:hAnsi="Times New Roman" w:cs="Times New Roman"/>
          <w:lang w:val="de-AT"/>
        </w:rPr>
        <w:t>, Regensburg 1969, s. 81–115, tutaj s. 98.</w:t>
      </w:r>
    </w:p>
  </w:footnote>
  <w:footnote w:id="5">
    <w:p w14:paraId="24CA01EA" w14:textId="77777777" w:rsidR="005E648B" w:rsidRPr="00740EB4" w:rsidRDefault="005E648B" w:rsidP="00016A3E">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016A3E" w:rsidRPr="00740EB4">
        <w:rPr>
          <w:rFonts w:ascii="Times New Roman" w:hAnsi="Times New Roman" w:cs="Times New Roman"/>
          <w:lang w:val="de-AT"/>
        </w:rPr>
        <w:t>T</w:t>
      </w:r>
      <w:r w:rsidR="00081091" w:rsidRPr="00740EB4">
        <w:rPr>
          <w:rFonts w:ascii="Times New Roman" w:hAnsi="Times New Roman" w:cs="Times New Roman"/>
          <w:lang w:val="de-AT"/>
        </w:rPr>
        <w:t>homas</w:t>
      </w:r>
      <w:r w:rsidR="00016A3E" w:rsidRPr="00740EB4">
        <w:rPr>
          <w:rFonts w:ascii="Times New Roman" w:hAnsi="Times New Roman" w:cs="Times New Roman"/>
          <w:lang w:val="de-AT"/>
        </w:rPr>
        <w:t xml:space="preserve"> von Aquin, </w:t>
      </w:r>
      <w:r w:rsidR="00016A3E" w:rsidRPr="00740EB4">
        <w:rPr>
          <w:rFonts w:ascii="Times New Roman" w:hAnsi="Times New Roman" w:cs="Times New Roman"/>
          <w:i/>
          <w:iCs/>
          <w:lang w:val="de-AT"/>
        </w:rPr>
        <w:t>Summa Theologiae</w:t>
      </w:r>
      <w:r w:rsidR="00016A3E" w:rsidRPr="00740EB4">
        <w:rPr>
          <w:rFonts w:ascii="Times New Roman" w:hAnsi="Times New Roman" w:cs="Times New Roman"/>
          <w:lang w:val="de-AT"/>
        </w:rPr>
        <w:t xml:space="preserve">, München 1950, </w:t>
      </w:r>
      <w:r w:rsidR="00F52BC2" w:rsidRPr="00740EB4">
        <w:rPr>
          <w:rFonts w:ascii="Times New Roman" w:hAnsi="Times New Roman" w:cs="Times New Roman"/>
          <w:lang w:val="de-AT"/>
        </w:rPr>
        <w:t>I–II, q. 90, a. 1.</w:t>
      </w:r>
    </w:p>
  </w:footnote>
  <w:footnote w:id="6">
    <w:p w14:paraId="74B82BF8" w14:textId="77777777" w:rsidR="005E648B" w:rsidRPr="00D0106E" w:rsidRDefault="005E648B" w:rsidP="00081091">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D0106E">
        <w:rPr>
          <w:rFonts w:ascii="Times New Roman" w:hAnsi="Times New Roman" w:cs="Times New Roman"/>
          <w:lang w:val="de-AT"/>
        </w:rPr>
        <w:t xml:space="preserve"> </w:t>
      </w:r>
      <w:r w:rsidR="00081091" w:rsidRPr="00D0106E">
        <w:rPr>
          <w:rFonts w:ascii="Times New Roman" w:hAnsi="Times New Roman" w:cs="Times New Roman"/>
          <w:lang w:val="de-AT"/>
        </w:rPr>
        <w:t xml:space="preserve">Thomas von Aquin, </w:t>
      </w:r>
      <w:r w:rsidR="00081091" w:rsidRPr="00D0106E">
        <w:rPr>
          <w:rFonts w:ascii="Times New Roman" w:hAnsi="Times New Roman" w:cs="Times New Roman"/>
          <w:i/>
          <w:iCs/>
          <w:lang w:val="de-AT"/>
        </w:rPr>
        <w:t>Summa Theologiae</w:t>
      </w:r>
      <w:r w:rsidR="00081091" w:rsidRPr="00D0106E">
        <w:rPr>
          <w:rFonts w:ascii="Times New Roman" w:hAnsi="Times New Roman" w:cs="Times New Roman"/>
          <w:lang w:val="de-AT"/>
        </w:rPr>
        <w:t xml:space="preserve">, </w:t>
      </w:r>
      <w:r w:rsidR="006206BF" w:rsidRPr="00D0106E">
        <w:rPr>
          <w:rFonts w:ascii="Times New Roman" w:hAnsi="Times New Roman" w:cs="Times New Roman"/>
          <w:lang w:val="de-AT"/>
        </w:rPr>
        <w:t>I–II, q. 90, a. 4.</w:t>
      </w:r>
    </w:p>
  </w:footnote>
  <w:footnote w:id="7">
    <w:p w14:paraId="587BD19D" w14:textId="77777777" w:rsidR="005E648B" w:rsidRPr="00D0106E" w:rsidRDefault="005E648B" w:rsidP="00081091">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D0106E">
        <w:rPr>
          <w:rFonts w:ascii="Times New Roman" w:hAnsi="Times New Roman" w:cs="Times New Roman"/>
          <w:lang w:val="de-AT"/>
        </w:rPr>
        <w:t xml:space="preserve"> </w:t>
      </w:r>
      <w:r w:rsidR="00081091" w:rsidRPr="00D0106E">
        <w:rPr>
          <w:rFonts w:ascii="Times New Roman" w:hAnsi="Times New Roman" w:cs="Times New Roman"/>
          <w:lang w:val="de-AT"/>
        </w:rPr>
        <w:t xml:space="preserve">Thomas von Aquin, </w:t>
      </w:r>
      <w:r w:rsidR="00081091" w:rsidRPr="00D0106E">
        <w:rPr>
          <w:rFonts w:ascii="Times New Roman" w:hAnsi="Times New Roman" w:cs="Times New Roman"/>
          <w:i/>
          <w:iCs/>
          <w:lang w:val="de-AT"/>
        </w:rPr>
        <w:t>Summa Theologiae</w:t>
      </w:r>
      <w:r w:rsidR="00081091" w:rsidRPr="00D0106E">
        <w:rPr>
          <w:rFonts w:ascii="Times New Roman" w:hAnsi="Times New Roman" w:cs="Times New Roman"/>
          <w:lang w:val="de-AT"/>
        </w:rPr>
        <w:t xml:space="preserve">, </w:t>
      </w:r>
      <w:r w:rsidR="001E3CF5" w:rsidRPr="00D0106E">
        <w:rPr>
          <w:rFonts w:ascii="Times New Roman" w:hAnsi="Times New Roman" w:cs="Times New Roman"/>
          <w:lang w:val="de-AT"/>
        </w:rPr>
        <w:t>I–II, q. 90, a. 1, ad 2.</w:t>
      </w:r>
    </w:p>
  </w:footnote>
  <w:footnote w:id="8">
    <w:p w14:paraId="21254C14" w14:textId="77777777" w:rsidR="008B1C57" w:rsidRPr="00740EB4" w:rsidRDefault="008B1C57" w:rsidP="00081091">
      <w:pPr>
        <w:pStyle w:val="NormalWeb"/>
        <w:spacing w:before="0" w:beforeAutospacing="0" w:after="0" w:afterAutospacing="0"/>
        <w:jc w:val="both"/>
        <w:rPr>
          <w:b/>
          <w:sz w:val="20"/>
          <w:szCs w:val="20"/>
          <w:lang w:val="de-AT"/>
        </w:rPr>
      </w:pPr>
      <w:r w:rsidRPr="00740EB4">
        <w:rPr>
          <w:rStyle w:val="FootnoteReference"/>
          <w:b/>
          <w:sz w:val="20"/>
          <w:szCs w:val="20"/>
        </w:rPr>
        <w:footnoteRef/>
      </w:r>
      <w:r w:rsidR="00081091" w:rsidRPr="00697E0A">
        <w:rPr>
          <w:rStyle w:val="Strong"/>
          <w:b w:val="0"/>
          <w:sz w:val="20"/>
          <w:szCs w:val="20"/>
          <w:lang w:val="de-AT"/>
        </w:rPr>
        <w:t xml:space="preserve"> </w:t>
      </w:r>
      <w:r w:rsidR="00081091" w:rsidRPr="00740EB4">
        <w:rPr>
          <w:sz w:val="20"/>
          <w:szCs w:val="20"/>
          <w:lang w:val="de-AT"/>
        </w:rPr>
        <w:t xml:space="preserve">Thomas von Aquin, </w:t>
      </w:r>
      <w:r w:rsidR="00081091" w:rsidRPr="00740EB4">
        <w:rPr>
          <w:i/>
          <w:iCs/>
          <w:sz w:val="20"/>
          <w:szCs w:val="20"/>
          <w:lang w:val="de-AT"/>
        </w:rPr>
        <w:t xml:space="preserve">Summa </w:t>
      </w:r>
      <w:proofErr w:type="gramStart"/>
      <w:r w:rsidR="00081091" w:rsidRPr="00740EB4">
        <w:rPr>
          <w:i/>
          <w:iCs/>
          <w:sz w:val="20"/>
          <w:szCs w:val="20"/>
          <w:lang w:val="de-AT"/>
        </w:rPr>
        <w:t>Theologiae</w:t>
      </w:r>
      <w:r w:rsidR="00081091" w:rsidRPr="00740EB4">
        <w:rPr>
          <w:sz w:val="20"/>
          <w:szCs w:val="20"/>
          <w:lang w:val="de-AT"/>
        </w:rPr>
        <w:t xml:space="preserve">, </w:t>
      </w:r>
      <w:r w:rsidR="00093C92" w:rsidRPr="00697E0A">
        <w:rPr>
          <w:rStyle w:val="Strong"/>
          <w:b w:val="0"/>
          <w:sz w:val="20"/>
          <w:szCs w:val="20"/>
          <w:lang w:val="de-AT"/>
        </w:rPr>
        <w:t xml:space="preserve"> </w:t>
      </w:r>
      <w:r w:rsidR="00093C92" w:rsidRPr="00740EB4">
        <w:rPr>
          <w:rStyle w:val="Strong"/>
          <w:b w:val="0"/>
          <w:sz w:val="20"/>
          <w:szCs w:val="20"/>
          <w:lang w:val="de-AT"/>
        </w:rPr>
        <w:t>I</w:t>
      </w:r>
      <w:proofErr w:type="gramEnd"/>
      <w:r w:rsidR="00093C92" w:rsidRPr="00740EB4">
        <w:rPr>
          <w:rStyle w:val="Strong"/>
          <w:b w:val="0"/>
          <w:sz w:val="20"/>
          <w:szCs w:val="20"/>
          <w:lang w:val="de-AT"/>
        </w:rPr>
        <w:t>–II, q. 93, a. 2; a. 3; a. 6.</w:t>
      </w:r>
    </w:p>
  </w:footnote>
  <w:footnote w:id="9">
    <w:p w14:paraId="2EE45F27" w14:textId="77777777" w:rsidR="00FD4693" w:rsidRPr="00740EB4" w:rsidRDefault="00FD4693" w:rsidP="000C2503">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697E0A">
        <w:rPr>
          <w:rFonts w:ascii="Times New Roman" w:hAnsi="Times New Roman" w:cs="Times New Roman"/>
          <w:lang w:val="de-AT"/>
        </w:rPr>
        <w:t>W.</w:t>
      </w:r>
      <w:r w:rsidR="000C2503" w:rsidRPr="00740EB4">
        <w:rPr>
          <w:rFonts w:ascii="Times New Roman" w:hAnsi="Times New Roman" w:cs="Times New Roman"/>
          <w:lang w:val="de-AT"/>
        </w:rPr>
        <w:t xml:space="preserve"> Kluxen, </w:t>
      </w:r>
      <w:r w:rsidR="000C2503" w:rsidRPr="00740EB4">
        <w:rPr>
          <w:rStyle w:val="Emphasis"/>
          <w:rFonts w:ascii="Times New Roman" w:hAnsi="Times New Roman" w:cs="Times New Roman"/>
          <w:lang w:val="de-AT"/>
        </w:rPr>
        <w:t>Philosophische Ethik bei Thomas von Aquin</w:t>
      </w:r>
      <w:r w:rsidR="000C2503" w:rsidRPr="00740EB4">
        <w:rPr>
          <w:rFonts w:ascii="Times New Roman" w:hAnsi="Times New Roman" w:cs="Times New Roman"/>
          <w:lang w:val="de-AT"/>
        </w:rPr>
        <w:t>, Hamburg ²</w:t>
      </w:r>
      <w:r w:rsidR="00016A3E" w:rsidRPr="00740EB4">
        <w:rPr>
          <w:rFonts w:ascii="Times New Roman" w:hAnsi="Times New Roman" w:cs="Times New Roman"/>
          <w:lang w:val="de-AT"/>
        </w:rPr>
        <w:t xml:space="preserve"> </w:t>
      </w:r>
      <w:r w:rsidR="000C2503" w:rsidRPr="00740EB4">
        <w:rPr>
          <w:rFonts w:ascii="Times New Roman" w:hAnsi="Times New Roman" w:cs="Times New Roman"/>
          <w:lang w:val="de-AT"/>
        </w:rPr>
        <w:t>1980, s. 234.</w:t>
      </w:r>
    </w:p>
  </w:footnote>
  <w:footnote w:id="10">
    <w:p w14:paraId="0A232460" w14:textId="77777777" w:rsidR="00AB6847" w:rsidRPr="00740EB4" w:rsidRDefault="00AB6847" w:rsidP="00740EB4">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en-US"/>
        </w:rPr>
        <w:t xml:space="preserve"> </w:t>
      </w:r>
      <w:r w:rsidR="000C2503" w:rsidRPr="00740EB4">
        <w:rPr>
          <w:rFonts w:ascii="Times New Roman" w:hAnsi="Times New Roman" w:cs="Times New Roman"/>
          <w:lang w:val="en-US"/>
        </w:rPr>
        <w:t>Por.</w:t>
      </w:r>
      <w:r w:rsidR="00740EB4" w:rsidRPr="00740EB4">
        <w:rPr>
          <w:rFonts w:ascii="Times New Roman" w:hAnsi="Times New Roman" w:cs="Times New Roman"/>
          <w:lang w:val="en-US"/>
        </w:rPr>
        <w:t xml:space="preserve"> Thomas von Aquin, </w:t>
      </w:r>
      <w:r w:rsidR="00740EB4" w:rsidRPr="00740EB4">
        <w:rPr>
          <w:rFonts w:ascii="Times New Roman" w:hAnsi="Times New Roman" w:cs="Times New Roman"/>
          <w:i/>
          <w:iCs/>
          <w:lang w:val="en-US"/>
        </w:rPr>
        <w:t>Summa Theologiae</w:t>
      </w:r>
      <w:r w:rsidR="00740EB4" w:rsidRPr="00740EB4">
        <w:rPr>
          <w:rFonts w:ascii="Times New Roman" w:hAnsi="Times New Roman" w:cs="Times New Roman"/>
          <w:lang w:val="en-US"/>
        </w:rPr>
        <w:t xml:space="preserve">, </w:t>
      </w:r>
      <w:r w:rsidR="000C2503" w:rsidRPr="00740EB4">
        <w:rPr>
          <w:rFonts w:ascii="Times New Roman" w:hAnsi="Times New Roman" w:cs="Times New Roman"/>
          <w:lang w:val="en-US"/>
        </w:rPr>
        <w:t>I–II, q. 104, a. 1 oraz I–II, q. 104, a. 1, ad 3.</w:t>
      </w:r>
    </w:p>
  </w:footnote>
  <w:footnote w:id="11">
    <w:p w14:paraId="01373C1D" w14:textId="77777777" w:rsidR="009E5A10" w:rsidRPr="00740EB4" w:rsidRDefault="009E5A10" w:rsidP="00697E0A">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740EB4" w:rsidRPr="00740EB4">
        <w:rPr>
          <w:rFonts w:ascii="Times New Roman" w:hAnsi="Times New Roman" w:cs="Times New Roman"/>
          <w:lang w:val="de-AT"/>
        </w:rPr>
        <w:t>Por. W</w:t>
      </w:r>
      <w:r w:rsidR="006E4A80" w:rsidRPr="00740EB4">
        <w:rPr>
          <w:rFonts w:ascii="Times New Roman" w:hAnsi="Times New Roman" w:cs="Times New Roman"/>
          <w:lang w:val="de-AT"/>
        </w:rPr>
        <w:t xml:space="preserve"> tym zakresie obszerniej </w:t>
      </w:r>
      <w:r w:rsidR="00697E0A">
        <w:rPr>
          <w:rFonts w:ascii="Times New Roman" w:hAnsi="Times New Roman" w:cs="Times New Roman"/>
          <w:lang w:val="de-AT"/>
        </w:rPr>
        <w:t xml:space="preserve">F.J. </w:t>
      </w:r>
      <w:r w:rsidR="006E4A80" w:rsidRPr="00740EB4">
        <w:rPr>
          <w:rFonts w:ascii="Times New Roman" w:hAnsi="Times New Roman" w:cs="Times New Roman"/>
          <w:lang w:val="de-AT"/>
        </w:rPr>
        <w:t xml:space="preserve">Bormann, </w:t>
      </w:r>
      <w:r w:rsidR="006E4A80" w:rsidRPr="00740EB4">
        <w:rPr>
          <w:rStyle w:val="Emphasis"/>
          <w:rFonts w:ascii="Times New Roman" w:hAnsi="Times New Roman" w:cs="Times New Roman"/>
          <w:lang w:val="de-AT"/>
        </w:rPr>
        <w:t>Natur als Horizont sittlicher Praxis. Zur handlungstheoretischen Interpretation der Lehre vom natürlichen Sittengesetz bei Thomas von Aquin</w:t>
      </w:r>
      <w:r w:rsidR="006E4A80" w:rsidRPr="00740EB4">
        <w:rPr>
          <w:rFonts w:ascii="Times New Roman" w:hAnsi="Times New Roman" w:cs="Times New Roman"/>
          <w:lang w:val="de-AT"/>
        </w:rPr>
        <w:t>, Stuttgart 1999, szczególnie s. 46–61.</w:t>
      </w:r>
    </w:p>
  </w:footnote>
  <w:footnote w:id="12">
    <w:p w14:paraId="3F09D1B8" w14:textId="77777777" w:rsidR="00E33BF9" w:rsidRPr="00740EB4" w:rsidRDefault="00E33BF9" w:rsidP="00CC2F65">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en-US"/>
        </w:rPr>
        <w:t xml:space="preserve"> </w:t>
      </w:r>
      <w:r w:rsidR="00081091" w:rsidRPr="00740EB4">
        <w:rPr>
          <w:rFonts w:ascii="Times New Roman" w:hAnsi="Times New Roman" w:cs="Times New Roman"/>
          <w:lang w:val="en-US"/>
        </w:rPr>
        <w:t>Por. S.</w:t>
      </w:r>
      <w:r w:rsidR="00CC2F65" w:rsidRPr="00740EB4">
        <w:rPr>
          <w:rFonts w:ascii="Times New Roman" w:hAnsi="Times New Roman" w:cs="Times New Roman"/>
          <w:lang w:val="en-US"/>
        </w:rPr>
        <w:t xml:space="preserve">L. Brock, </w:t>
      </w:r>
      <w:r w:rsidR="00CC2F65" w:rsidRPr="00740EB4">
        <w:rPr>
          <w:rStyle w:val="Emphasis"/>
          <w:rFonts w:ascii="Times New Roman" w:hAnsi="Times New Roman" w:cs="Times New Roman"/>
          <w:lang w:val="en-US"/>
        </w:rPr>
        <w:t>The Light That Binds. A Study in Thomas Aquinas’s Metaphysics of Natural Law</w:t>
      </w:r>
      <w:r w:rsidR="00CC2F65" w:rsidRPr="00740EB4">
        <w:rPr>
          <w:rFonts w:ascii="Times New Roman" w:hAnsi="Times New Roman" w:cs="Times New Roman"/>
          <w:lang w:val="en-US"/>
        </w:rPr>
        <w:t>, Eugene/OR 2020.</w:t>
      </w:r>
    </w:p>
  </w:footnote>
  <w:footnote w:id="13">
    <w:p w14:paraId="76BF47A0" w14:textId="77777777" w:rsidR="00D47138" w:rsidRPr="00740EB4" w:rsidRDefault="00D47138" w:rsidP="008C4DC6">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en-US"/>
        </w:rPr>
        <w:t xml:space="preserve"> </w:t>
      </w:r>
      <w:r w:rsidR="008C4DC6" w:rsidRPr="00740EB4">
        <w:rPr>
          <w:rFonts w:ascii="Times New Roman" w:hAnsi="Times New Roman" w:cs="Times New Roman"/>
          <w:lang w:val="en-US"/>
        </w:rPr>
        <w:t xml:space="preserve">W tym sensie Brock wyjaśnia: „in order to function as precepts of divine law, the precepts of natural law do not have to be considered precisely as divine” (Brock, </w:t>
      </w:r>
      <w:r w:rsidR="008C4DC6" w:rsidRPr="00740EB4">
        <w:rPr>
          <w:rStyle w:val="Emphasis"/>
          <w:rFonts w:ascii="Times New Roman" w:hAnsi="Times New Roman" w:cs="Times New Roman"/>
          <w:lang w:val="en-US"/>
        </w:rPr>
        <w:t>The Light That Binds</w:t>
      </w:r>
      <w:r w:rsidR="008C4DC6" w:rsidRPr="00740EB4">
        <w:rPr>
          <w:rFonts w:ascii="Times New Roman" w:hAnsi="Times New Roman" w:cs="Times New Roman"/>
          <w:lang w:val="en-US"/>
        </w:rPr>
        <w:t xml:space="preserve"> [zob. przyp. 12], 206); „natural law, as naturally understood, already functions as a true law, with the proper effects of law, even before it is understood as a law, promu</w:t>
      </w:r>
      <w:r w:rsidR="00FF03B4">
        <w:rPr>
          <w:rFonts w:ascii="Times New Roman" w:hAnsi="Times New Roman" w:cs="Times New Roman"/>
          <w:lang w:val="en-US"/>
        </w:rPr>
        <w:t xml:space="preserve">lgated by God.” S.L. </w:t>
      </w:r>
      <w:r w:rsidR="008C4DC6" w:rsidRPr="00740EB4">
        <w:rPr>
          <w:rFonts w:ascii="Times New Roman" w:hAnsi="Times New Roman" w:cs="Times New Roman"/>
          <w:lang w:val="en-US"/>
        </w:rPr>
        <w:t xml:space="preserve">Brock, </w:t>
      </w:r>
      <w:r w:rsidR="008C4DC6" w:rsidRPr="00740EB4">
        <w:rPr>
          <w:rStyle w:val="Emphasis"/>
          <w:rFonts w:ascii="Times New Roman" w:hAnsi="Times New Roman" w:cs="Times New Roman"/>
          <w:lang w:val="en-US"/>
        </w:rPr>
        <w:t>The Light That Binds</w:t>
      </w:r>
      <w:r w:rsidR="008C4DC6" w:rsidRPr="00740EB4">
        <w:rPr>
          <w:rFonts w:ascii="Times New Roman" w:hAnsi="Times New Roman" w:cs="Times New Roman"/>
          <w:lang w:val="en-US"/>
        </w:rPr>
        <w:t xml:space="preserve"> [zob. przyp. </w:t>
      </w:r>
      <w:proofErr w:type="gramStart"/>
      <w:r w:rsidR="008C4DC6" w:rsidRPr="00740EB4">
        <w:rPr>
          <w:rFonts w:ascii="Times New Roman" w:hAnsi="Times New Roman" w:cs="Times New Roman"/>
          <w:lang w:val="en-US"/>
        </w:rPr>
        <w:t xml:space="preserve">12], </w:t>
      </w:r>
      <w:r w:rsidR="00FF03B4">
        <w:rPr>
          <w:rFonts w:ascii="Times New Roman" w:hAnsi="Times New Roman" w:cs="Times New Roman"/>
          <w:lang w:val="en-US"/>
        </w:rPr>
        <w:t xml:space="preserve"> s.</w:t>
      </w:r>
      <w:proofErr w:type="gramEnd"/>
      <w:r w:rsidR="00FF03B4">
        <w:rPr>
          <w:rFonts w:ascii="Times New Roman" w:hAnsi="Times New Roman" w:cs="Times New Roman"/>
          <w:lang w:val="en-US"/>
        </w:rPr>
        <w:t xml:space="preserve"> </w:t>
      </w:r>
      <w:r w:rsidR="008C4DC6" w:rsidRPr="00740EB4">
        <w:rPr>
          <w:rFonts w:ascii="Times New Roman" w:hAnsi="Times New Roman" w:cs="Times New Roman"/>
          <w:lang w:val="en-US"/>
        </w:rPr>
        <w:t>214).</w:t>
      </w:r>
    </w:p>
  </w:footnote>
  <w:footnote w:id="14">
    <w:p w14:paraId="232BAAE1" w14:textId="77777777" w:rsidR="00D47138" w:rsidRPr="00FF03B4" w:rsidRDefault="00D47138" w:rsidP="008C4DC6">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en-US"/>
        </w:rPr>
        <w:t xml:space="preserve"> </w:t>
      </w:r>
      <w:r w:rsidR="00740EB4" w:rsidRPr="00740EB4">
        <w:rPr>
          <w:rFonts w:ascii="Times New Roman" w:hAnsi="Times New Roman" w:cs="Times New Roman"/>
          <w:lang w:val="en-US"/>
        </w:rPr>
        <w:t xml:space="preserve">S.L. </w:t>
      </w:r>
      <w:r w:rsidR="00081091" w:rsidRPr="00740EB4">
        <w:rPr>
          <w:rFonts w:ascii="Times New Roman" w:hAnsi="Times New Roman" w:cs="Times New Roman"/>
          <w:lang w:val="en-US"/>
        </w:rPr>
        <w:t xml:space="preserve">Brock </w:t>
      </w:r>
      <w:r w:rsidR="008C4DC6" w:rsidRPr="00740EB4">
        <w:rPr>
          <w:rFonts w:ascii="Times New Roman" w:hAnsi="Times New Roman" w:cs="Times New Roman"/>
          <w:lang w:val="en-US"/>
        </w:rPr>
        <w:t xml:space="preserve">wyjaśnia: „in a sense the precepts of natural law are works of reason itself, but not in the sense that reason is their legislator or institutor. It is only in the sense in which all propositions are works of reason. Formulating the precepts belongs to reason, but it is not reason that makes the precepts be true, or be rules and measures of human acts, or be obligatory. Reason does not command its own assent to the principles. Once it grasps them, it assents to them naturally and necessarily. They have in themselves the power to win its assent. It is the eternal law that they owe their truth, their power to win assent, and their regulatory force over human action.” </w:t>
      </w:r>
      <w:r w:rsidR="008C4DC6" w:rsidRPr="00FF03B4">
        <w:rPr>
          <w:rFonts w:ascii="Times New Roman" w:hAnsi="Times New Roman" w:cs="Times New Roman"/>
          <w:lang w:val="en-US"/>
        </w:rPr>
        <w:t>(</w:t>
      </w:r>
      <w:r w:rsidR="00FF03B4" w:rsidRPr="00FF03B4">
        <w:rPr>
          <w:rFonts w:ascii="Times New Roman" w:hAnsi="Times New Roman" w:cs="Times New Roman"/>
          <w:lang w:val="en-US"/>
        </w:rPr>
        <w:t xml:space="preserve">S.L. </w:t>
      </w:r>
      <w:r w:rsidR="008C4DC6" w:rsidRPr="00FF03B4">
        <w:rPr>
          <w:rFonts w:ascii="Times New Roman" w:hAnsi="Times New Roman" w:cs="Times New Roman"/>
          <w:lang w:val="en-US"/>
        </w:rPr>
        <w:t xml:space="preserve">Brock, </w:t>
      </w:r>
      <w:r w:rsidR="008C4DC6" w:rsidRPr="00FF03B4">
        <w:rPr>
          <w:rStyle w:val="Emphasis"/>
          <w:rFonts w:ascii="Times New Roman" w:hAnsi="Times New Roman" w:cs="Times New Roman"/>
          <w:lang w:val="en-US"/>
        </w:rPr>
        <w:t>The Light That Binds</w:t>
      </w:r>
      <w:r w:rsidR="008C4DC6" w:rsidRPr="00FF03B4">
        <w:rPr>
          <w:rFonts w:ascii="Times New Roman" w:hAnsi="Times New Roman" w:cs="Times New Roman"/>
          <w:lang w:val="en-US"/>
        </w:rPr>
        <w:t xml:space="preserve"> [zob. przyp. 12], </w:t>
      </w:r>
      <w:r w:rsidR="00FF03B4" w:rsidRPr="00FF03B4">
        <w:rPr>
          <w:rFonts w:ascii="Times New Roman" w:hAnsi="Times New Roman" w:cs="Times New Roman"/>
          <w:lang w:val="en-US"/>
        </w:rPr>
        <w:t xml:space="preserve">s. </w:t>
      </w:r>
      <w:r w:rsidR="008C4DC6" w:rsidRPr="00FF03B4">
        <w:rPr>
          <w:rFonts w:ascii="Times New Roman" w:hAnsi="Times New Roman" w:cs="Times New Roman"/>
          <w:lang w:val="en-US"/>
        </w:rPr>
        <w:t>198).</w:t>
      </w:r>
    </w:p>
  </w:footnote>
  <w:footnote w:id="15">
    <w:p w14:paraId="5D4746FD" w14:textId="77777777" w:rsidR="009142B0" w:rsidRPr="00D0106E" w:rsidRDefault="009142B0" w:rsidP="00740EB4">
      <w:pPr>
        <w:pStyle w:val="NormalWeb"/>
        <w:spacing w:before="0" w:beforeAutospacing="0" w:after="0" w:afterAutospacing="0"/>
        <w:jc w:val="both"/>
        <w:rPr>
          <w:b/>
          <w:sz w:val="20"/>
          <w:szCs w:val="20"/>
          <w:lang w:val="de-AT"/>
        </w:rPr>
      </w:pPr>
      <w:r w:rsidRPr="00740EB4">
        <w:rPr>
          <w:rStyle w:val="FootnoteReference"/>
          <w:b/>
          <w:sz w:val="20"/>
          <w:szCs w:val="20"/>
        </w:rPr>
        <w:footnoteRef/>
      </w:r>
      <w:r w:rsidRPr="00FF03B4">
        <w:rPr>
          <w:b/>
          <w:sz w:val="20"/>
          <w:szCs w:val="20"/>
          <w:lang w:val="de-AT"/>
        </w:rPr>
        <w:t xml:space="preserve"> </w:t>
      </w:r>
      <w:r w:rsidR="008C4DC6" w:rsidRPr="00FF03B4">
        <w:rPr>
          <w:rStyle w:val="Strong"/>
          <w:b w:val="0"/>
          <w:sz w:val="20"/>
          <w:szCs w:val="20"/>
          <w:lang w:val="de-AT"/>
        </w:rPr>
        <w:t xml:space="preserve">Por. </w:t>
      </w:r>
      <w:r w:rsidR="00740EB4" w:rsidRPr="00FF03B4">
        <w:rPr>
          <w:sz w:val="20"/>
          <w:szCs w:val="20"/>
          <w:lang w:val="de-AT"/>
        </w:rPr>
        <w:t xml:space="preserve">F.J. </w:t>
      </w:r>
      <w:r w:rsidR="008C4DC6" w:rsidRPr="00FF03B4">
        <w:rPr>
          <w:rStyle w:val="Strong"/>
          <w:b w:val="0"/>
          <w:sz w:val="20"/>
          <w:szCs w:val="20"/>
          <w:lang w:val="de-AT"/>
        </w:rPr>
        <w:t xml:space="preserve">Bormann, </w:t>
      </w:r>
      <w:r w:rsidR="008C4DC6" w:rsidRPr="00FF03B4">
        <w:rPr>
          <w:rStyle w:val="Emphasis"/>
          <w:bCs/>
          <w:sz w:val="20"/>
          <w:szCs w:val="20"/>
          <w:lang w:val="de-AT"/>
        </w:rPr>
        <w:t>Natur als Horizont sittlicher Praxis</w:t>
      </w:r>
      <w:r w:rsidR="00FF03B4" w:rsidRPr="00FF03B4">
        <w:rPr>
          <w:rStyle w:val="Emphasis"/>
          <w:bCs/>
          <w:i w:val="0"/>
          <w:iCs w:val="0"/>
          <w:sz w:val="20"/>
          <w:szCs w:val="20"/>
          <w:lang w:val="de-AT"/>
        </w:rPr>
        <w:t>,</w:t>
      </w:r>
      <w:r w:rsidR="008C4DC6" w:rsidRPr="00FF03B4">
        <w:rPr>
          <w:rStyle w:val="Strong"/>
          <w:b w:val="0"/>
          <w:sz w:val="20"/>
          <w:szCs w:val="20"/>
          <w:lang w:val="de-AT"/>
        </w:rPr>
        <w:t xml:space="preserve"> (zob. przyp. </w:t>
      </w:r>
      <w:r w:rsidR="008C4DC6" w:rsidRPr="00D0106E">
        <w:rPr>
          <w:rStyle w:val="Strong"/>
          <w:b w:val="0"/>
          <w:sz w:val="20"/>
          <w:szCs w:val="20"/>
          <w:lang w:val="de-AT"/>
        </w:rPr>
        <w:t>11), s. 80–143.</w:t>
      </w:r>
    </w:p>
  </w:footnote>
  <w:footnote w:id="16">
    <w:p w14:paraId="127B3C2B" w14:textId="77777777" w:rsidR="00CA3E94" w:rsidRPr="00740EB4" w:rsidRDefault="00CA3E94" w:rsidP="008C4DC6">
      <w:pPr>
        <w:pStyle w:val="NormalWeb"/>
        <w:spacing w:before="0" w:beforeAutospacing="0" w:after="0" w:afterAutospacing="0"/>
        <w:jc w:val="both"/>
        <w:rPr>
          <w:b/>
          <w:sz w:val="20"/>
          <w:szCs w:val="20"/>
          <w:lang w:val="de-AT"/>
        </w:rPr>
      </w:pPr>
      <w:r w:rsidRPr="00740EB4">
        <w:rPr>
          <w:rStyle w:val="FootnoteReference"/>
          <w:b/>
          <w:sz w:val="20"/>
          <w:szCs w:val="20"/>
        </w:rPr>
        <w:footnoteRef/>
      </w:r>
      <w:r w:rsidRPr="00FF03B4">
        <w:rPr>
          <w:b/>
          <w:sz w:val="20"/>
          <w:szCs w:val="20"/>
          <w:lang w:val="de-AT"/>
        </w:rPr>
        <w:t xml:space="preserve"> </w:t>
      </w:r>
      <w:r w:rsidR="00FF03B4" w:rsidRPr="00FF03B4">
        <w:rPr>
          <w:rStyle w:val="Strong"/>
          <w:b w:val="0"/>
          <w:sz w:val="20"/>
          <w:szCs w:val="20"/>
          <w:lang w:val="de-AT"/>
        </w:rPr>
        <w:t>Por. W.</w:t>
      </w:r>
      <w:r w:rsidR="008C4DC6" w:rsidRPr="00FF03B4">
        <w:rPr>
          <w:rStyle w:val="Strong"/>
          <w:b w:val="0"/>
          <w:sz w:val="20"/>
          <w:szCs w:val="20"/>
          <w:lang w:val="de-AT"/>
        </w:rPr>
        <w:t xml:space="preserve"> Korff, </w:t>
      </w:r>
      <w:r w:rsidR="008C4DC6" w:rsidRPr="00FF03B4">
        <w:rPr>
          <w:rStyle w:val="Emphasis"/>
          <w:bCs/>
          <w:sz w:val="20"/>
          <w:szCs w:val="20"/>
          <w:lang w:val="de-AT"/>
        </w:rPr>
        <w:t>Der Rückgriff a</w:t>
      </w:r>
      <w:r w:rsidR="008C4DC6" w:rsidRPr="00740EB4">
        <w:rPr>
          <w:rStyle w:val="Emphasis"/>
          <w:bCs/>
          <w:sz w:val="20"/>
          <w:szCs w:val="20"/>
          <w:lang w:val="de-AT"/>
        </w:rPr>
        <w:t>uf die Natur. Eine Rekonstruktion der thomanischen Lehre vom natürlichen Gesetz</w:t>
      </w:r>
      <w:r w:rsidR="008C4DC6" w:rsidRPr="00740EB4">
        <w:rPr>
          <w:rStyle w:val="Strong"/>
          <w:b w:val="0"/>
          <w:sz w:val="20"/>
          <w:szCs w:val="20"/>
          <w:lang w:val="de-AT"/>
        </w:rPr>
        <w:t xml:space="preserve">, w: </w:t>
      </w:r>
      <w:r w:rsidR="008C4DC6" w:rsidRPr="00740EB4">
        <w:rPr>
          <w:rStyle w:val="Emphasis"/>
          <w:bCs/>
          <w:sz w:val="20"/>
          <w:szCs w:val="20"/>
          <w:lang w:val="de-AT"/>
        </w:rPr>
        <w:t>Philosophisches Jahrbuch</w:t>
      </w:r>
      <w:r w:rsidR="008C4DC6" w:rsidRPr="00740EB4">
        <w:rPr>
          <w:rStyle w:val="Strong"/>
          <w:sz w:val="20"/>
          <w:szCs w:val="20"/>
          <w:lang w:val="de-AT"/>
        </w:rPr>
        <w:t xml:space="preserve"> </w:t>
      </w:r>
      <w:r w:rsidR="008C4DC6" w:rsidRPr="00740EB4">
        <w:rPr>
          <w:rStyle w:val="Strong"/>
          <w:b w:val="0"/>
          <w:sz w:val="20"/>
          <w:szCs w:val="20"/>
          <w:lang w:val="de-AT"/>
        </w:rPr>
        <w:t>94 (198</w:t>
      </w:r>
      <w:r w:rsidR="00FF03B4">
        <w:rPr>
          <w:rStyle w:val="Strong"/>
          <w:b w:val="0"/>
          <w:sz w:val="20"/>
          <w:szCs w:val="20"/>
          <w:lang w:val="de-AT"/>
        </w:rPr>
        <w:t>7), s. 286–296, 287 oraz W.</w:t>
      </w:r>
      <w:r w:rsidR="008C4DC6" w:rsidRPr="00740EB4">
        <w:rPr>
          <w:rStyle w:val="Strong"/>
          <w:b w:val="0"/>
          <w:sz w:val="20"/>
          <w:szCs w:val="20"/>
          <w:lang w:val="de-AT"/>
        </w:rPr>
        <w:t xml:space="preserve"> Korff, </w:t>
      </w:r>
      <w:r w:rsidR="008C4DC6" w:rsidRPr="00740EB4">
        <w:rPr>
          <w:rStyle w:val="Emphasis"/>
          <w:bCs/>
          <w:sz w:val="20"/>
          <w:szCs w:val="20"/>
          <w:lang w:val="de-AT"/>
        </w:rPr>
        <w:t xml:space="preserve">Wie kann der Mensch </w:t>
      </w:r>
      <w:proofErr w:type="gramStart"/>
      <w:r w:rsidR="008C4DC6" w:rsidRPr="00740EB4">
        <w:rPr>
          <w:rStyle w:val="Emphasis"/>
          <w:bCs/>
          <w:sz w:val="20"/>
          <w:szCs w:val="20"/>
          <w:lang w:val="de-AT"/>
        </w:rPr>
        <w:t>glücken?</w:t>
      </w:r>
      <w:r w:rsidR="008C4DC6" w:rsidRPr="00740EB4">
        <w:rPr>
          <w:rStyle w:val="Strong"/>
          <w:sz w:val="20"/>
          <w:szCs w:val="20"/>
          <w:lang w:val="de-AT"/>
        </w:rPr>
        <w:t>,</w:t>
      </w:r>
      <w:proofErr w:type="gramEnd"/>
      <w:r w:rsidR="008C4DC6" w:rsidRPr="00740EB4">
        <w:rPr>
          <w:rStyle w:val="Strong"/>
          <w:b w:val="0"/>
          <w:sz w:val="20"/>
          <w:szCs w:val="20"/>
          <w:lang w:val="de-AT"/>
        </w:rPr>
        <w:t xml:space="preserve"> München 1990, s. 50, 56, 268.</w:t>
      </w:r>
    </w:p>
  </w:footnote>
  <w:footnote w:id="17">
    <w:p w14:paraId="1CBFF273" w14:textId="77777777" w:rsidR="00660DFE" w:rsidRPr="00D0106E" w:rsidRDefault="00660DFE" w:rsidP="007F6687">
      <w:pPr>
        <w:pStyle w:val="NormalWeb"/>
        <w:spacing w:before="0" w:beforeAutospacing="0" w:after="0" w:afterAutospacing="0"/>
        <w:jc w:val="both"/>
        <w:rPr>
          <w:b/>
          <w:sz w:val="20"/>
          <w:szCs w:val="20"/>
          <w:lang w:val="de-AT"/>
        </w:rPr>
      </w:pPr>
      <w:r w:rsidRPr="00740EB4">
        <w:rPr>
          <w:rStyle w:val="FootnoteReference"/>
          <w:sz w:val="20"/>
          <w:szCs w:val="20"/>
        </w:rPr>
        <w:footnoteRef/>
      </w:r>
      <w:r w:rsidR="008C4DC6" w:rsidRPr="00740EB4">
        <w:rPr>
          <w:rStyle w:val="Strong"/>
          <w:b w:val="0"/>
          <w:sz w:val="20"/>
          <w:szCs w:val="20"/>
          <w:lang w:val="de-AT"/>
        </w:rPr>
        <w:t xml:space="preserve">Por. </w:t>
      </w:r>
      <w:r w:rsidR="00740EB4" w:rsidRPr="00740EB4">
        <w:rPr>
          <w:sz w:val="20"/>
          <w:szCs w:val="20"/>
          <w:lang w:val="de-AT"/>
        </w:rPr>
        <w:t xml:space="preserve">F.J. </w:t>
      </w:r>
      <w:r w:rsidR="008C4DC6" w:rsidRPr="00740EB4">
        <w:rPr>
          <w:rStyle w:val="Strong"/>
          <w:b w:val="0"/>
          <w:sz w:val="20"/>
          <w:szCs w:val="20"/>
          <w:lang w:val="de-AT"/>
        </w:rPr>
        <w:t xml:space="preserve">Bormann, </w:t>
      </w:r>
      <w:r w:rsidR="008C4DC6" w:rsidRPr="00740EB4">
        <w:rPr>
          <w:rStyle w:val="Emphasis"/>
          <w:bCs/>
          <w:sz w:val="20"/>
          <w:szCs w:val="20"/>
          <w:lang w:val="de-AT"/>
        </w:rPr>
        <w:t>Natur als Horizont sittlicher Praxi</w:t>
      </w:r>
      <w:r w:rsidR="008C4DC6" w:rsidRPr="00FF03B4">
        <w:rPr>
          <w:rStyle w:val="Emphasis"/>
          <w:sz w:val="20"/>
          <w:szCs w:val="20"/>
          <w:lang w:val="de-AT"/>
        </w:rPr>
        <w:t>s</w:t>
      </w:r>
      <w:r w:rsidR="00FF03B4">
        <w:rPr>
          <w:rStyle w:val="Strong"/>
          <w:b w:val="0"/>
          <w:sz w:val="20"/>
          <w:szCs w:val="20"/>
          <w:lang w:val="de-AT"/>
        </w:rPr>
        <w:t>,</w:t>
      </w:r>
      <w:r w:rsidR="008C4DC6" w:rsidRPr="00740EB4">
        <w:rPr>
          <w:rStyle w:val="Strong"/>
          <w:b w:val="0"/>
          <w:sz w:val="20"/>
          <w:szCs w:val="20"/>
          <w:lang w:val="de-AT"/>
        </w:rPr>
        <w:t xml:space="preserve"> (zob. przyp. </w:t>
      </w:r>
      <w:r w:rsidR="008C4DC6" w:rsidRPr="00D0106E">
        <w:rPr>
          <w:rStyle w:val="Strong"/>
          <w:b w:val="0"/>
          <w:sz w:val="20"/>
          <w:szCs w:val="20"/>
          <w:lang w:val="de-AT"/>
        </w:rPr>
        <w:t>11), s. 236.</w:t>
      </w:r>
    </w:p>
  </w:footnote>
  <w:footnote w:id="18">
    <w:p w14:paraId="0AC4DB6E" w14:textId="77777777" w:rsidR="00E27A27" w:rsidRPr="00D0106E" w:rsidRDefault="00E27A27" w:rsidP="00081091">
      <w:pPr>
        <w:pStyle w:val="NormalWeb"/>
        <w:spacing w:before="0" w:beforeAutospacing="0" w:after="0" w:afterAutospacing="0"/>
        <w:jc w:val="both"/>
        <w:rPr>
          <w:b/>
          <w:sz w:val="20"/>
          <w:szCs w:val="20"/>
          <w:lang w:val="de-AT"/>
        </w:rPr>
      </w:pPr>
      <w:r w:rsidRPr="00740EB4">
        <w:rPr>
          <w:rStyle w:val="FootnoteReference"/>
          <w:sz w:val="20"/>
          <w:szCs w:val="20"/>
        </w:rPr>
        <w:footnoteRef/>
      </w:r>
      <w:r w:rsidRPr="00D0106E">
        <w:rPr>
          <w:sz w:val="20"/>
          <w:szCs w:val="20"/>
          <w:lang w:val="de-AT"/>
        </w:rPr>
        <w:t xml:space="preserve"> </w:t>
      </w:r>
      <w:r w:rsidR="00081091" w:rsidRPr="00D0106E">
        <w:rPr>
          <w:sz w:val="20"/>
          <w:szCs w:val="20"/>
          <w:lang w:val="de-AT"/>
        </w:rPr>
        <w:t xml:space="preserve">Thomas von Aquin, </w:t>
      </w:r>
      <w:r w:rsidR="00081091" w:rsidRPr="00D0106E">
        <w:rPr>
          <w:i/>
          <w:iCs/>
          <w:sz w:val="20"/>
          <w:szCs w:val="20"/>
          <w:lang w:val="de-AT"/>
        </w:rPr>
        <w:t>Summa Theologiae</w:t>
      </w:r>
      <w:r w:rsidR="00081091" w:rsidRPr="00D0106E">
        <w:rPr>
          <w:sz w:val="20"/>
          <w:szCs w:val="20"/>
          <w:lang w:val="de-AT"/>
        </w:rPr>
        <w:t xml:space="preserve">, </w:t>
      </w:r>
      <w:r w:rsidR="00293199" w:rsidRPr="00D0106E">
        <w:rPr>
          <w:rStyle w:val="Strong"/>
          <w:b w:val="0"/>
          <w:sz w:val="20"/>
          <w:szCs w:val="20"/>
          <w:lang w:val="de-AT"/>
        </w:rPr>
        <w:t>I–II, q. 94, a. 4.</w:t>
      </w:r>
    </w:p>
  </w:footnote>
  <w:footnote w:id="19">
    <w:p w14:paraId="3D22C089" w14:textId="77777777" w:rsidR="00B02C84" w:rsidRPr="00FF03B4" w:rsidRDefault="00B02C84" w:rsidP="001350EC">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FF03B4">
        <w:rPr>
          <w:rFonts w:ascii="Times New Roman" w:hAnsi="Times New Roman" w:cs="Times New Roman"/>
          <w:lang w:val="de-AT"/>
        </w:rPr>
        <w:t xml:space="preserve"> </w:t>
      </w:r>
      <w:r w:rsidR="00FF03B4" w:rsidRPr="00FF03B4">
        <w:rPr>
          <w:rFonts w:ascii="Times New Roman" w:hAnsi="Times New Roman" w:cs="Times New Roman"/>
          <w:lang w:val="de-AT"/>
        </w:rPr>
        <w:t>Por. A.</w:t>
      </w:r>
      <w:r w:rsidR="00900E05" w:rsidRPr="00FF03B4">
        <w:rPr>
          <w:rFonts w:ascii="Times New Roman" w:hAnsi="Times New Roman" w:cs="Times New Roman"/>
          <w:lang w:val="de-AT"/>
        </w:rPr>
        <w:t xml:space="preserve"> Tessitore (red.), </w:t>
      </w:r>
      <w:r w:rsidR="00900E05" w:rsidRPr="00FF03B4">
        <w:rPr>
          <w:rStyle w:val="Emphasis"/>
          <w:rFonts w:ascii="Times New Roman" w:hAnsi="Times New Roman" w:cs="Times New Roman"/>
          <w:lang w:val="de-AT"/>
        </w:rPr>
        <w:t>Aristotle and Modern Politics</w:t>
      </w:r>
      <w:r w:rsidR="00FF03B4" w:rsidRPr="00FF03B4">
        <w:rPr>
          <w:rFonts w:ascii="Times New Roman" w:hAnsi="Times New Roman" w:cs="Times New Roman"/>
          <w:lang w:val="de-AT"/>
        </w:rPr>
        <w:t>, Notre Dame 2002; F.J.</w:t>
      </w:r>
      <w:r w:rsidR="00900E05" w:rsidRPr="00FF03B4">
        <w:rPr>
          <w:rFonts w:ascii="Times New Roman" w:hAnsi="Times New Roman" w:cs="Times New Roman"/>
          <w:lang w:val="de-AT"/>
        </w:rPr>
        <w:t xml:space="preserve"> Bormann, </w:t>
      </w:r>
      <w:r w:rsidR="00FF03B4" w:rsidRPr="001350EC">
        <w:rPr>
          <w:rFonts w:ascii="Times New Roman" w:hAnsi="Times New Roman" w:cs="Times New Roman"/>
          <w:i/>
          <w:iCs/>
          <w:lang w:val="de-AT"/>
        </w:rPr>
        <w:t xml:space="preserve">Naturrechtliche Begründung von Menschenrechten? Ein Blick in die aristotelische Tradition, </w:t>
      </w:r>
      <w:r w:rsidR="00FF03B4">
        <w:rPr>
          <w:rFonts w:ascii="Times New Roman" w:hAnsi="Times New Roman" w:cs="Times New Roman"/>
          <w:lang w:val="de-AT"/>
        </w:rPr>
        <w:t>w: M.</w:t>
      </w:r>
      <w:r w:rsidR="001350EC">
        <w:rPr>
          <w:rFonts w:ascii="Times New Roman" w:hAnsi="Times New Roman" w:cs="Times New Roman"/>
          <w:lang w:val="de-AT"/>
        </w:rPr>
        <w:t xml:space="preserve"> Wasmaier-Sailer,</w:t>
      </w:r>
      <w:r w:rsidR="00900E05" w:rsidRPr="00FF03B4">
        <w:rPr>
          <w:rFonts w:ascii="Times New Roman" w:hAnsi="Times New Roman" w:cs="Times New Roman"/>
          <w:lang w:val="de-AT"/>
        </w:rPr>
        <w:t xml:space="preserve"> M</w:t>
      </w:r>
      <w:r w:rsidR="001350EC">
        <w:rPr>
          <w:rFonts w:ascii="Times New Roman" w:hAnsi="Times New Roman" w:cs="Times New Roman"/>
          <w:lang w:val="de-AT"/>
        </w:rPr>
        <w:t xml:space="preserve">. </w:t>
      </w:r>
      <w:r w:rsidR="00900E05" w:rsidRPr="00FF03B4">
        <w:rPr>
          <w:rFonts w:ascii="Times New Roman" w:hAnsi="Times New Roman" w:cs="Times New Roman"/>
          <w:lang w:val="de-AT"/>
        </w:rPr>
        <w:t xml:space="preserve">Hoesch (red.), </w:t>
      </w:r>
      <w:r w:rsidR="00900E05" w:rsidRPr="00FF03B4">
        <w:rPr>
          <w:rStyle w:val="Emphasis"/>
          <w:rFonts w:ascii="Times New Roman" w:hAnsi="Times New Roman" w:cs="Times New Roman"/>
          <w:lang w:val="de-AT"/>
        </w:rPr>
        <w:t>Die Begründung der Menschenrechte</w:t>
      </w:r>
      <w:r w:rsidR="00900E05" w:rsidRPr="00FF03B4">
        <w:rPr>
          <w:rFonts w:ascii="Times New Roman" w:hAnsi="Times New Roman" w:cs="Times New Roman"/>
          <w:lang w:val="de-AT"/>
        </w:rPr>
        <w:t>, Tübingen 2017, s. 135–159.</w:t>
      </w:r>
    </w:p>
  </w:footnote>
  <w:footnote w:id="20">
    <w:p w14:paraId="79411CBC" w14:textId="77777777" w:rsidR="00B02C84" w:rsidRPr="00740EB4" w:rsidRDefault="00B02C84" w:rsidP="002034DF">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en-US"/>
        </w:rPr>
        <w:t xml:space="preserve"> </w:t>
      </w:r>
      <w:r w:rsidR="00740EB4" w:rsidRPr="00740EB4">
        <w:rPr>
          <w:rFonts w:ascii="Times New Roman" w:hAnsi="Times New Roman" w:cs="Times New Roman"/>
          <w:lang w:val="en-US"/>
        </w:rPr>
        <w:t>Por. B.</w:t>
      </w:r>
      <w:r w:rsidR="002034DF" w:rsidRPr="00740EB4">
        <w:rPr>
          <w:rFonts w:ascii="Times New Roman" w:hAnsi="Times New Roman" w:cs="Times New Roman"/>
          <w:lang w:val="en-US"/>
        </w:rPr>
        <w:t xml:space="preserve"> Tierney, </w:t>
      </w:r>
      <w:r w:rsidR="002034DF" w:rsidRPr="00740EB4">
        <w:rPr>
          <w:rStyle w:val="Emphasis"/>
          <w:rFonts w:ascii="Times New Roman" w:hAnsi="Times New Roman" w:cs="Times New Roman"/>
          <w:lang w:val="en-US"/>
        </w:rPr>
        <w:t>The Idea of Natural Rights. Studies on Natural Rights, Natural Law, and Church Law 1150–1625</w:t>
      </w:r>
      <w:r w:rsidR="002034DF" w:rsidRPr="00740EB4">
        <w:rPr>
          <w:rFonts w:ascii="Times New Roman" w:hAnsi="Times New Roman" w:cs="Times New Roman"/>
          <w:lang w:val="en-US"/>
        </w:rPr>
        <w:t>, Atlanta 1997.</w:t>
      </w:r>
    </w:p>
  </w:footnote>
  <w:footnote w:id="21">
    <w:p w14:paraId="51F857C0" w14:textId="77777777" w:rsidR="004B04B5" w:rsidRPr="00740EB4" w:rsidRDefault="004B04B5" w:rsidP="00BD5AFE">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740EB4" w:rsidRPr="00740EB4">
        <w:rPr>
          <w:rFonts w:ascii="Times New Roman" w:hAnsi="Times New Roman" w:cs="Times New Roman"/>
          <w:lang w:val="de-AT"/>
        </w:rPr>
        <w:t>Por. J.</w:t>
      </w:r>
      <w:r w:rsidR="00BD5AFE" w:rsidRPr="00740EB4">
        <w:rPr>
          <w:rFonts w:ascii="Times New Roman" w:hAnsi="Times New Roman" w:cs="Times New Roman"/>
          <w:lang w:val="de-AT"/>
        </w:rPr>
        <w:t xml:space="preserve"> Rawls, </w:t>
      </w:r>
      <w:r w:rsidR="00BD5AFE" w:rsidRPr="00740EB4">
        <w:rPr>
          <w:rStyle w:val="Emphasis"/>
          <w:rFonts w:ascii="Times New Roman" w:hAnsi="Times New Roman" w:cs="Times New Roman"/>
          <w:lang w:val="de-AT"/>
        </w:rPr>
        <w:t>Eine Theorie der Gerechtigkeit</w:t>
      </w:r>
      <w:r w:rsidR="00BD5AFE" w:rsidRPr="00740EB4">
        <w:rPr>
          <w:rFonts w:ascii="Times New Roman" w:hAnsi="Times New Roman" w:cs="Times New Roman"/>
          <w:lang w:val="de-AT"/>
        </w:rPr>
        <w:t>, Frankfurt/M ⁵1990, s. 549, przyp. 30</w:t>
      </w:r>
      <w:r w:rsidR="001350EC">
        <w:rPr>
          <w:rFonts w:ascii="Times New Roman" w:hAnsi="Times New Roman" w:cs="Times New Roman"/>
          <w:lang w:val="de-AT"/>
        </w:rPr>
        <w:t>.</w:t>
      </w:r>
    </w:p>
  </w:footnote>
  <w:footnote w:id="22">
    <w:p w14:paraId="3F4B398A" w14:textId="77777777" w:rsidR="00912369" w:rsidRPr="00740EB4" w:rsidRDefault="00912369" w:rsidP="00FF03B4">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de-AT"/>
        </w:rPr>
        <w:t xml:space="preserve"> </w:t>
      </w:r>
      <w:r w:rsidR="00740EB4" w:rsidRPr="00740EB4">
        <w:rPr>
          <w:rFonts w:ascii="Times New Roman" w:hAnsi="Times New Roman" w:cs="Times New Roman"/>
          <w:lang w:val="de-AT"/>
        </w:rPr>
        <w:t>Por. F.J.</w:t>
      </w:r>
      <w:r w:rsidR="000000AD" w:rsidRPr="00740EB4">
        <w:rPr>
          <w:rFonts w:ascii="Times New Roman" w:hAnsi="Times New Roman" w:cs="Times New Roman"/>
          <w:lang w:val="de-AT"/>
        </w:rPr>
        <w:t xml:space="preserve"> Bormann, </w:t>
      </w:r>
      <w:r w:rsidR="000000AD" w:rsidRPr="00740EB4">
        <w:rPr>
          <w:rStyle w:val="Emphasis"/>
          <w:rFonts w:ascii="Times New Roman" w:hAnsi="Times New Roman" w:cs="Times New Roman"/>
          <w:lang w:val="de-AT"/>
        </w:rPr>
        <w:t>Naturrecht in neuem Gewand? Zu einigen zeitgenössischen Erscheinungen einer traditionellen Denkform</w:t>
      </w:r>
      <w:r w:rsidR="00FF03B4">
        <w:rPr>
          <w:rFonts w:ascii="Times New Roman" w:hAnsi="Times New Roman" w:cs="Times New Roman"/>
          <w:lang w:val="de-AT"/>
        </w:rPr>
        <w:t>, w: J.</w:t>
      </w:r>
      <w:r w:rsidR="000000AD" w:rsidRPr="00740EB4">
        <w:rPr>
          <w:rFonts w:ascii="Times New Roman" w:hAnsi="Times New Roman" w:cs="Times New Roman"/>
          <w:lang w:val="de-AT"/>
        </w:rPr>
        <w:t xml:space="preserve"> Schuster SJ (red.), </w:t>
      </w:r>
      <w:r w:rsidR="000000AD" w:rsidRPr="00740EB4">
        <w:rPr>
          <w:rStyle w:val="Emphasis"/>
          <w:rFonts w:ascii="Times New Roman" w:hAnsi="Times New Roman" w:cs="Times New Roman"/>
          <w:lang w:val="de-AT"/>
        </w:rPr>
        <w:t>Zur Bedeutung der Philosophie für die Theologische Ethik</w:t>
      </w:r>
      <w:r w:rsidR="000000AD" w:rsidRPr="00740EB4">
        <w:rPr>
          <w:rFonts w:ascii="Times New Roman" w:hAnsi="Times New Roman" w:cs="Times New Roman"/>
          <w:lang w:val="de-AT"/>
        </w:rPr>
        <w:t>, Fribourg 2010, s. 81–105, a ta</w:t>
      </w:r>
      <w:r w:rsidR="00FF03B4">
        <w:rPr>
          <w:rFonts w:ascii="Times New Roman" w:hAnsi="Times New Roman" w:cs="Times New Roman"/>
          <w:lang w:val="de-AT"/>
        </w:rPr>
        <w:t>kże M.</w:t>
      </w:r>
      <w:r w:rsidR="000000AD" w:rsidRPr="00740EB4">
        <w:rPr>
          <w:rFonts w:ascii="Times New Roman" w:hAnsi="Times New Roman" w:cs="Times New Roman"/>
          <w:lang w:val="de-AT"/>
        </w:rPr>
        <w:t xml:space="preserve"> García-Salmones, </w:t>
      </w:r>
      <w:r w:rsidR="000000AD" w:rsidRPr="00740EB4">
        <w:rPr>
          <w:rStyle w:val="Emphasis"/>
          <w:rFonts w:ascii="Times New Roman" w:hAnsi="Times New Roman" w:cs="Times New Roman"/>
          <w:lang w:val="de-AT"/>
        </w:rPr>
        <w:t xml:space="preserve">The Paradox of Shrinking Individuality. </w:t>
      </w:r>
      <w:r w:rsidR="000000AD" w:rsidRPr="00740EB4">
        <w:rPr>
          <w:rStyle w:val="Emphasis"/>
          <w:rFonts w:ascii="Times New Roman" w:hAnsi="Times New Roman" w:cs="Times New Roman"/>
          <w:lang w:val="en-US"/>
        </w:rPr>
        <w:t>Natural Rights’ Development and Relevance to Human Rights Today</w:t>
      </w:r>
      <w:r w:rsidR="00FF03B4">
        <w:rPr>
          <w:rFonts w:ascii="Times New Roman" w:hAnsi="Times New Roman" w:cs="Times New Roman"/>
          <w:lang w:val="en-US"/>
        </w:rPr>
        <w:t>, w: T. Angier,</w:t>
      </w:r>
      <w:r w:rsidR="000000AD" w:rsidRPr="00740EB4">
        <w:rPr>
          <w:rFonts w:ascii="Times New Roman" w:hAnsi="Times New Roman" w:cs="Times New Roman"/>
          <w:lang w:val="en-US"/>
        </w:rPr>
        <w:t xml:space="preserve"> I</w:t>
      </w:r>
      <w:r w:rsidR="00FF03B4">
        <w:rPr>
          <w:rFonts w:ascii="Times New Roman" w:hAnsi="Times New Roman" w:cs="Times New Roman"/>
          <w:lang w:val="en-US"/>
        </w:rPr>
        <w:t>.T. Benson, M.</w:t>
      </w:r>
      <w:r w:rsidR="000000AD" w:rsidRPr="00740EB4">
        <w:rPr>
          <w:rFonts w:ascii="Times New Roman" w:hAnsi="Times New Roman" w:cs="Times New Roman"/>
          <w:lang w:val="en-US"/>
        </w:rPr>
        <w:t xml:space="preserve">D. Retter (red.), </w:t>
      </w:r>
      <w:r w:rsidR="000000AD" w:rsidRPr="00740EB4">
        <w:rPr>
          <w:rStyle w:val="Emphasis"/>
          <w:rFonts w:ascii="Times New Roman" w:hAnsi="Times New Roman" w:cs="Times New Roman"/>
          <w:lang w:val="en-US"/>
        </w:rPr>
        <w:t>The Cambridge Handbook of Natural Law and Human Rights</w:t>
      </w:r>
      <w:r w:rsidR="000000AD" w:rsidRPr="00740EB4">
        <w:rPr>
          <w:rFonts w:ascii="Times New Roman" w:hAnsi="Times New Roman" w:cs="Times New Roman"/>
          <w:lang w:val="en-US"/>
        </w:rPr>
        <w:t>, Cambridge 2022, s. 45–60.</w:t>
      </w:r>
    </w:p>
  </w:footnote>
  <w:footnote w:id="23">
    <w:p w14:paraId="43EB4657" w14:textId="77777777" w:rsidR="002F4C59" w:rsidRPr="00740EB4" w:rsidRDefault="002F4C59" w:rsidP="00740EB4">
      <w:pPr>
        <w:pStyle w:val="FootnoteText"/>
        <w:jc w:val="both"/>
        <w:rPr>
          <w:rFonts w:ascii="Times New Roman" w:hAnsi="Times New Roman" w:cs="Times New Roman"/>
          <w:lang w:val="de-AT"/>
        </w:rPr>
      </w:pPr>
      <w:r w:rsidRPr="00740EB4">
        <w:rPr>
          <w:rStyle w:val="FootnoteReference"/>
          <w:rFonts w:ascii="Times New Roman" w:hAnsi="Times New Roman" w:cs="Times New Roman"/>
        </w:rPr>
        <w:footnoteRef/>
      </w:r>
      <w:r w:rsidR="0077077D" w:rsidRPr="00740EB4">
        <w:rPr>
          <w:rFonts w:ascii="Times New Roman" w:hAnsi="Times New Roman" w:cs="Times New Roman"/>
          <w:lang w:val="de-AT"/>
        </w:rPr>
        <w:t xml:space="preserve">Por. </w:t>
      </w:r>
      <w:r w:rsidR="00740EB4" w:rsidRPr="00740EB4">
        <w:rPr>
          <w:rFonts w:ascii="Times New Roman" w:hAnsi="Times New Roman" w:cs="Times New Roman"/>
          <w:lang w:val="de-AT"/>
        </w:rPr>
        <w:t>F.J.</w:t>
      </w:r>
      <w:r w:rsidR="0077077D" w:rsidRPr="00740EB4">
        <w:rPr>
          <w:rFonts w:ascii="Times New Roman" w:hAnsi="Times New Roman" w:cs="Times New Roman"/>
          <w:lang w:val="de-AT"/>
        </w:rPr>
        <w:t xml:space="preserve"> Bormann, </w:t>
      </w:r>
      <w:r w:rsidR="0077077D" w:rsidRPr="00740EB4">
        <w:rPr>
          <w:rStyle w:val="Emphasis"/>
          <w:rFonts w:ascii="Times New Roman" w:hAnsi="Times New Roman" w:cs="Times New Roman"/>
          <w:lang w:val="de-AT"/>
        </w:rPr>
        <w:t>‹Handlungsfähigkeit› und ‹gutes Leben›. Plädoyer für einen schwachen Perfektionismus</w:t>
      </w:r>
      <w:r w:rsidR="00FF03B4">
        <w:rPr>
          <w:rFonts w:ascii="Times New Roman" w:hAnsi="Times New Roman" w:cs="Times New Roman"/>
          <w:lang w:val="de-AT"/>
        </w:rPr>
        <w:t>, w: M. Hoesch, S. Muders, M.</w:t>
      </w:r>
      <w:r w:rsidR="0077077D" w:rsidRPr="00740EB4">
        <w:rPr>
          <w:rFonts w:ascii="Times New Roman" w:hAnsi="Times New Roman" w:cs="Times New Roman"/>
          <w:lang w:val="de-AT"/>
        </w:rPr>
        <w:t xml:space="preserve"> Rüther (red.), </w:t>
      </w:r>
      <w:r w:rsidR="0077077D" w:rsidRPr="00740EB4">
        <w:rPr>
          <w:rStyle w:val="Emphasis"/>
          <w:rFonts w:ascii="Times New Roman" w:hAnsi="Times New Roman" w:cs="Times New Roman"/>
          <w:lang w:val="de-AT"/>
        </w:rPr>
        <w:t>Glück – Werte – Sinn: metaethische, ethische und theologische Zugänge zur Frage nach dem guten Leben</w:t>
      </w:r>
      <w:r w:rsidR="0077077D" w:rsidRPr="00740EB4">
        <w:rPr>
          <w:rFonts w:ascii="Times New Roman" w:hAnsi="Times New Roman" w:cs="Times New Roman"/>
          <w:lang w:val="de-AT"/>
        </w:rPr>
        <w:t>, Berlin 2013, s. 177–194.</w:t>
      </w:r>
    </w:p>
  </w:footnote>
  <w:footnote w:id="24">
    <w:p w14:paraId="33F63DF7" w14:textId="77777777" w:rsidR="00D81070" w:rsidRPr="00FF03B4" w:rsidRDefault="00D81070" w:rsidP="00FF03B4">
      <w:pPr>
        <w:pStyle w:val="FootnoteText"/>
        <w:jc w:val="both"/>
        <w:rPr>
          <w:rFonts w:ascii="Times New Roman" w:hAnsi="Times New Roman" w:cs="Times New Roman"/>
          <w:lang w:val="en-US"/>
        </w:rPr>
      </w:pPr>
      <w:r w:rsidRPr="00740EB4">
        <w:rPr>
          <w:rStyle w:val="FootnoteReference"/>
          <w:rFonts w:ascii="Times New Roman" w:hAnsi="Times New Roman" w:cs="Times New Roman"/>
        </w:rPr>
        <w:footnoteRef/>
      </w:r>
      <w:r w:rsidRPr="00740EB4">
        <w:rPr>
          <w:rFonts w:ascii="Times New Roman" w:hAnsi="Times New Roman" w:cs="Times New Roman"/>
          <w:lang w:val="en-US"/>
        </w:rPr>
        <w:t xml:space="preserve"> </w:t>
      </w:r>
      <w:r w:rsidR="00FF03B4">
        <w:rPr>
          <w:rFonts w:ascii="Times New Roman" w:hAnsi="Times New Roman" w:cs="Times New Roman"/>
          <w:lang w:val="en-US"/>
        </w:rPr>
        <w:t>Por. do tego krytycznie J.</w:t>
      </w:r>
      <w:r w:rsidR="0077077D" w:rsidRPr="00740EB4">
        <w:rPr>
          <w:rFonts w:ascii="Times New Roman" w:hAnsi="Times New Roman" w:cs="Times New Roman"/>
          <w:lang w:val="en-US"/>
        </w:rPr>
        <w:t xml:space="preserve"> Porter, </w:t>
      </w:r>
      <w:r w:rsidR="0077077D" w:rsidRPr="00740EB4">
        <w:rPr>
          <w:rStyle w:val="Emphasis"/>
          <w:rFonts w:ascii="Times New Roman" w:hAnsi="Times New Roman" w:cs="Times New Roman"/>
          <w:lang w:val="en-US"/>
        </w:rPr>
        <w:t>The Natural Law and the Specificity of Christian Morality. A Survey of Recent Work and an Agenda for Future Research</w:t>
      </w:r>
      <w:r w:rsidR="00FF03B4">
        <w:rPr>
          <w:rFonts w:ascii="Times New Roman" w:hAnsi="Times New Roman" w:cs="Times New Roman"/>
          <w:lang w:val="en-US"/>
        </w:rPr>
        <w:t>, w: T.</w:t>
      </w:r>
      <w:r w:rsidR="0077077D" w:rsidRPr="00740EB4">
        <w:rPr>
          <w:rFonts w:ascii="Times New Roman" w:hAnsi="Times New Roman" w:cs="Times New Roman"/>
          <w:lang w:val="en-US"/>
        </w:rPr>
        <w:t xml:space="preserve">A. Salzman (red.), </w:t>
      </w:r>
      <w:r w:rsidR="0077077D" w:rsidRPr="00740EB4">
        <w:rPr>
          <w:rStyle w:val="Emphasis"/>
          <w:rFonts w:ascii="Times New Roman" w:hAnsi="Times New Roman" w:cs="Times New Roman"/>
          <w:lang w:val="en-US"/>
        </w:rPr>
        <w:t>Method and Catholic Moral Theology. The Ongoing Reconstruction</w:t>
      </w:r>
      <w:r w:rsidR="0077077D" w:rsidRPr="00740EB4">
        <w:rPr>
          <w:rFonts w:ascii="Times New Roman" w:hAnsi="Times New Roman" w:cs="Times New Roman"/>
          <w:lang w:val="en-US"/>
        </w:rPr>
        <w:t>, Oma</w:t>
      </w:r>
      <w:r w:rsidR="00FF03B4">
        <w:rPr>
          <w:rFonts w:ascii="Times New Roman" w:hAnsi="Times New Roman" w:cs="Times New Roman"/>
          <w:lang w:val="en-US"/>
        </w:rPr>
        <w:t>ha 1999, s. 209–236, a także T.</w:t>
      </w:r>
      <w:r w:rsidR="0077077D" w:rsidRPr="00740EB4">
        <w:rPr>
          <w:rFonts w:ascii="Times New Roman" w:hAnsi="Times New Roman" w:cs="Times New Roman"/>
          <w:lang w:val="en-US"/>
        </w:rPr>
        <w:t xml:space="preserve"> Angier, </w:t>
      </w:r>
      <w:r w:rsidR="0077077D" w:rsidRPr="00740EB4">
        <w:rPr>
          <w:rStyle w:val="Emphasis"/>
          <w:rFonts w:ascii="Times New Roman" w:hAnsi="Times New Roman" w:cs="Times New Roman"/>
          <w:lang w:val="en-US"/>
        </w:rPr>
        <w:t>Ontological and Epistemological Foundations of Human Rights</w:t>
      </w:r>
      <w:r w:rsidR="0077077D" w:rsidRPr="00740EB4">
        <w:rPr>
          <w:rFonts w:ascii="Times New Roman" w:hAnsi="Times New Roman" w:cs="Times New Roman"/>
          <w:lang w:val="en-US"/>
        </w:rPr>
        <w:t xml:space="preserve">, w: </w:t>
      </w:r>
      <w:r w:rsidR="00FF03B4">
        <w:rPr>
          <w:rFonts w:ascii="Times New Roman" w:hAnsi="Times New Roman" w:cs="Times New Roman"/>
          <w:lang w:val="en-US"/>
        </w:rPr>
        <w:t>T. Angier,</w:t>
      </w:r>
      <w:r w:rsidR="00FF03B4" w:rsidRPr="00740EB4">
        <w:rPr>
          <w:rFonts w:ascii="Times New Roman" w:hAnsi="Times New Roman" w:cs="Times New Roman"/>
          <w:lang w:val="en-US"/>
        </w:rPr>
        <w:t xml:space="preserve"> I</w:t>
      </w:r>
      <w:r w:rsidR="00FF03B4">
        <w:rPr>
          <w:rFonts w:ascii="Times New Roman" w:hAnsi="Times New Roman" w:cs="Times New Roman"/>
          <w:lang w:val="en-US"/>
        </w:rPr>
        <w:t>.T. Benson, M.</w:t>
      </w:r>
      <w:r w:rsidR="00FF03B4" w:rsidRPr="00740EB4">
        <w:rPr>
          <w:rFonts w:ascii="Times New Roman" w:hAnsi="Times New Roman" w:cs="Times New Roman"/>
          <w:lang w:val="en-US"/>
        </w:rPr>
        <w:t xml:space="preserve">D. Retter (red.), </w:t>
      </w:r>
      <w:r w:rsidR="0077077D" w:rsidRPr="00740EB4">
        <w:rPr>
          <w:rStyle w:val="Emphasis"/>
          <w:rFonts w:ascii="Times New Roman" w:hAnsi="Times New Roman" w:cs="Times New Roman"/>
          <w:lang w:val="en-US"/>
        </w:rPr>
        <w:t>Cambridge Handbook</w:t>
      </w:r>
      <w:r w:rsidR="0077077D" w:rsidRPr="00740EB4">
        <w:rPr>
          <w:rFonts w:ascii="Times New Roman" w:hAnsi="Times New Roman" w:cs="Times New Roman"/>
          <w:lang w:val="en-US"/>
        </w:rPr>
        <w:t xml:space="preserve"> (zob. przyp. </w:t>
      </w:r>
      <w:r w:rsidR="0077077D" w:rsidRPr="00FF03B4">
        <w:rPr>
          <w:rFonts w:ascii="Times New Roman" w:hAnsi="Times New Roman" w:cs="Times New Roman"/>
          <w:lang w:val="en-US"/>
        </w:rPr>
        <w:t>22), tutaj s. 119–132.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6443"/>
    <w:multiLevelType w:val="hybridMultilevel"/>
    <w:tmpl w:val="FE968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58603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7904"/>
    <w:rsid w:val="000000AD"/>
    <w:rsid w:val="000033BA"/>
    <w:rsid w:val="00016A3E"/>
    <w:rsid w:val="00040B2B"/>
    <w:rsid w:val="000570E3"/>
    <w:rsid w:val="00081091"/>
    <w:rsid w:val="00093C92"/>
    <w:rsid w:val="000C2503"/>
    <w:rsid w:val="000D003C"/>
    <w:rsid w:val="000E7CDB"/>
    <w:rsid w:val="001350EC"/>
    <w:rsid w:val="00165228"/>
    <w:rsid w:val="00194010"/>
    <w:rsid w:val="001C609E"/>
    <w:rsid w:val="001E3CF5"/>
    <w:rsid w:val="001F51AF"/>
    <w:rsid w:val="001F7052"/>
    <w:rsid w:val="002034DF"/>
    <w:rsid w:val="00250803"/>
    <w:rsid w:val="00252F0C"/>
    <w:rsid w:val="00293199"/>
    <w:rsid w:val="002A13C2"/>
    <w:rsid w:val="002A7904"/>
    <w:rsid w:val="002D1D56"/>
    <w:rsid w:val="002D3646"/>
    <w:rsid w:val="002E40F1"/>
    <w:rsid w:val="002F4C59"/>
    <w:rsid w:val="00301AAC"/>
    <w:rsid w:val="00311BC2"/>
    <w:rsid w:val="00326932"/>
    <w:rsid w:val="00363B58"/>
    <w:rsid w:val="0037302A"/>
    <w:rsid w:val="00373055"/>
    <w:rsid w:val="00374F72"/>
    <w:rsid w:val="003975B5"/>
    <w:rsid w:val="003B6594"/>
    <w:rsid w:val="003D36C0"/>
    <w:rsid w:val="00443EF4"/>
    <w:rsid w:val="004573F7"/>
    <w:rsid w:val="004764C1"/>
    <w:rsid w:val="004B04B5"/>
    <w:rsid w:val="0050658D"/>
    <w:rsid w:val="00551405"/>
    <w:rsid w:val="005544DC"/>
    <w:rsid w:val="00573A17"/>
    <w:rsid w:val="005B6956"/>
    <w:rsid w:val="005E648B"/>
    <w:rsid w:val="00617468"/>
    <w:rsid w:val="006206BF"/>
    <w:rsid w:val="00627071"/>
    <w:rsid w:val="00660DFE"/>
    <w:rsid w:val="00663424"/>
    <w:rsid w:val="00697E0A"/>
    <w:rsid w:val="00697E90"/>
    <w:rsid w:val="006C58A9"/>
    <w:rsid w:val="006E4A80"/>
    <w:rsid w:val="0072619E"/>
    <w:rsid w:val="00740EB4"/>
    <w:rsid w:val="0077077D"/>
    <w:rsid w:val="00793808"/>
    <w:rsid w:val="007E3B4A"/>
    <w:rsid w:val="007F6687"/>
    <w:rsid w:val="00805DA3"/>
    <w:rsid w:val="0082704E"/>
    <w:rsid w:val="008B1C57"/>
    <w:rsid w:val="008C4DC6"/>
    <w:rsid w:val="008C55CE"/>
    <w:rsid w:val="00900E05"/>
    <w:rsid w:val="00912369"/>
    <w:rsid w:val="009142B0"/>
    <w:rsid w:val="009253FC"/>
    <w:rsid w:val="009409A3"/>
    <w:rsid w:val="009E5A10"/>
    <w:rsid w:val="00A6363F"/>
    <w:rsid w:val="00AB1730"/>
    <w:rsid w:val="00AB6847"/>
    <w:rsid w:val="00AB7CAD"/>
    <w:rsid w:val="00B02C84"/>
    <w:rsid w:val="00B13110"/>
    <w:rsid w:val="00B65C33"/>
    <w:rsid w:val="00B76BBC"/>
    <w:rsid w:val="00B902BA"/>
    <w:rsid w:val="00B905C3"/>
    <w:rsid w:val="00B910D0"/>
    <w:rsid w:val="00B96E8B"/>
    <w:rsid w:val="00BC4865"/>
    <w:rsid w:val="00BD5AFE"/>
    <w:rsid w:val="00BF1312"/>
    <w:rsid w:val="00C04B38"/>
    <w:rsid w:val="00C17C79"/>
    <w:rsid w:val="00CA3E94"/>
    <w:rsid w:val="00CC2F65"/>
    <w:rsid w:val="00D0106E"/>
    <w:rsid w:val="00D22704"/>
    <w:rsid w:val="00D457EA"/>
    <w:rsid w:val="00D47138"/>
    <w:rsid w:val="00D548DD"/>
    <w:rsid w:val="00D64C63"/>
    <w:rsid w:val="00D81070"/>
    <w:rsid w:val="00D95AB6"/>
    <w:rsid w:val="00DA63C8"/>
    <w:rsid w:val="00DE0E26"/>
    <w:rsid w:val="00DE665A"/>
    <w:rsid w:val="00DF19B9"/>
    <w:rsid w:val="00DF2E02"/>
    <w:rsid w:val="00DF41D5"/>
    <w:rsid w:val="00E27A27"/>
    <w:rsid w:val="00E33BF9"/>
    <w:rsid w:val="00E36D6A"/>
    <w:rsid w:val="00EA191A"/>
    <w:rsid w:val="00F52BC2"/>
    <w:rsid w:val="00F62007"/>
    <w:rsid w:val="00FA77B5"/>
    <w:rsid w:val="00FC04BE"/>
    <w:rsid w:val="00FC2720"/>
    <w:rsid w:val="00FD4693"/>
    <w:rsid w:val="00FF03B4"/>
    <w:rsid w:val="00FF3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6E1B"/>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10"/>
  </w:style>
  <w:style w:type="paragraph" w:styleId="Heading2">
    <w:name w:val="heading 2"/>
    <w:basedOn w:val="Normal"/>
    <w:next w:val="Normal"/>
    <w:link w:val="Heading2Char"/>
    <w:uiPriority w:val="9"/>
    <w:semiHidden/>
    <w:unhideWhenUsed/>
    <w:qFormat/>
    <w:rsid w:val="00FF0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6A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70E3"/>
    <w:rPr>
      <w:i/>
      <w:iCs/>
    </w:rPr>
  </w:style>
  <w:style w:type="paragraph" w:styleId="FootnoteText">
    <w:name w:val="footnote text"/>
    <w:basedOn w:val="Normal"/>
    <w:link w:val="FootnoteTextChar"/>
    <w:uiPriority w:val="99"/>
    <w:semiHidden/>
    <w:unhideWhenUsed/>
    <w:rsid w:val="001C6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09E"/>
    <w:rPr>
      <w:sz w:val="20"/>
      <w:szCs w:val="20"/>
    </w:rPr>
  </w:style>
  <w:style w:type="character" w:styleId="FootnoteReference">
    <w:name w:val="footnote reference"/>
    <w:basedOn w:val="DefaultParagraphFont"/>
    <w:uiPriority w:val="99"/>
    <w:semiHidden/>
    <w:unhideWhenUsed/>
    <w:rsid w:val="001C609E"/>
    <w:rPr>
      <w:vertAlign w:val="superscript"/>
    </w:rPr>
  </w:style>
  <w:style w:type="paragraph" w:styleId="ListParagraph">
    <w:name w:val="List Paragraph"/>
    <w:basedOn w:val="Normal"/>
    <w:uiPriority w:val="34"/>
    <w:qFormat/>
    <w:rsid w:val="004573F7"/>
    <w:pPr>
      <w:ind w:left="720"/>
      <w:contextualSpacing/>
    </w:pPr>
  </w:style>
  <w:style w:type="paragraph" w:styleId="NormalWeb">
    <w:name w:val="Normal (Web)"/>
    <w:basedOn w:val="Normal"/>
    <w:uiPriority w:val="99"/>
    <w:unhideWhenUsed/>
    <w:rsid w:val="004573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91A"/>
    <w:rPr>
      <w:b/>
      <w:bCs/>
    </w:rPr>
  </w:style>
  <w:style w:type="character" w:styleId="Hyperlink">
    <w:name w:val="Hyperlink"/>
    <w:basedOn w:val="DefaultParagraphFont"/>
    <w:uiPriority w:val="99"/>
    <w:semiHidden/>
    <w:unhideWhenUsed/>
    <w:rsid w:val="001F51AF"/>
    <w:rPr>
      <w:color w:val="0000FF"/>
      <w:u w:val="single"/>
    </w:rPr>
  </w:style>
  <w:style w:type="character" w:customStyle="1" w:styleId="Heading3Char">
    <w:name w:val="Heading 3 Char"/>
    <w:basedOn w:val="DefaultParagraphFont"/>
    <w:link w:val="Heading3"/>
    <w:uiPriority w:val="9"/>
    <w:rsid w:val="00016A3E"/>
    <w:rPr>
      <w:rFonts w:ascii="Times New Roman" w:eastAsia="Times New Roman" w:hAnsi="Times New Roman" w:cs="Times New Roman"/>
      <w:b/>
      <w:bCs/>
      <w:sz w:val="27"/>
      <w:szCs w:val="27"/>
    </w:rPr>
  </w:style>
  <w:style w:type="paragraph" w:styleId="NoSpacing">
    <w:name w:val="No Spacing"/>
    <w:uiPriority w:val="1"/>
    <w:qFormat/>
    <w:rsid w:val="00016A3E"/>
    <w:pPr>
      <w:spacing w:after="0" w:line="240" w:lineRule="auto"/>
    </w:pPr>
  </w:style>
  <w:style w:type="character" w:customStyle="1" w:styleId="Heading2Char">
    <w:name w:val="Heading 2 Char"/>
    <w:basedOn w:val="DefaultParagraphFont"/>
    <w:link w:val="Heading2"/>
    <w:uiPriority w:val="9"/>
    <w:semiHidden/>
    <w:rsid w:val="00FF03B4"/>
    <w:rPr>
      <w:rFonts w:asciiTheme="majorHAnsi" w:eastAsiaTheme="majorEastAsia" w:hAnsiTheme="majorHAnsi" w:cstheme="majorBidi"/>
      <w:b/>
      <w:bCs/>
      <w:color w:val="4F81BD" w:themeColor="accent1"/>
      <w:sz w:val="26"/>
      <w:szCs w:val="26"/>
    </w:rPr>
  </w:style>
  <w:style w:type="character" w:customStyle="1" w:styleId="cite-bracket">
    <w:name w:val="cite-bracket"/>
    <w:basedOn w:val="DefaultParagraphFont"/>
    <w:rsid w:val="00FF03B4"/>
  </w:style>
  <w:style w:type="paragraph" w:customStyle="1" w:styleId="Standard">
    <w:name w:val="Standard"/>
    <w:rsid w:val="00D0106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32693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8301">
      <w:bodyDiv w:val="1"/>
      <w:marLeft w:val="0"/>
      <w:marRight w:val="0"/>
      <w:marTop w:val="0"/>
      <w:marBottom w:val="0"/>
      <w:divBdr>
        <w:top w:val="none" w:sz="0" w:space="0" w:color="auto"/>
        <w:left w:val="none" w:sz="0" w:space="0" w:color="auto"/>
        <w:bottom w:val="none" w:sz="0" w:space="0" w:color="auto"/>
        <w:right w:val="none" w:sz="0" w:space="0" w:color="auto"/>
      </w:divBdr>
    </w:div>
    <w:div w:id="130640689">
      <w:bodyDiv w:val="1"/>
      <w:marLeft w:val="0"/>
      <w:marRight w:val="0"/>
      <w:marTop w:val="0"/>
      <w:marBottom w:val="0"/>
      <w:divBdr>
        <w:top w:val="none" w:sz="0" w:space="0" w:color="auto"/>
        <w:left w:val="none" w:sz="0" w:space="0" w:color="auto"/>
        <w:bottom w:val="none" w:sz="0" w:space="0" w:color="auto"/>
        <w:right w:val="none" w:sz="0" w:space="0" w:color="auto"/>
      </w:divBdr>
      <w:divsChild>
        <w:div w:id="935676480">
          <w:marLeft w:val="0"/>
          <w:marRight w:val="0"/>
          <w:marTop w:val="0"/>
          <w:marBottom w:val="0"/>
          <w:divBdr>
            <w:top w:val="none" w:sz="0" w:space="0" w:color="auto"/>
            <w:left w:val="none" w:sz="0" w:space="0" w:color="auto"/>
            <w:bottom w:val="none" w:sz="0" w:space="0" w:color="auto"/>
            <w:right w:val="none" w:sz="0" w:space="0" w:color="auto"/>
          </w:divBdr>
          <w:divsChild>
            <w:div w:id="851530699">
              <w:marLeft w:val="0"/>
              <w:marRight w:val="0"/>
              <w:marTop w:val="0"/>
              <w:marBottom w:val="0"/>
              <w:divBdr>
                <w:top w:val="none" w:sz="0" w:space="0" w:color="auto"/>
                <w:left w:val="none" w:sz="0" w:space="0" w:color="auto"/>
                <w:bottom w:val="none" w:sz="0" w:space="0" w:color="auto"/>
                <w:right w:val="none" w:sz="0" w:space="0" w:color="auto"/>
              </w:divBdr>
              <w:divsChild>
                <w:div w:id="881554788">
                  <w:marLeft w:val="0"/>
                  <w:marRight w:val="0"/>
                  <w:marTop w:val="0"/>
                  <w:marBottom w:val="0"/>
                  <w:divBdr>
                    <w:top w:val="none" w:sz="0" w:space="0" w:color="auto"/>
                    <w:left w:val="none" w:sz="0" w:space="0" w:color="auto"/>
                    <w:bottom w:val="none" w:sz="0" w:space="0" w:color="auto"/>
                    <w:right w:val="none" w:sz="0" w:space="0" w:color="auto"/>
                  </w:divBdr>
                  <w:divsChild>
                    <w:div w:id="750807849">
                      <w:marLeft w:val="0"/>
                      <w:marRight w:val="0"/>
                      <w:marTop w:val="0"/>
                      <w:marBottom w:val="0"/>
                      <w:divBdr>
                        <w:top w:val="none" w:sz="0" w:space="0" w:color="auto"/>
                        <w:left w:val="none" w:sz="0" w:space="0" w:color="auto"/>
                        <w:bottom w:val="none" w:sz="0" w:space="0" w:color="auto"/>
                        <w:right w:val="none" w:sz="0" w:space="0" w:color="auto"/>
                      </w:divBdr>
                      <w:divsChild>
                        <w:div w:id="359358428">
                          <w:marLeft w:val="0"/>
                          <w:marRight w:val="0"/>
                          <w:marTop w:val="0"/>
                          <w:marBottom w:val="0"/>
                          <w:divBdr>
                            <w:top w:val="none" w:sz="0" w:space="0" w:color="auto"/>
                            <w:left w:val="none" w:sz="0" w:space="0" w:color="auto"/>
                            <w:bottom w:val="none" w:sz="0" w:space="0" w:color="auto"/>
                            <w:right w:val="none" w:sz="0" w:space="0" w:color="auto"/>
                          </w:divBdr>
                          <w:divsChild>
                            <w:div w:id="8433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721027">
      <w:bodyDiv w:val="1"/>
      <w:marLeft w:val="0"/>
      <w:marRight w:val="0"/>
      <w:marTop w:val="0"/>
      <w:marBottom w:val="0"/>
      <w:divBdr>
        <w:top w:val="none" w:sz="0" w:space="0" w:color="auto"/>
        <w:left w:val="none" w:sz="0" w:space="0" w:color="auto"/>
        <w:bottom w:val="none" w:sz="0" w:space="0" w:color="auto"/>
        <w:right w:val="none" w:sz="0" w:space="0" w:color="auto"/>
      </w:divBdr>
      <w:divsChild>
        <w:div w:id="1016807616">
          <w:marLeft w:val="0"/>
          <w:marRight w:val="0"/>
          <w:marTop w:val="0"/>
          <w:marBottom w:val="0"/>
          <w:divBdr>
            <w:top w:val="none" w:sz="0" w:space="0" w:color="auto"/>
            <w:left w:val="none" w:sz="0" w:space="0" w:color="auto"/>
            <w:bottom w:val="none" w:sz="0" w:space="0" w:color="auto"/>
            <w:right w:val="none" w:sz="0" w:space="0" w:color="auto"/>
          </w:divBdr>
          <w:divsChild>
            <w:div w:id="1802070472">
              <w:marLeft w:val="0"/>
              <w:marRight w:val="0"/>
              <w:marTop w:val="0"/>
              <w:marBottom w:val="0"/>
              <w:divBdr>
                <w:top w:val="none" w:sz="0" w:space="0" w:color="auto"/>
                <w:left w:val="none" w:sz="0" w:space="0" w:color="auto"/>
                <w:bottom w:val="none" w:sz="0" w:space="0" w:color="auto"/>
                <w:right w:val="none" w:sz="0" w:space="0" w:color="auto"/>
              </w:divBdr>
              <w:divsChild>
                <w:div w:id="1426805735">
                  <w:marLeft w:val="0"/>
                  <w:marRight w:val="0"/>
                  <w:marTop w:val="0"/>
                  <w:marBottom w:val="0"/>
                  <w:divBdr>
                    <w:top w:val="none" w:sz="0" w:space="0" w:color="auto"/>
                    <w:left w:val="none" w:sz="0" w:space="0" w:color="auto"/>
                    <w:bottom w:val="none" w:sz="0" w:space="0" w:color="auto"/>
                    <w:right w:val="none" w:sz="0" w:space="0" w:color="auto"/>
                  </w:divBdr>
                  <w:divsChild>
                    <w:div w:id="1160461452">
                      <w:marLeft w:val="0"/>
                      <w:marRight w:val="0"/>
                      <w:marTop w:val="0"/>
                      <w:marBottom w:val="0"/>
                      <w:divBdr>
                        <w:top w:val="none" w:sz="0" w:space="0" w:color="auto"/>
                        <w:left w:val="none" w:sz="0" w:space="0" w:color="auto"/>
                        <w:bottom w:val="none" w:sz="0" w:space="0" w:color="auto"/>
                        <w:right w:val="none" w:sz="0" w:space="0" w:color="auto"/>
                      </w:divBdr>
                      <w:divsChild>
                        <w:div w:id="487214761">
                          <w:marLeft w:val="0"/>
                          <w:marRight w:val="0"/>
                          <w:marTop w:val="0"/>
                          <w:marBottom w:val="0"/>
                          <w:divBdr>
                            <w:top w:val="none" w:sz="0" w:space="0" w:color="auto"/>
                            <w:left w:val="none" w:sz="0" w:space="0" w:color="auto"/>
                            <w:bottom w:val="none" w:sz="0" w:space="0" w:color="auto"/>
                            <w:right w:val="none" w:sz="0" w:space="0" w:color="auto"/>
                          </w:divBdr>
                          <w:divsChild>
                            <w:div w:id="20367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64451">
      <w:bodyDiv w:val="1"/>
      <w:marLeft w:val="0"/>
      <w:marRight w:val="0"/>
      <w:marTop w:val="0"/>
      <w:marBottom w:val="0"/>
      <w:divBdr>
        <w:top w:val="none" w:sz="0" w:space="0" w:color="auto"/>
        <w:left w:val="none" w:sz="0" w:space="0" w:color="auto"/>
        <w:bottom w:val="none" w:sz="0" w:space="0" w:color="auto"/>
        <w:right w:val="none" w:sz="0" w:space="0" w:color="auto"/>
      </w:divBdr>
    </w:div>
    <w:div w:id="359596323">
      <w:bodyDiv w:val="1"/>
      <w:marLeft w:val="0"/>
      <w:marRight w:val="0"/>
      <w:marTop w:val="0"/>
      <w:marBottom w:val="0"/>
      <w:divBdr>
        <w:top w:val="none" w:sz="0" w:space="0" w:color="auto"/>
        <w:left w:val="none" w:sz="0" w:space="0" w:color="auto"/>
        <w:bottom w:val="none" w:sz="0" w:space="0" w:color="auto"/>
        <w:right w:val="none" w:sz="0" w:space="0" w:color="auto"/>
      </w:divBdr>
      <w:divsChild>
        <w:div w:id="571549966">
          <w:marLeft w:val="0"/>
          <w:marRight w:val="0"/>
          <w:marTop w:val="0"/>
          <w:marBottom w:val="0"/>
          <w:divBdr>
            <w:top w:val="none" w:sz="0" w:space="0" w:color="auto"/>
            <w:left w:val="none" w:sz="0" w:space="0" w:color="auto"/>
            <w:bottom w:val="none" w:sz="0" w:space="0" w:color="auto"/>
            <w:right w:val="none" w:sz="0" w:space="0" w:color="auto"/>
          </w:divBdr>
          <w:divsChild>
            <w:div w:id="1107238575">
              <w:marLeft w:val="0"/>
              <w:marRight w:val="0"/>
              <w:marTop w:val="0"/>
              <w:marBottom w:val="0"/>
              <w:divBdr>
                <w:top w:val="none" w:sz="0" w:space="0" w:color="auto"/>
                <w:left w:val="none" w:sz="0" w:space="0" w:color="auto"/>
                <w:bottom w:val="none" w:sz="0" w:space="0" w:color="auto"/>
                <w:right w:val="none" w:sz="0" w:space="0" w:color="auto"/>
              </w:divBdr>
              <w:divsChild>
                <w:div w:id="98108294">
                  <w:marLeft w:val="0"/>
                  <w:marRight w:val="0"/>
                  <w:marTop w:val="0"/>
                  <w:marBottom w:val="0"/>
                  <w:divBdr>
                    <w:top w:val="none" w:sz="0" w:space="0" w:color="auto"/>
                    <w:left w:val="none" w:sz="0" w:space="0" w:color="auto"/>
                    <w:bottom w:val="none" w:sz="0" w:space="0" w:color="auto"/>
                    <w:right w:val="none" w:sz="0" w:space="0" w:color="auto"/>
                  </w:divBdr>
                  <w:divsChild>
                    <w:div w:id="41752548">
                      <w:marLeft w:val="0"/>
                      <w:marRight w:val="0"/>
                      <w:marTop w:val="0"/>
                      <w:marBottom w:val="0"/>
                      <w:divBdr>
                        <w:top w:val="none" w:sz="0" w:space="0" w:color="auto"/>
                        <w:left w:val="none" w:sz="0" w:space="0" w:color="auto"/>
                        <w:bottom w:val="none" w:sz="0" w:space="0" w:color="auto"/>
                        <w:right w:val="none" w:sz="0" w:space="0" w:color="auto"/>
                      </w:divBdr>
                      <w:divsChild>
                        <w:div w:id="1463500734">
                          <w:marLeft w:val="0"/>
                          <w:marRight w:val="0"/>
                          <w:marTop w:val="0"/>
                          <w:marBottom w:val="0"/>
                          <w:divBdr>
                            <w:top w:val="none" w:sz="0" w:space="0" w:color="auto"/>
                            <w:left w:val="none" w:sz="0" w:space="0" w:color="auto"/>
                            <w:bottom w:val="none" w:sz="0" w:space="0" w:color="auto"/>
                            <w:right w:val="none" w:sz="0" w:space="0" w:color="auto"/>
                          </w:divBdr>
                          <w:divsChild>
                            <w:div w:id="17195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30756">
      <w:bodyDiv w:val="1"/>
      <w:marLeft w:val="0"/>
      <w:marRight w:val="0"/>
      <w:marTop w:val="0"/>
      <w:marBottom w:val="0"/>
      <w:divBdr>
        <w:top w:val="none" w:sz="0" w:space="0" w:color="auto"/>
        <w:left w:val="none" w:sz="0" w:space="0" w:color="auto"/>
        <w:bottom w:val="none" w:sz="0" w:space="0" w:color="auto"/>
        <w:right w:val="none" w:sz="0" w:space="0" w:color="auto"/>
      </w:divBdr>
      <w:divsChild>
        <w:div w:id="1849444785">
          <w:marLeft w:val="0"/>
          <w:marRight w:val="0"/>
          <w:marTop w:val="0"/>
          <w:marBottom w:val="0"/>
          <w:divBdr>
            <w:top w:val="none" w:sz="0" w:space="0" w:color="auto"/>
            <w:left w:val="none" w:sz="0" w:space="0" w:color="auto"/>
            <w:bottom w:val="none" w:sz="0" w:space="0" w:color="auto"/>
            <w:right w:val="none" w:sz="0" w:space="0" w:color="auto"/>
          </w:divBdr>
          <w:divsChild>
            <w:div w:id="279923690">
              <w:marLeft w:val="0"/>
              <w:marRight w:val="0"/>
              <w:marTop w:val="0"/>
              <w:marBottom w:val="0"/>
              <w:divBdr>
                <w:top w:val="none" w:sz="0" w:space="0" w:color="auto"/>
                <w:left w:val="none" w:sz="0" w:space="0" w:color="auto"/>
                <w:bottom w:val="none" w:sz="0" w:space="0" w:color="auto"/>
                <w:right w:val="none" w:sz="0" w:space="0" w:color="auto"/>
              </w:divBdr>
              <w:divsChild>
                <w:div w:id="1975594681">
                  <w:marLeft w:val="0"/>
                  <w:marRight w:val="0"/>
                  <w:marTop w:val="0"/>
                  <w:marBottom w:val="0"/>
                  <w:divBdr>
                    <w:top w:val="none" w:sz="0" w:space="0" w:color="auto"/>
                    <w:left w:val="none" w:sz="0" w:space="0" w:color="auto"/>
                    <w:bottom w:val="none" w:sz="0" w:space="0" w:color="auto"/>
                    <w:right w:val="none" w:sz="0" w:space="0" w:color="auto"/>
                  </w:divBdr>
                  <w:divsChild>
                    <w:div w:id="932125694">
                      <w:marLeft w:val="0"/>
                      <w:marRight w:val="0"/>
                      <w:marTop w:val="0"/>
                      <w:marBottom w:val="0"/>
                      <w:divBdr>
                        <w:top w:val="none" w:sz="0" w:space="0" w:color="auto"/>
                        <w:left w:val="none" w:sz="0" w:space="0" w:color="auto"/>
                        <w:bottom w:val="none" w:sz="0" w:space="0" w:color="auto"/>
                        <w:right w:val="none" w:sz="0" w:space="0" w:color="auto"/>
                      </w:divBdr>
                      <w:divsChild>
                        <w:div w:id="1358577656">
                          <w:marLeft w:val="0"/>
                          <w:marRight w:val="0"/>
                          <w:marTop w:val="0"/>
                          <w:marBottom w:val="0"/>
                          <w:divBdr>
                            <w:top w:val="none" w:sz="0" w:space="0" w:color="auto"/>
                            <w:left w:val="none" w:sz="0" w:space="0" w:color="auto"/>
                            <w:bottom w:val="none" w:sz="0" w:space="0" w:color="auto"/>
                            <w:right w:val="none" w:sz="0" w:space="0" w:color="auto"/>
                          </w:divBdr>
                          <w:divsChild>
                            <w:div w:id="19912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06919">
      <w:bodyDiv w:val="1"/>
      <w:marLeft w:val="0"/>
      <w:marRight w:val="0"/>
      <w:marTop w:val="0"/>
      <w:marBottom w:val="0"/>
      <w:divBdr>
        <w:top w:val="none" w:sz="0" w:space="0" w:color="auto"/>
        <w:left w:val="none" w:sz="0" w:space="0" w:color="auto"/>
        <w:bottom w:val="none" w:sz="0" w:space="0" w:color="auto"/>
        <w:right w:val="none" w:sz="0" w:space="0" w:color="auto"/>
      </w:divBdr>
    </w:div>
    <w:div w:id="790634764">
      <w:bodyDiv w:val="1"/>
      <w:marLeft w:val="0"/>
      <w:marRight w:val="0"/>
      <w:marTop w:val="0"/>
      <w:marBottom w:val="0"/>
      <w:divBdr>
        <w:top w:val="none" w:sz="0" w:space="0" w:color="auto"/>
        <w:left w:val="none" w:sz="0" w:space="0" w:color="auto"/>
        <w:bottom w:val="none" w:sz="0" w:space="0" w:color="auto"/>
        <w:right w:val="none" w:sz="0" w:space="0" w:color="auto"/>
      </w:divBdr>
    </w:div>
    <w:div w:id="869143146">
      <w:bodyDiv w:val="1"/>
      <w:marLeft w:val="0"/>
      <w:marRight w:val="0"/>
      <w:marTop w:val="0"/>
      <w:marBottom w:val="0"/>
      <w:divBdr>
        <w:top w:val="none" w:sz="0" w:space="0" w:color="auto"/>
        <w:left w:val="none" w:sz="0" w:space="0" w:color="auto"/>
        <w:bottom w:val="none" w:sz="0" w:space="0" w:color="auto"/>
        <w:right w:val="none" w:sz="0" w:space="0" w:color="auto"/>
      </w:divBdr>
    </w:div>
    <w:div w:id="1002200214">
      <w:bodyDiv w:val="1"/>
      <w:marLeft w:val="0"/>
      <w:marRight w:val="0"/>
      <w:marTop w:val="0"/>
      <w:marBottom w:val="0"/>
      <w:divBdr>
        <w:top w:val="none" w:sz="0" w:space="0" w:color="auto"/>
        <w:left w:val="none" w:sz="0" w:space="0" w:color="auto"/>
        <w:bottom w:val="none" w:sz="0" w:space="0" w:color="auto"/>
        <w:right w:val="none" w:sz="0" w:space="0" w:color="auto"/>
      </w:divBdr>
      <w:divsChild>
        <w:div w:id="899098795">
          <w:marLeft w:val="0"/>
          <w:marRight w:val="0"/>
          <w:marTop w:val="0"/>
          <w:marBottom w:val="0"/>
          <w:divBdr>
            <w:top w:val="none" w:sz="0" w:space="0" w:color="auto"/>
            <w:left w:val="none" w:sz="0" w:space="0" w:color="auto"/>
            <w:bottom w:val="none" w:sz="0" w:space="0" w:color="auto"/>
            <w:right w:val="none" w:sz="0" w:space="0" w:color="auto"/>
          </w:divBdr>
          <w:divsChild>
            <w:div w:id="364986938">
              <w:marLeft w:val="0"/>
              <w:marRight w:val="0"/>
              <w:marTop w:val="0"/>
              <w:marBottom w:val="0"/>
              <w:divBdr>
                <w:top w:val="none" w:sz="0" w:space="0" w:color="auto"/>
                <w:left w:val="none" w:sz="0" w:space="0" w:color="auto"/>
                <w:bottom w:val="none" w:sz="0" w:space="0" w:color="auto"/>
                <w:right w:val="none" w:sz="0" w:space="0" w:color="auto"/>
              </w:divBdr>
              <w:divsChild>
                <w:div w:id="2057972759">
                  <w:marLeft w:val="0"/>
                  <w:marRight w:val="0"/>
                  <w:marTop w:val="0"/>
                  <w:marBottom w:val="0"/>
                  <w:divBdr>
                    <w:top w:val="none" w:sz="0" w:space="0" w:color="auto"/>
                    <w:left w:val="none" w:sz="0" w:space="0" w:color="auto"/>
                    <w:bottom w:val="none" w:sz="0" w:space="0" w:color="auto"/>
                    <w:right w:val="none" w:sz="0" w:space="0" w:color="auto"/>
                  </w:divBdr>
                  <w:divsChild>
                    <w:div w:id="1186872137">
                      <w:marLeft w:val="0"/>
                      <w:marRight w:val="0"/>
                      <w:marTop w:val="0"/>
                      <w:marBottom w:val="0"/>
                      <w:divBdr>
                        <w:top w:val="none" w:sz="0" w:space="0" w:color="auto"/>
                        <w:left w:val="none" w:sz="0" w:space="0" w:color="auto"/>
                        <w:bottom w:val="none" w:sz="0" w:space="0" w:color="auto"/>
                        <w:right w:val="none" w:sz="0" w:space="0" w:color="auto"/>
                      </w:divBdr>
                      <w:divsChild>
                        <w:div w:id="2036230286">
                          <w:marLeft w:val="0"/>
                          <w:marRight w:val="0"/>
                          <w:marTop w:val="0"/>
                          <w:marBottom w:val="0"/>
                          <w:divBdr>
                            <w:top w:val="none" w:sz="0" w:space="0" w:color="auto"/>
                            <w:left w:val="none" w:sz="0" w:space="0" w:color="auto"/>
                            <w:bottom w:val="none" w:sz="0" w:space="0" w:color="auto"/>
                            <w:right w:val="none" w:sz="0" w:space="0" w:color="auto"/>
                          </w:divBdr>
                          <w:divsChild>
                            <w:div w:id="4967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13284">
      <w:bodyDiv w:val="1"/>
      <w:marLeft w:val="0"/>
      <w:marRight w:val="0"/>
      <w:marTop w:val="0"/>
      <w:marBottom w:val="0"/>
      <w:divBdr>
        <w:top w:val="none" w:sz="0" w:space="0" w:color="auto"/>
        <w:left w:val="none" w:sz="0" w:space="0" w:color="auto"/>
        <w:bottom w:val="none" w:sz="0" w:space="0" w:color="auto"/>
        <w:right w:val="none" w:sz="0" w:space="0" w:color="auto"/>
      </w:divBdr>
    </w:div>
    <w:div w:id="1302003960">
      <w:bodyDiv w:val="1"/>
      <w:marLeft w:val="0"/>
      <w:marRight w:val="0"/>
      <w:marTop w:val="0"/>
      <w:marBottom w:val="0"/>
      <w:divBdr>
        <w:top w:val="none" w:sz="0" w:space="0" w:color="auto"/>
        <w:left w:val="none" w:sz="0" w:space="0" w:color="auto"/>
        <w:bottom w:val="none" w:sz="0" w:space="0" w:color="auto"/>
        <w:right w:val="none" w:sz="0" w:space="0" w:color="auto"/>
      </w:divBdr>
    </w:div>
    <w:div w:id="1354725250">
      <w:bodyDiv w:val="1"/>
      <w:marLeft w:val="0"/>
      <w:marRight w:val="0"/>
      <w:marTop w:val="0"/>
      <w:marBottom w:val="0"/>
      <w:divBdr>
        <w:top w:val="none" w:sz="0" w:space="0" w:color="auto"/>
        <w:left w:val="none" w:sz="0" w:space="0" w:color="auto"/>
        <w:bottom w:val="none" w:sz="0" w:space="0" w:color="auto"/>
        <w:right w:val="none" w:sz="0" w:space="0" w:color="auto"/>
      </w:divBdr>
    </w:div>
    <w:div w:id="1370255483">
      <w:bodyDiv w:val="1"/>
      <w:marLeft w:val="0"/>
      <w:marRight w:val="0"/>
      <w:marTop w:val="0"/>
      <w:marBottom w:val="0"/>
      <w:divBdr>
        <w:top w:val="none" w:sz="0" w:space="0" w:color="auto"/>
        <w:left w:val="none" w:sz="0" w:space="0" w:color="auto"/>
        <w:bottom w:val="none" w:sz="0" w:space="0" w:color="auto"/>
        <w:right w:val="none" w:sz="0" w:space="0" w:color="auto"/>
      </w:divBdr>
      <w:divsChild>
        <w:div w:id="754128419">
          <w:marLeft w:val="0"/>
          <w:marRight w:val="0"/>
          <w:marTop w:val="0"/>
          <w:marBottom w:val="0"/>
          <w:divBdr>
            <w:top w:val="none" w:sz="0" w:space="0" w:color="auto"/>
            <w:left w:val="none" w:sz="0" w:space="0" w:color="auto"/>
            <w:bottom w:val="none" w:sz="0" w:space="0" w:color="auto"/>
            <w:right w:val="none" w:sz="0" w:space="0" w:color="auto"/>
          </w:divBdr>
          <w:divsChild>
            <w:div w:id="407267009">
              <w:marLeft w:val="0"/>
              <w:marRight w:val="0"/>
              <w:marTop w:val="0"/>
              <w:marBottom w:val="0"/>
              <w:divBdr>
                <w:top w:val="none" w:sz="0" w:space="0" w:color="auto"/>
                <w:left w:val="none" w:sz="0" w:space="0" w:color="auto"/>
                <w:bottom w:val="none" w:sz="0" w:space="0" w:color="auto"/>
                <w:right w:val="none" w:sz="0" w:space="0" w:color="auto"/>
              </w:divBdr>
              <w:divsChild>
                <w:div w:id="1889219732">
                  <w:marLeft w:val="0"/>
                  <w:marRight w:val="0"/>
                  <w:marTop w:val="0"/>
                  <w:marBottom w:val="0"/>
                  <w:divBdr>
                    <w:top w:val="none" w:sz="0" w:space="0" w:color="auto"/>
                    <w:left w:val="none" w:sz="0" w:space="0" w:color="auto"/>
                    <w:bottom w:val="none" w:sz="0" w:space="0" w:color="auto"/>
                    <w:right w:val="none" w:sz="0" w:space="0" w:color="auto"/>
                  </w:divBdr>
                  <w:divsChild>
                    <w:div w:id="697514248">
                      <w:marLeft w:val="0"/>
                      <w:marRight w:val="0"/>
                      <w:marTop w:val="0"/>
                      <w:marBottom w:val="0"/>
                      <w:divBdr>
                        <w:top w:val="none" w:sz="0" w:space="0" w:color="auto"/>
                        <w:left w:val="none" w:sz="0" w:space="0" w:color="auto"/>
                        <w:bottom w:val="none" w:sz="0" w:space="0" w:color="auto"/>
                        <w:right w:val="none" w:sz="0" w:space="0" w:color="auto"/>
                      </w:divBdr>
                      <w:divsChild>
                        <w:div w:id="13387171">
                          <w:marLeft w:val="0"/>
                          <w:marRight w:val="0"/>
                          <w:marTop w:val="0"/>
                          <w:marBottom w:val="0"/>
                          <w:divBdr>
                            <w:top w:val="none" w:sz="0" w:space="0" w:color="auto"/>
                            <w:left w:val="none" w:sz="0" w:space="0" w:color="auto"/>
                            <w:bottom w:val="none" w:sz="0" w:space="0" w:color="auto"/>
                            <w:right w:val="none" w:sz="0" w:space="0" w:color="auto"/>
                          </w:divBdr>
                          <w:divsChild>
                            <w:div w:id="11526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450780">
      <w:bodyDiv w:val="1"/>
      <w:marLeft w:val="0"/>
      <w:marRight w:val="0"/>
      <w:marTop w:val="0"/>
      <w:marBottom w:val="0"/>
      <w:divBdr>
        <w:top w:val="none" w:sz="0" w:space="0" w:color="auto"/>
        <w:left w:val="none" w:sz="0" w:space="0" w:color="auto"/>
        <w:bottom w:val="none" w:sz="0" w:space="0" w:color="auto"/>
        <w:right w:val="none" w:sz="0" w:space="0" w:color="auto"/>
      </w:divBdr>
      <w:divsChild>
        <w:div w:id="1902254361">
          <w:marLeft w:val="0"/>
          <w:marRight w:val="0"/>
          <w:marTop w:val="0"/>
          <w:marBottom w:val="0"/>
          <w:divBdr>
            <w:top w:val="none" w:sz="0" w:space="0" w:color="auto"/>
            <w:left w:val="none" w:sz="0" w:space="0" w:color="auto"/>
            <w:bottom w:val="none" w:sz="0" w:space="0" w:color="auto"/>
            <w:right w:val="none" w:sz="0" w:space="0" w:color="auto"/>
          </w:divBdr>
          <w:divsChild>
            <w:div w:id="1227574283">
              <w:marLeft w:val="0"/>
              <w:marRight w:val="0"/>
              <w:marTop w:val="0"/>
              <w:marBottom w:val="0"/>
              <w:divBdr>
                <w:top w:val="none" w:sz="0" w:space="0" w:color="auto"/>
                <w:left w:val="none" w:sz="0" w:space="0" w:color="auto"/>
                <w:bottom w:val="none" w:sz="0" w:space="0" w:color="auto"/>
                <w:right w:val="none" w:sz="0" w:space="0" w:color="auto"/>
              </w:divBdr>
              <w:divsChild>
                <w:div w:id="63963168">
                  <w:marLeft w:val="0"/>
                  <w:marRight w:val="0"/>
                  <w:marTop w:val="0"/>
                  <w:marBottom w:val="0"/>
                  <w:divBdr>
                    <w:top w:val="none" w:sz="0" w:space="0" w:color="auto"/>
                    <w:left w:val="none" w:sz="0" w:space="0" w:color="auto"/>
                    <w:bottom w:val="none" w:sz="0" w:space="0" w:color="auto"/>
                    <w:right w:val="none" w:sz="0" w:space="0" w:color="auto"/>
                  </w:divBdr>
                  <w:divsChild>
                    <w:div w:id="788090759">
                      <w:marLeft w:val="0"/>
                      <w:marRight w:val="0"/>
                      <w:marTop w:val="0"/>
                      <w:marBottom w:val="0"/>
                      <w:divBdr>
                        <w:top w:val="none" w:sz="0" w:space="0" w:color="auto"/>
                        <w:left w:val="none" w:sz="0" w:space="0" w:color="auto"/>
                        <w:bottom w:val="none" w:sz="0" w:space="0" w:color="auto"/>
                        <w:right w:val="none" w:sz="0" w:space="0" w:color="auto"/>
                      </w:divBdr>
                      <w:divsChild>
                        <w:div w:id="345403634">
                          <w:marLeft w:val="0"/>
                          <w:marRight w:val="0"/>
                          <w:marTop w:val="0"/>
                          <w:marBottom w:val="0"/>
                          <w:divBdr>
                            <w:top w:val="none" w:sz="0" w:space="0" w:color="auto"/>
                            <w:left w:val="none" w:sz="0" w:space="0" w:color="auto"/>
                            <w:bottom w:val="none" w:sz="0" w:space="0" w:color="auto"/>
                            <w:right w:val="none" w:sz="0" w:space="0" w:color="auto"/>
                          </w:divBdr>
                          <w:divsChild>
                            <w:div w:id="1212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063900">
      <w:bodyDiv w:val="1"/>
      <w:marLeft w:val="0"/>
      <w:marRight w:val="0"/>
      <w:marTop w:val="0"/>
      <w:marBottom w:val="0"/>
      <w:divBdr>
        <w:top w:val="none" w:sz="0" w:space="0" w:color="auto"/>
        <w:left w:val="none" w:sz="0" w:space="0" w:color="auto"/>
        <w:bottom w:val="none" w:sz="0" w:space="0" w:color="auto"/>
        <w:right w:val="none" w:sz="0" w:space="0" w:color="auto"/>
      </w:divBdr>
    </w:div>
    <w:div w:id="1676304756">
      <w:bodyDiv w:val="1"/>
      <w:marLeft w:val="0"/>
      <w:marRight w:val="0"/>
      <w:marTop w:val="0"/>
      <w:marBottom w:val="0"/>
      <w:divBdr>
        <w:top w:val="none" w:sz="0" w:space="0" w:color="auto"/>
        <w:left w:val="none" w:sz="0" w:space="0" w:color="auto"/>
        <w:bottom w:val="none" w:sz="0" w:space="0" w:color="auto"/>
        <w:right w:val="none" w:sz="0" w:space="0" w:color="auto"/>
      </w:divBdr>
    </w:div>
    <w:div w:id="1868522865">
      <w:bodyDiv w:val="1"/>
      <w:marLeft w:val="0"/>
      <w:marRight w:val="0"/>
      <w:marTop w:val="0"/>
      <w:marBottom w:val="0"/>
      <w:divBdr>
        <w:top w:val="none" w:sz="0" w:space="0" w:color="auto"/>
        <w:left w:val="none" w:sz="0" w:space="0" w:color="auto"/>
        <w:bottom w:val="none" w:sz="0" w:space="0" w:color="auto"/>
        <w:right w:val="none" w:sz="0" w:space="0" w:color="auto"/>
      </w:divBdr>
      <w:divsChild>
        <w:div w:id="544413007">
          <w:marLeft w:val="0"/>
          <w:marRight w:val="0"/>
          <w:marTop w:val="60"/>
          <w:marBottom w:val="60"/>
          <w:divBdr>
            <w:top w:val="none" w:sz="0" w:space="0" w:color="auto"/>
            <w:left w:val="none" w:sz="0" w:space="0" w:color="auto"/>
            <w:bottom w:val="single" w:sz="6" w:space="2" w:color="A2A9B1"/>
            <w:right w:val="none" w:sz="0" w:space="0" w:color="auto"/>
          </w:divBdr>
        </w:div>
        <w:div w:id="1977487240">
          <w:marLeft w:val="0"/>
          <w:marRight w:val="0"/>
          <w:marTop w:val="60"/>
          <w:marBottom w:val="60"/>
          <w:divBdr>
            <w:top w:val="none" w:sz="0" w:space="0" w:color="auto"/>
            <w:left w:val="none" w:sz="0" w:space="0" w:color="auto"/>
            <w:bottom w:val="none" w:sz="0" w:space="0" w:color="auto"/>
            <w:right w:val="none" w:sz="0" w:space="0" w:color="auto"/>
          </w:divBdr>
        </w:div>
        <w:div w:id="1477524063">
          <w:marLeft w:val="0"/>
          <w:marRight w:val="0"/>
          <w:marTop w:val="60"/>
          <w:marBottom w:val="60"/>
          <w:divBdr>
            <w:top w:val="none" w:sz="0" w:space="0" w:color="auto"/>
            <w:left w:val="none" w:sz="0" w:space="0" w:color="auto"/>
            <w:bottom w:val="none" w:sz="0" w:space="0" w:color="auto"/>
            <w:right w:val="none" w:sz="0" w:space="0" w:color="auto"/>
          </w:divBdr>
        </w:div>
      </w:divsChild>
    </w:div>
    <w:div w:id="19360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tuebing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0904-554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8028-3C56-460C-B76C-CF65ED47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3914</Words>
  <Characters>22315</Characters>
  <Application>Microsoft Office Word</Application>
  <DocSecurity>0</DocSecurity>
  <Lines>185</Lines>
  <Paragraphs>52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2026-03-22T00:15:00Z</dcterms:created>
  <dcterms:modified xsi:type="dcterms:W3CDTF">2026-07-07T11:46:00Z</dcterms:modified>
</cp:coreProperties>
</file>