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468C" w14:textId="77777777" w:rsidR="00386667" w:rsidRPr="00BA1F4D" w:rsidRDefault="00386667" w:rsidP="00386667">
      <w:pPr>
        <w:pStyle w:val="NoSpacing"/>
        <w:rPr>
          <w:rFonts w:ascii="Times New Roman" w:hAnsi="Times New Roman" w:cs="Times New Roman"/>
          <w:sz w:val="24"/>
          <w:szCs w:val="24"/>
          <w:u w:val="single"/>
          <w:lang w:val="en-US"/>
        </w:rPr>
      </w:pPr>
      <w:r w:rsidRPr="00BA1F4D">
        <w:rPr>
          <w:rFonts w:ascii="Times New Roman" w:hAnsi="Times New Roman" w:cs="Times New Roman"/>
          <w:sz w:val="24"/>
          <w:szCs w:val="24"/>
          <w:u w:val="single"/>
          <w:lang w:val="en-US"/>
        </w:rPr>
        <w:t>JAN HEINER TÜCK</w:t>
      </w:r>
    </w:p>
    <w:p w14:paraId="5D3924E9" w14:textId="77777777" w:rsidR="00386667" w:rsidRPr="00BA1F4D" w:rsidRDefault="00386667" w:rsidP="00386667">
      <w:pPr>
        <w:pStyle w:val="NoSpacing"/>
        <w:rPr>
          <w:rFonts w:ascii="Times New Roman" w:hAnsi="Times New Roman" w:cs="Times New Roman"/>
          <w:sz w:val="24"/>
          <w:szCs w:val="24"/>
          <w:shd w:val="clear" w:color="auto" w:fill="FFFFFF"/>
          <w:lang w:val="en-US"/>
        </w:rPr>
      </w:pPr>
      <w:r w:rsidRPr="00BA1F4D">
        <w:rPr>
          <w:rFonts w:ascii="Times New Roman" w:hAnsi="Times New Roman" w:cs="Times New Roman"/>
          <w:sz w:val="24"/>
          <w:szCs w:val="24"/>
          <w:shd w:val="clear" w:color="auto" w:fill="FFFFFF"/>
          <w:lang w:val="en-US"/>
        </w:rPr>
        <w:t>University of Vienna, Austria</w:t>
      </w:r>
    </w:p>
    <w:p w14:paraId="7449D419" w14:textId="77777777" w:rsidR="00386667" w:rsidRPr="00BA1F4D" w:rsidRDefault="00386667" w:rsidP="00386667">
      <w:pPr>
        <w:pStyle w:val="NoSpacing"/>
        <w:rPr>
          <w:rFonts w:ascii="Times New Roman" w:hAnsi="Times New Roman" w:cs="Times New Roman"/>
          <w:i/>
          <w:iCs/>
          <w:sz w:val="24"/>
          <w:szCs w:val="24"/>
          <w:lang w:val="it-IT"/>
        </w:rPr>
      </w:pPr>
      <w:r w:rsidRPr="00BA1F4D">
        <w:rPr>
          <w:rFonts w:ascii="Times New Roman" w:hAnsi="Times New Roman" w:cs="Times New Roman"/>
          <w:sz w:val="24"/>
          <w:szCs w:val="24"/>
          <w:shd w:val="clear" w:color="auto" w:fill="FFFFFF"/>
          <w:lang w:val="it-IT"/>
        </w:rPr>
        <w:t xml:space="preserve">e-mail: </w:t>
      </w:r>
      <w:r w:rsidRPr="00BA1F4D">
        <w:rPr>
          <w:rStyle w:val="Emphasis"/>
          <w:rFonts w:ascii="Times New Roman" w:hAnsi="Times New Roman" w:cs="Times New Roman"/>
          <w:sz w:val="24"/>
          <w:szCs w:val="24"/>
          <w:lang w:val="it-IT"/>
        </w:rPr>
        <w:t>jan</w:t>
      </w:r>
      <w:r w:rsidRPr="00BA1F4D">
        <w:rPr>
          <w:rStyle w:val="st"/>
          <w:rFonts w:ascii="Times New Roman" w:hAnsi="Times New Roman"/>
          <w:sz w:val="24"/>
          <w:szCs w:val="24"/>
          <w:lang w:val="it-IT"/>
        </w:rPr>
        <w:t>-</w:t>
      </w:r>
      <w:r w:rsidRPr="00BA1F4D">
        <w:rPr>
          <w:rStyle w:val="Emphasis"/>
          <w:rFonts w:ascii="Times New Roman" w:hAnsi="Times New Roman" w:cs="Times New Roman"/>
          <w:sz w:val="24"/>
          <w:szCs w:val="24"/>
          <w:lang w:val="it-IT"/>
        </w:rPr>
        <w:t>heiner</w:t>
      </w:r>
      <w:r w:rsidRPr="00BA1F4D">
        <w:rPr>
          <w:rStyle w:val="st"/>
          <w:rFonts w:ascii="Times New Roman" w:hAnsi="Times New Roman"/>
          <w:sz w:val="24"/>
          <w:szCs w:val="24"/>
          <w:lang w:val="it-IT"/>
        </w:rPr>
        <w:t>.</w:t>
      </w:r>
      <w:r w:rsidRPr="00BA1F4D">
        <w:rPr>
          <w:rStyle w:val="Emphasis"/>
          <w:rFonts w:ascii="Times New Roman" w:hAnsi="Times New Roman" w:cs="Times New Roman"/>
          <w:sz w:val="24"/>
          <w:szCs w:val="24"/>
          <w:lang w:val="it-IT"/>
        </w:rPr>
        <w:t>tueck</w:t>
      </w:r>
      <w:r w:rsidRPr="00BA1F4D">
        <w:rPr>
          <w:rStyle w:val="st"/>
          <w:rFonts w:ascii="Times New Roman" w:hAnsi="Times New Roman"/>
          <w:sz w:val="24"/>
          <w:szCs w:val="24"/>
          <w:lang w:val="it-IT"/>
        </w:rPr>
        <w:t>@univie.ac.at</w:t>
      </w:r>
    </w:p>
    <w:p w14:paraId="4F5AB652" w14:textId="1A2E1ED7" w:rsidR="00386667" w:rsidRPr="00BA1F4D" w:rsidRDefault="00386667" w:rsidP="00386667">
      <w:pPr>
        <w:pStyle w:val="NoSpacing"/>
        <w:rPr>
          <w:rFonts w:ascii="Times New Roman" w:hAnsi="Times New Roman" w:cs="Times New Roman"/>
          <w:sz w:val="24"/>
          <w:szCs w:val="24"/>
          <w:lang w:val="en-US"/>
        </w:rPr>
      </w:pPr>
      <w:r w:rsidRPr="00BA1F4D">
        <w:rPr>
          <w:rFonts w:ascii="Times New Roman" w:hAnsi="Times New Roman" w:cs="Times New Roman"/>
          <w:sz w:val="24"/>
          <w:szCs w:val="24"/>
          <w:lang w:val="en-US"/>
        </w:rPr>
        <w:t xml:space="preserve">ORCID: </w:t>
      </w:r>
      <w:r w:rsidRPr="00BA1F4D">
        <w:rPr>
          <w:rFonts w:ascii="Times New Roman" w:hAnsi="Times New Roman" w:cs="Times New Roman"/>
          <w:sz w:val="24"/>
          <w:szCs w:val="24"/>
          <w:shd w:val="clear" w:color="auto" w:fill="FFFFFF"/>
          <w:lang w:val="en-US"/>
        </w:rPr>
        <w:t>0000-0002-8420-4822</w:t>
      </w:r>
    </w:p>
    <w:p w14:paraId="66114FB6" w14:textId="4C62DDD8" w:rsidR="00386667" w:rsidRPr="00BA1F4D" w:rsidRDefault="00386667" w:rsidP="00386667">
      <w:pPr>
        <w:spacing w:line="240" w:lineRule="auto"/>
        <w:rPr>
          <w:rFonts w:ascii="Times New Roman" w:hAnsi="Times New Roman" w:cs="Times New Roman"/>
          <w:sz w:val="24"/>
          <w:szCs w:val="24"/>
        </w:rPr>
      </w:pPr>
      <w:r w:rsidRPr="00BA1F4D">
        <w:rPr>
          <w:rFonts w:ascii="Times New Roman" w:hAnsi="Times New Roman" w:cs="Times New Roman"/>
          <w:sz w:val="24"/>
          <w:szCs w:val="24"/>
        </w:rPr>
        <w:t>DOI:</w:t>
      </w:r>
      <w:r w:rsidR="00BA1F4D" w:rsidRPr="00BA1F4D">
        <w:rPr>
          <w:rFonts w:ascii="Times New Roman" w:hAnsi="Times New Roman" w:cs="Times New Roman"/>
          <w:sz w:val="24"/>
          <w:szCs w:val="24"/>
        </w:rPr>
        <w:t xml:space="preserve"> </w:t>
      </w:r>
      <w:r w:rsidR="00BA1F4D" w:rsidRPr="00BA1F4D">
        <w:rPr>
          <w:rFonts w:ascii="Times New Roman" w:hAnsi="Times New Roman" w:cs="Times New Roman"/>
          <w:sz w:val="24"/>
          <w:szCs w:val="24"/>
        </w:rPr>
        <w:t>10.48224/COM-232-2025-32</w:t>
      </w:r>
    </w:p>
    <w:p w14:paraId="412BF6D9" w14:textId="77777777" w:rsidR="00386667" w:rsidRPr="003547C4" w:rsidRDefault="00386667" w:rsidP="00386667">
      <w:pPr>
        <w:pStyle w:val="NoSpacing"/>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386667" w:rsidRPr="003D0426" w14:paraId="5F8731DD" w14:textId="77777777" w:rsidTr="009475B4">
        <w:trPr>
          <w:trHeight w:val="724"/>
          <w:jc w:val="right"/>
        </w:trPr>
        <w:tc>
          <w:tcPr>
            <w:tcW w:w="3685" w:type="dxa"/>
            <w:hideMark/>
          </w:tcPr>
          <w:p w14:paraId="4EA9B4BA" w14:textId="77777777" w:rsidR="00386667" w:rsidRPr="00F972E6" w:rsidRDefault="00386667" w:rsidP="009475B4">
            <w:pPr>
              <w:jc w:val="center"/>
              <w:rPr>
                <w:rFonts w:ascii="Times New Roman" w:hAnsi="Times New Roman" w:cs="Times New Roman"/>
                <w:sz w:val="20"/>
                <w:szCs w:val="20"/>
              </w:rPr>
            </w:pPr>
            <w:r w:rsidRPr="0096014D">
              <w:rPr>
                <w:sz w:val="20"/>
                <w:szCs w:val="20"/>
                <w:lang w:val="en-US"/>
              </w:rPr>
              <w:br/>
            </w:r>
            <w:r w:rsidRPr="00F972E6">
              <w:rPr>
                <w:rFonts w:ascii="Times New Roman" w:hAnsi="Times New Roman" w:cs="Times New Roman"/>
                <w:sz w:val="20"/>
                <w:szCs w:val="20"/>
              </w:rPr>
              <w:t>Communio 45(2025)</w:t>
            </w:r>
            <w:r>
              <w:rPr>
                <w:rFonts w:ascii="Times New Roman" w:hAnsi="Times New Roman" w:cs="Times New Roman"/>
                <w:sz w:val="20"/>
                <w:szCs w:val="20"/>
              </w:rPr>
              <w:t>4</w:t>
            </w:r>
            <w:r w:rsidRPr="00F972E6">
              <w:rPr>
                <w:rFonts w:ascii="Times New Roman" w:hAnsi="Times New Roman" w:cs="Times New Roman"/>
                <w:sz w:val="20"/>
                <w:szCs w:val="20"/>
              </w:rPr>
              <w:t>, s. 2-2</w:t>
            </w:r>
          </w:p>
        </w:tc>
      </w:tr>
    </w:tbl>
    <w:p w14:paraId="6090D382" w14:textId="77777777" w:rsidR="00386667" w:rsidRDefault="00386667" w:rsidP="00386667">
      <w:pPr>
        <w:spacing w:line="240" w:lineRule="auto"/>
        <w:jc w:val="center"/>
      </w:pPr>
    </w:p>
    <w:p w14:paraId="2F0F1578" w14:textId="77777777" w:rsidR="00271744" w:rsidRPr="00271744" w:rsidRDefault="00386667" w:rsidP="00271744">
      <w:pPr>
        <w:pStyle w:val="NormalWeb"/>
        <w:jc w:val="center"/>
        <w:rPr>
          <w:sz w:val="32"/>
          <w:szCs w:val="32"/>
        </w:rPr>
      </w:pPr>
      <w:r>
        <w:rPr>
          <w:rStyle w:val="Strong"/>
          <w:sz w:val="32"/>
          <w:szCs w:val="32"/>
        </w:rPr>
        <w:t xml:space="preserve"> </w:t>
      </w:r>
      <w:r w:rsidR="00B76727">
        <w:rPr>
          <w:rStyle w:val="Strong"/>
          <w:sz w:val="32"/>
          <w:szCs w:val="32"/>
        </w:rPr>
        <w:t>„</w:t>
      </w:r>
      <w:r w:rsidR="003917E6">
        <w:rPr>
          <w:rStyle w:val="Strong"/>
          <w:sz w:val="32"/>
          <w:szCs w:val="32"/>
        </w:rPr>
        <w:t>Współistotny Ojcu</w:t>
      </w:r>
      <w:r w:rsidR="00271744" w:rsidRPr="00271744">
        <w:rPr>
          <w:rStyle w:val="Strong"/>
          <w:sz w:val="32"/>
          <w:szCs w:val="32"/>
        </w:rPr>
        <w:t>”</w:t>
      </w:r>
      <w:r w:rsidR="00271744" w:rsidRPr="00271744">
        <w:rPr>
          <w:b/>
          <w:bCs/>
          <w:sz w:val="32"/>
          <w:szCs w:val="32"/>
        </w:rPr>
        <w:br/>
      </w:r>
      <w:r w:rsidR="00445C3C">
        <w:rPr>
          <w:rStyle w:val="Strong"/>
          <w:sz w:val="32"/>
          <w:szCs w:val="32"/>
        </w:rPr>
        <w:t>Czy Sobór N</w:t>
      </w:r>
      <w:r w:rsidR="00271744" w:rsidRPr="00271744">
        <w:rPr>
          <w:rStyle w:val="Strong"/>
          <w:sz w:val="32"/>
          <w:szCs w:val="32"/>
        </w:rPr>
        <w:t>icejski odciął żydowskie korzenie chrześcijaństwa?</w:t>
      </w:r>
    </w:p>
    <w:p w14:paraId="70B75E01" w14:textId="77777777" w:rsidR="005978C8" w:rsidRPr="005978C8" w:rsidRDefault="003917E6" w:rsidP="005978C8">
      <w:pPr>
        <w:pStyle w:val="NoSpacing"/>
        <w:jc w:val="center"/>
        <w:rPr>
          <w:rFonts w:ascii="Times New Roman" w:hAnsi="Times New Roman" w:cs="Times New Roman"/>
          <w:b/>
          <w:bCs/>
          <w:sz w:val="28"/>
          <w:szCs w:val="28"/>
          <w:lang w:val="en-US"/>
        </w:rPr>
      </w:pPr>
      <w:r w:rsidRPr="005978C8">
        <w:rPr>
          <w:rFonts w:ascii="Times New Roman" w:hAnsi="Times New Roman" w:cs="Times New Roman"/>
          <w:b/>
          <w:bCs/>
          <w:sz w:val="28"/>
          <w:szCs w:val="28"/>
          <w:lang w:val="en-US"/>
        </w:rPr>
        <w:t>«C</w:t>
      </w:r>
      <w:r w:rsidR="005978C8">
        <w:rPr>
          <w:rFonts w:ascii="Times New Roman" w:hAnsi="Times New Roman" w:cs="Times New Roman"/>
          <w:b/>
          <w:bCs/>
          <w:sz w:val="28"/>
          <w:szCs w:val="28"/>
          <w:lang w:val="en-US"/>
        </w:rPr>
        <w:t xml:space="preserve">onsubstantial with the </w:t>
      </w:r>
      <w:proofErr w:type="gramStart"/>
      <w:r w:rsidR="005978C8">
        <w:rPr>
          <w:rFonts w:ascii="Times New Roman" w:hAnsi="Times New Roman" w:cs="Times New Roman"/>
          <w:b/>
          <w:bCs/>
          <w:sz w:val="28"/>
          <w:szCs w:val="28"/>
          <w:lang w:val="en-US"/>
        </w:rPr>
        <w:t>Father</w:t>
      </w:r>
      <w:proofErr w:type="gramEnd"/>
      <w:r w:rsidR="005978C8">
        <w:rPr>
          <w:rFonts w:ascii="Times New Roman" w:hAnsi="Times New Roman" w:cs="Times New Roman"/>
          <w:b/>
          <w:bCs/>
          <w:sz w:val="28"/>
          <w:szCs w:val="28"/>
          <w:lang w:val="en-US"/>
        </w:rPr>
        <w:t>»</w:t>
      </w:r>
    </w:p>
    <w:p w14:paraId="459E3C28" w14:textId="77777777" w:rsidR="0023383B" w:rsidRPr="005978C8" w:rsidRDefault="003917E6" w:rsidP="005978C8">
      <w:pPr>
        <w:pStyle w:val="NoSpacing"/>
        <w:jc w:val="center"/>
        <w:rPr>
          <w:rFonts w:ascii="Times New Roman" w:hAnsi="Times New Roman" w:cs="Times New Roman"/>
          <w:b/>
          <w:bCs/>
          <w:sz w:val="28"/>
          <w:szCs w:val="28"/>
          <w:lang w:val="en-US"/>
        </w:rPr>
      </w:pPr>
      <w:r w:rsidRPr="005978C8">
        <w:rPr>
          <w:rFonts w:ascii="Times New Roman" w:hAnsi="Times New Roman" w:cs="Times New Roman"/>
          <w:b/>
          <w:bCs/>
          <w:sz w:val="28"/>
          <w:szCs w:val="28"/>
          <w:lang w:val="en-US"/>
        </w:rPr>
        <w:t>Did the Council of Nicea Cut off the Jewish Roots of Christianity?</w:t>
      </w:r>
    </w:p>
    <w:p w14:paraId="6276A4AB" w14:textId="77777777" w:rsidR="005978C8" w:rsidRPr="000A4566" w:rsidRDefault="005978C8" w:rsidP="004764FA">
      <w:pPr>
        <w:pStyle w:val="NormalWeb"/>
        <w:spacing w:before="0" w:beforeAutospacing="0" w:after="0" w:afterAutospacing="0"/>
        <w:jc w:val="right"/>
        <w:rPr>
          <w:lang w:val="en-US"/>
        </w:rPr>
      </w:pPr>
    </w:p>
    <w:p w14:paraId="7C9821AA" w14:textId="77777777" w:rsidR="005978C8" w:rsidRPr="000A4566" w:rsidRDefault="005978C8" w:rsidP="004764FA">
      <w:pPr>
        <w:pStyle w:val="NormalWeb"/>
        <w:spacing w:before="0" w:beforeAutospacing="0" w:after="0" w:afterAutospacing="0"/>
        <w:jc w:val="right"/>
        <w:rPr>
          <w:lang w:val="en-US"/>
        </w:rPr>
      </w:pPr>
    </w:p>
    <w:p w14:paraId="73506606" w14:textId="77777777" w:rsidR="0023383B" w:rsidRPr="004764FA" w:rsidRDefault="0023383B" w:rsidP="004764FA">
      <w:pPr>
        <w:pStyle w:val="NormalWeb"/>
        <w:spacing w:before="0" w:beforeAutospacing="0" w:after="0" w:afterAutospacing="0"/>
        <w:jc w:val="right"/>
      </w:pPr>
      <w:r w:rsidRPr="004764FA">
        <w:t>Zwołał Sobór Nicejski,</w:t>
      </w:r>
    </w:p>
    <w:p w14:paraId="6E66EA57" w14:textId="77777777" w:rsidR="0023383B" w:rsidRPr="004764FA" w:rsidRDefault="0023383B" w:rsidP="004764FA">
      <w:pPr>
        <w:pStyle w:val="NormalWeb"/>
        <w:spacing w:before="0" w:beforeAutospacing="0" w:after="0" w:afterAutospacing="0"/>
        <w:jc w:val="right"/>
      </w:pPr>
      <w:r w:rsidRPr="004764FA">
        <w:t>aby dokładnie wiedzieć, czy Żyd jest Bogiem.</w:t>
      </w:r>
    </w:p>
    <w:p w14:paraId="7D38F6AD" w14:textId="77777777" w:rsidR="0023383B" w:rsidRPr="000A4566" w:rsidRDefault="004764FA" w:rsidP="004764FA">
      <w:pPr>
        <w:pStyle w:val="NormalWeb"/>
        <w:spacing w:before="0" w:beforeAutospacing="0" w:after="0" w:afterAutospacing="0"/>
        <w:jc w:val="right"/>
        <w:rPr>
          <w:lang w:val="en-US"/>
        </w:rPr>
      </w:pPr>
      <w:r w:rsidRPr="000A4566">
        <w:rPr>
          <w:rStyle w:val="A13"/>
          <w:sz w:val="24"/>
          <w:szCs w:val="24"/>
          <w:lang w:val="en-US"/>
        </w:rPr>
        <w:t>Voltaire</w:t>
      </w:r>
      <w:r>
        <w:rPr>
          <w:rStyle w:val="FootnoteReference"/>
          <w:rFonts w:cs="Bembo Std"/>
          <w:color w:val="000000"/>
        </w:rPr>
        <w:footnoteReference w:id="1"/>
      </w:r>
    </w:p>
    <w:p w14:paraId="0D5C3A6B" w14:textId="77777777" w:rsidR="005978C8" w:rsidRDefault="005978C8" w:rsidP="003917E6">
      <w:pPr>
        <w:spacing w:after="0" w:line="240" w:lineRule="auto"/>
        <w:jc w:val="center"/>
        <w:rPr>
          <w:b/>
          <w:bCs/>
          <w:lang w:val="en-US"/>
        </w:rPr>
      </w:pPr>
    </w:p>
    <w:p w14:paraId="2639E02F" w14:textId="77777777" w:rsidR="003917E6" w:rsidRPr="005978C8" w:rsidRDefault="003917E6" w:rsidP="003917E6">
      <w:pPr>
        <w:spacing w:after="0" w:line="240" w:lineRule="auto"/>
        <w:jc w:val="center"/>
        <w:rPr>
          <w:rFonts w:ascii="Times New Roman" w:hAnsi="Times New Roman" w:cs="Times New Roman"/>
          <w:b/>
          <w:bCs/>
          <w:sz w:val="20"/>
          <w:szCs w:val="20"/>
          <w:lang w:val="en-US"/>
        </w:rPr>
      </w:pPr>
      <w:r w:rsidRPr="005978C8">
        <w:rPr>
          <w:rFonts w:ascii="Times New Roman" w:hAnsi="Times New Roman" w:cs="Times New Roman"/>
          <w:b/>
          <w:bCs/>
          <w:sz w:val="20"/>
          <w:szCs w:val="20"/>
          <w:lang w:val="en-US"/>
        </w:rPr>
        <w:t xml:space="preserve">Abstract </w:t>
      </w:r>
    </w:p>
    <w:p w14:paraId="155A1F3A" w14:textId="77777777" w:rsidR="003917E6" w:rsidRDefault="003917E6" w:rsidP="003917E6">
      <w:pPr>
        <w:spacing w:after="0" w:line="240" w:lineRule="auto"/>
        <w:jc w:val="both"/>
        <w:rPr>
          <w:rFonts w:ascii="Times New Roman" w:hAnsi="Times New Roman" w:cs="Times New Roman"/>
          <w:sz w:val="20"/>
          <w:szCs w:val="20"/>
          <w:lang w:val="en-US"/>
        </w:rPr>
      </w:pPr>
      <w:r w:rsidRPr="005978C8">
        <w:rPr>
          <w:rFonts w:ascii="Times New Roman" w:hAnsi="Times New Roman" w:cs="Times New Roman"/>
          <w:sz w:val="20"/>
          <w:szCs w:val="20"/>
          <w:lang w:val="en-US"/>
        </w:rPr>
        <w:t xml:space="preserve">The article examines the question of whether the Council of Nicaea in 325 cut off the roots to Judaism and sealed the parting of the ways. Firstly, the Council rejected the Jewish calculation of the date of Easter and prescribed the Roman practice for the whole Church. Secondly, the imperial turn towards Christianity, which became clear with the council in the imperial summer residence in Nicaea, did not have good consequences for the synagogue. Finally, the Council's dogmatic definition that the </w:t>
      </w:r>
      <w:proofErr w:type="gramStart"/>
      <w:r w:rsidRPr="005978C8">
        <w:rPr>
          <w:rFonts w:ascii="Times New Roman" w:hAnsi="Times New Roman" w:cs="Times New Roman"/>
          <w:sz w:val="20"/>
          <w:szCs w:val="20"/>
          <w:lang w:val="en-US"/>
        </w:rPr>
        <w:t>Son</w:t>
      </w:r>
      <w:proofErr w:type="gramEnd"/>
      <w:r w:rsidRPr="005978C8">
        <w:rPr>
          <w:rFonts w:ascii="Times New Roman" w:hAnsi="Times New Roman" w:cs="Times New Roman"/>
          <w:sz w:val="20"/>
          <w:szCs w:val="20"/>
          <w:lang w:val="en-US"/>
        </w:rPr>
        <w:t xml:space="preserve"> is ‹consubstantial with the </w:t>
      </w:r>
      <w:proofErr w:type="gramStart"/>
      <w:r w:rsidRPr="005978C8">
        <w:rPr>
          <w:rFonts w:ascii="Times New Roman" w:hAnsi="Times New Roman" w:cs="Times New Roman"/>
          <w:sz w:val="20"/>
          <w:szCs w:val="20"/>
          <w:lang w:val="en-US"/>
        </w:rPr>
        <w:t>Father</w:t>
      </w:r>
      <w:proofErr w:type="gramEnd"/>
      <w:r w:rsidRPr="005978C8">
        <w:rPr>
          <w:rFonts w:ascii="Times New Roman" w:hAnsi="Times New Roman" w:cs="Times New Roman"/>
          <w:sz w:val="20"/>
          <w:szCs w:val="20"/>
          <w:lang w:val="en-US"/>
        </w:rPr>
        <w:t xml:space="preserve">› is significant. The Christological subordinatianism of Arius is thus rejected. At the same time, however, the Council seems to have turned away from the monotheism of Israel. God is no longer understood as an undifferentiated entity, but as God in relationship. However, ideas of ‹two powers in heaven› can be found in early Judaism. The Council can follow on from this - albeit with the correction that the </w:t>
      </w:r>
      <w:proofErr w:type="gramStart"/>
      <w:r w:rsidRPr="005978C8">
        <w:rPr>
          <w:rFonts w:ascii="Times New Roman" w:hAnsi="Times New Roman" w:cs="Times New Roman"/>
          <w:sz w:val="20"/>
          <w:szCs w:val="20"/>
          <w:lang w:val="en-US"/>
        </w:rPr>
        <w:t>Son</w:t>
      </w:r>
      <w:proofErr w:type="gramEnd"/>
      <w:r w:rsidRPr="005978C8">
        <w:rPr>
          <w:rFonts w:ascii="Times New Roman" w:hAnsi="Times New Roman" w:cs="Times New Roman"/>
          <w:sz w:val="20"/>
          <w:szCs w:val="20"/>
          <w:lang w:val="en-US"/>
        </w:rPr>
        <w:t xml:space="preserve"> is not ontologically subordinate to the </w:t>
      </w:r>
      <w:proofErr w:type="gramStart"/>
      <w:r w:rsidRPr="005978C8">
        <w:rPr>
          <w:rFonts w:ascii="Times New Roman" w:hAnsi="Times New Roman" w:cs="Times New Roman"/>
          <w:sz w:val="20"/>
          <w:szCs w:val="20"/>
          <w:lang w:val="en-US"/>
        </w:rPr>
        <w:t>Father</w:t>
      </w:r>
      <w:proofErr w:type="gramEnd"/>
      <w:r w:rsidRPr="005978C8">
        <w:rPr>
          <w:rFonts w:ascii="Times New Roman" w:hAnsi="Times New Roman" w:cs="Times New Roman"/>
          <w:sz w:val="20"/>
          <w:szCs w:val="20"/>
          <w:lang w:val="en-US"/>
        </w:rPr>
        <w:t xml:space="preserve">, but equal. This is the actual transformation of the concept of God that the Council of Nicea accomplished. </w:t>
      </w:r>
    </w:p>
    <w:p w14:paraId="3D6CB7BB" w14:textId="77777777" w:rsidR="005978C8" w:rsidRPr="005978C8" w:rsidRDefault="005978C8" w:rsidP="003917E6">
      <w:pPr>
        <w:spacing w:after="0" w:line="240" w:lineRule="auto"/>
        <w:jc w:val="both"/>
        <w:rPr>
          <w:rFonts w:ascii="Times New Roman" w:hAnsi="Times New Roman" w:cs="Times New Roman"/>
          <w:sz w:val="20"/>
          <w:szCs w:val="20"/>
          <w:lang w:val="en-US"/>
        </w:rPr>
      </w:pPr>
    </w:p>
    <w:p w14:paraId="0ED15B9A" w14:textId="77777777" w:rsidR="003917E6" w:rsidRPr="005978C8" w:rsidRDefault="003917E6" w:rsidP="003917E6">
      <w:pPr>
        <w:spacing w:after="0" w:line="240" w:lineRule="auto"/>
        <w:jc w:val="both"/>
        <w:rPr>
          <w:rFonts w:ascii="Times New Roman" w:hAnsi="Times New Roman" w:cs="Times New Roman"/>
          <w:b/>
          <w:bCs/>
          <w:sz w:val="20"/>
          <w:szCs w:val="20"/>
          <w:lang w:val="en-US"/>
        </w:rPr>
      </w:pPr>
      <w:r w:rsidRPr="005978C8">
        <w:rPr>
          <w:rFonts w:ascii="Times New Roman" w:hAnsi="Times New Roman" w:cs="Times New Roman"/>
          <w:b/>
          <w:bCs/>
          <w:sz w:val="20"/>
          <w:szCs w:val="20"/>
          <w:lang w:val="en-US"/>
        </w:rPr>
        <w:t>Keywords:</w:t>
      </w:r>
      <w:r w:rsidRPr="005978C8">
        <w:rPr>
          <w:rFonts w:ascii="Times New Roman" w:hAnsi="Times New Roman" w:cs="Times New Roman"/>
          <w:sz w:val="20"/>
          <w:szCs w:val="20"/>
          <w:lang w:val="en-US"/>
        </w:rPr>
        <w:t xml:space="preserve"> Council of Nicaea – Arius – Date of Easter – Parting of the ways – Homoousia – Revolution in the concept of God – Binitarianism</w:t>
      </w:r>
    </w:p>
    <w:p w14:paraId="10B3CE2F" w14:textId="77777777" w:rsidR="003917E6" w:rsidRPr="003917E6" w:rsidRDefault="003917E6" w:rsidP="003917E6">
      <w:pPr>
        <w:spacing w:after="0" w:line="240" w:lineRule="auto"/>
        <w:jc w:val="center"/>
        <w:rPr>
          <w:rFonts w:ascii="Times New Roman" w:hAnsi="Times New Roman" w:cs="Times New Roman"/>
          <w:b/>
          <w:bCs/>
          <w:sz w:val="20"/>
          <w:szCs w:val="20"/>
        </w:rPr>
      </w:pPr>
      <w:r w:rsidRPr="003917E6">
        <w:rPr>
          <w:rFonts w:ascii="Times New Roman" w:hAnsi="Times New Roman" w:cs="Times New Roman"/>
          <w:b/>
          <w:bCs/>
          <w:sz w:val="20"/>
          <w:szCs w:val="20"/>
        </w:rPr>
        <w:t>Streszczenie</w:t>
      </w:r>
    </w:p>
    <w:p w14:paraId="5CF98D21" w14:textId="77777777" w:rsidR="003917E6" w:rsidRPr="003917E6" w:rsidRDefault="003917E6" w:rsidP="003917E6">
      <w:pPr>
        <w:spacing w:line="240" w:lineRule="auto"/>
        <w:jc w:val="both"/>
        <w:rPr>
          <w:rFonts w:ascii="Times New Roman" w:hAnsi="Times New Roman" w:cs="Times New Roman"/>
          <w:sz w:val="20"/>
          <w:szCs w:val="20"/>
        </w:rPr>
      </w:pPr>
      <w:r w:rsidRPr="003917E6">
        <w:rPr>
          <w:rFonts w:ascii="Times New Roman" w:hAnsi="Times New Roman" w:cs="Times New Roman"/>
          <w:sz w:val="20"/>
          <w:szCs w:val="20"/>
        </w:rPr>
        <w:t xml:space="preserve">Czy Sobór Nicejski odciął żydowskie korzenie chrześcijaństwa? Artykuł analizuje </w:t>
      </w:r>
      <w:proofErr w:type="gramStart"/>
      <w:r w:rsidRPr="003917E6">
        <w:rPr>
          <w:rFonts w:ascii="Times New Roman" w:hAnsi="Times New Roman" w:cs="Times New Roman"/>
          <w:sz w:val="20"/>
          <w:szCs w:val="20"/>
        </w:rPr>
        <w:t>kwestię,</w:t>
      </w:r>
      <w:proofErr w:type="gramEnd"/>
      <w:r w:rsidRPr="003917E6">
        <w:rPr>
          <w:rFonts w:ascii="Times New Roman" w:hAnsi="Times New Roman" w:cs="Times New Roman"/>
          <w:sz w:val="20"/>
          <w:szCs w:val="20"/>
        </w:rPr>
        <w:t xml:space="preserve"> czy Sobór Nicejski w 325 r. odciął korzenie judaizmu i przypieczętował rozejście się dróg. Po pierwsze, sobór odrzucił żydowskie obliczenia daty Wielkanocy i zalecił rzymską praktykę dla całego Kościoła. Po drugie, cesarski zwrot ku chrześcijaństwu, który stał się jasny wraz z soborem w letniej rezydencji cesarskiej w Nicei, nie miał dobrych konsekwencji dla synagogi. Wreszcie, dogmatyczna definicja soboru, że Syn jest „współistotny Ojcu” jest znacząca. W ten sposób odrzucono chrystologiczny subordynacjonizm Ariusza. Jednocześnie jednak wydaje się, że sobór odwrócił się od monoteizmu Izraela. Bóg nie jest już rozumiany jako niezróżnicowany byt, ale jako Bóg w relacji. Jednak idee „dwóch mocy w niebie” można znaleźć we wczesnym judaizmie. Sobór może pójść za tym - aczkolwiek z poprawką, że Syn nie jest ontologicznie podporządkowany Ojcu, ale równy. Jest to faktyczna transformacja koncepcji Boga, której dokonał Sobór Nicejski.</w:t>
      </w:r>
    </w:p>
    <w:p w14:paraId="6CA823B2" w14:textId="77777777" w:rsidR="003917E6" w:rsidRPr="003917E6" w:rsidRDefault="003917E6" w:rsidP="003917E6">
      <w:pPr>
        <w:spacing w:line="240" w:lineRule="auto"/>
        <w:jc w:val="both"/>
        <w:rPr>
          <w:rFonts w:ascii="Times New Roman" w:hAnsi="Times New Roman" w:cs="Times New Roman"/>
          <w:sz w:val="20"/>
          <w:szCs w:val="20"/>
        </w:rPr>
      </w:pPr>
      <w:r w:rsidRPr="003917E6">
        <w:rPr>
          <w:rFonts w:ascii="Times New Roman" w:hAnsi="Times New Roman" w:cs="Times New Roman"/>
          <w:b/>
          <w:bCs/>
          <w:sz w:val="20"/>
          <w:szCs w:val="20"/>
        </w:rPr>
        <w:lastRenderedPageBreak/>
        <w:t>Słowa kluczowe</w:t>
      </w:r>
      <w:r w:rsidRPr="003917E6">
        <w:rPr>
          <w:rFonts w:ascii="Times New Roman" w:hAnsi="Times New Roman" w:cs="Times New Roman"/>
          <w:sz w:val="20"/>
          <w:szCs w:val="20"/>
        </w:rPr>
        <w:t xml:space="preserve">: Sobór Nicejski - Ariusz - Data Wielkanocy - Rozejście się dróg - </w:t>
      </w:r>
      <w:r w:rsidRPr="003917E6">
        <w:rPr>
          <w:rFonts w:ascii="Times New Roman" w:hAnsi="Times New Roman" w:cs="Times New Roman"/>
          <w:i/>
          <w:iCs/>
          <w:sz w:val="20"/>
          <w:szCs w:val="20"/>
        </w:rPr>
        <w:t>homoousios</w:t>
      </w:r>
      <w:r w:rsidRPr="003917E6">
        <w:rPr>
          <w:rFonts w:ascii="Times New Roman" w:hAnsi="Times New Roman" w:cs="Times New Roman"/>
          <w:sz w:val="20"/>
          <w:szCs w:val="20"/>
        </w:rPr>
        <w:t xml:space="preserve"> </w:t>
      </w:r>
      <w:r>
        <w:rPr>
          <w:rFonts w:ascii="Times New Roman" w:hAnsi="Times New Roman" w:cs="Times New Roman"/>
          <w:sz w:val="20"/>
          <w:szCs w:val="20"/>
        </w:rPr>
        <w:t>- r</w:t>
      </w:r>
      <w:r w:rsidRPr="003917E6">
        <w:rPr>
          <w:rFonts w:ascii="Times New Roman" w:hAnsi="Times New Roman" w:cs="Times New Roman"/>
          <w:sz w:val="20"/>
          <w:szCs w:val="20"/>
        </w:rPr>
        <w:t>ewolucja w koncepcji Boga - binitarianizm</w:t>
      </w:r>
    </w:p>
    <w:p w14:paraId="096E5569" w14:textId="77777777" w:rsidR="0023383B" w:rsidRPr="004764FA" w:rsidRDefault="0023383B" w:rsidP="004764FA">
      <w:pPr>
        <w:pStyle w:val="NormalWeb"/>
        <w:spacing w:before="0" w:beforeAutospacing="0" w:after="0" w:afterAutospacing="0"/>
        <w:jc w:val="both"/>
      </w:pPr>
    </w:p>
    <w:p w14:paraId="68CF466E" w14:textId="77777777" w:rsidR="0023383B" w:rsidRDefault="0023383B" w:rsidP="004764FA">
      <w:pPr>
        <w:pStyle w:val="NormalWeb"/>
        <w:spacing w:before="0" w:beforeAutospacing="0" w:after="0" w:afterAutospacing="0"/>
        <w:jc w:val="both"/>
      </w:pPr>
    </w:p>
    <w:p w14:paraId="72CDC705" w14:textId="77777777" w:rsidR="0023383B" w:rsidRPr="003917E6" w:rsidRDefault="00516F36" w:rsidP="003917E6">
      <w:pPr>
        <w:pStyle w:val="NormalWeb"/>
        <w:jc w:val="center"/>
        <w:rPr>
          <w:b/>
          <w:bCs/>
          <w:sz w:val="32"/>
          <w:szCs w:val="32"/>
        </w:rPr>
      </w:pPr>
      <w:r w:rsidRPr="003917E6">
        <w:rPr>
          <w:b/>
          <w:bCs/>
          <w:sz w:val="32"/>
          <w:szCs w:val="32"/>
        </w:rPr>
        <w:t>I</w:t>
      </w:r>
    </w:p>
    <w:p w14:paraId="5B58FB95" w14:textId="77777777" w:rsidR="00AC6A9E" w:rsidRDefault="002B3DCB" w:rsidP="003917E6">
      <w:pPr>
        <w:pStyle w:val="NormalWeb"/>
        <w:spacing w:before="0" w:beforeAutospacing="0" w:after="0" w:afterAutospacing="0"/>
        <w:ind w:firstLine="708"/>
        <w:jc w:val="both"/>
      </w:pPr>
      <w:r>
        <w:t>O</w:t>
      </w:r>
      <w:r w:rsidR="00516F36">
        <w:t xml:space="preserve">kres największego wpływu francuskiego </w:t>
      </w:r>
      <w:r w:rsidR="00F06770">
        <w:t>dekonstrukcjonizmu</w:t>
      </w:r>
      <w:r w:rsidR="00516F36">
        <w:t xml:space="preserve">, filozoficznego ruchu, który koncentruje się na analizie i obalaniu tradycyjnych pojęć i struktur, </w:t>
      </w:r>
      <w:r>
        <w:t>już minął</w:t>
      </w:r>
      <w:r w:rsidR="00516F36">
        <w:t xml:space="preserve">. To, co pozostało, to zakorzeniona podejrzliwość wobec kodów binarnych, takich jak „prawda” i „fałsz”. To, co pozostało, to zwiększona wrażliwość na zmiany znaczenia w użyciu języka. </w:t>
      </w:r>
      <w:r>
        <w:t>Esencjalistyczne przypisania są uważane za zbyt uproszczone</w:t>
      </w:r>
      <w:r w:rsidR="00516F36">
        <w:t xml:space="preserve">. Uświadomienie sobie, że semantyka terminów „żydowski” i „chrześcijański” była płynna przez </w:t>
      </w:r>
      <w:r w:rsidR="00F06770">
        <w:t>długi czas, że istniały nakładające się obszary</w:t>
      </w:r>
      <w:r w:rsidR="00516F36">
        <w:t xml:space="preserve"> między dwiema społecznościami religijnymi aż do IV / V wieku, można zatem opisać jako owoc z drzewa dekonstrukcjonizmu, a badania można odpowiednio sklasyfikować pod nagłówkiem „rozstanie dróg”. Istniały rzeczy, które z późniejszej perspektywy nie powinny były istnieć: z jednej strony Żydzi, którzy uważali Jezusa za Mesjasza, a mimo to przestrzegali Tory, a z drugiej chrześcijanie, którzy wyznawali Chrystusa jako Syna Bożego, a jednocześnie obchodzili szabat, kazali obrzezać swoich synów i jedli koszerne jedzenie. Wraz z rozwojem ortodoksyjnych wyznań i odpowiadających im instytucji religijnych, które sankcjonowały odstępstwa, „zarówno Żydzi, jak i chrześcijanie” z pierwszych trzech wieków </w:t>
      </w:r>
      <w:r w:rsidR="00AC6A9E">
        <w:t>zaczęli budzić podejrzenia heterodoksji</w:t>
      </w:r>
      <w:r w:rsidR="00516F36">
        <w:t>.</w:t>
      </w:r>
    </w:p>
    <w:p w14:paraId="7FB86B33" w14:textId="77777777" w:rsidR="00AC6A9E" w:rsidRDefault="00AC6A9E" w:rsidP="00AC6A9E">
      <w:pPr>
        <w:pStyle w:val="NormalWeb"/>
        <w:spacing w:before="0" w:beforeAutospacing="0" w:after="0" w:afterAutospacing="0"/>
        <w:ind w:firstLine="708"/>
        <w:jc w:val="both"/>
      </w:pPr>
      <w:r w:rsidRPr="00AC6A9E">
        <w:t>Michel Foucault (1926-1984) zauważył, że wiodące kategorie porządku politycznego są często wyrazem relacji władzy.</w:t>
      </w:r>
      <w:r w:rsidR="007E3F78">
        <w:t xml:space="preserve"> </w:t>
      </w:r>
      <w:r w:rsidR="007E3F78" w:rsidRPr="007E3F78">
        <w:t xml:space="preserve">Dotyczy to również wspólnoty religijnej </w:t>
      </w:r>
      <w:r w:rsidR="00860AD1">
        <w:t>K</w:t>
      </w:r>
      <w:r w:rsidR="007E3F78" w:rsidRPr="007E3F78">
        <w:t>ościoła. W dziedzinie teologii wyostrzony nacisk na dyspozycje władzy zwraca uwagę na binarny kod „ortodoksji” i „herezji” oraz rodzi pytania o władze religijne, które mają moc definiowania tego, co jest uważane za ortodoksyjne, a co nie. W kontekście rozejścia się dróg istotne jest, że oprócz charakterystycznych praktyk religijnych (szabat, obrzezanie, przepisy żywieniowe), kwestia Boga i chrystologii znajdują się w centrum dyskursu ortodoksyjnego</w:t>
      </w:r>
      <w:r w:rsidR="007E3F78">
        <w:t xml:space="preserve">. </w:t>
      </w:r>
      <w:r w:rsidR="007E3F78" w:rsidRPr="007E3F78">
        <w:t>Synod w Nicei w 325 r., który później został sklasyfikowany jako pierwszy sobór ekumeniczny, był zgromadzeniem biskupów, którzy spotkali się na zaproszenie cesarza Konstantyna. Ekskomunikowali oni Ariusza z powodu jego chrystologicznego subordynacjonizmu.</w:t>
      </w:r>
      <w:r w:rsidR="007E3F78">
        <w:t xml:space="preserve"> </w:t>
      </w:r>
      <w:r w:rsidR="007E3F78" w:rsidRPr="007E3F78">
        <w:t>Czy sprawy potoczyłyby się inaczej, gdyby Konstantyn od samego początku wyraźnie opowiedział się za Ariuszem? Czy chrystologiczny subordynacjonizm, który do dziś uważany jest za heterodoksyjny, zostałby uznany za ortodoksyjny? I czy subordynacjonistyczne wyznanie oznaczałoby mniej ostre oddzielenie od judaizmu?</w:t>
      </w:r>
      <w:r w:rsidR="00FF6858">
        <w:t xml:space="preserve"> </w:t>
      </w:r>
      <w:r w:rsidR="00FF6858" w:rsidRPr="00FF6858">
        <w:t>Czyż Atan</w:t>
      </w:r>
      <w:r w:rsidR="00860AD1">
        <w:t>azy nie nazwał Ariusza „Żydem”</w:t>
      </w:r>
      <w:r w:rsidR="00FF6858">
        <w:rPr>
          <w:rStyle w:val="FootnoteReference"/>
        </w:rPr>
        <w:footnoteReference w:id="2"/>
      </w:r>
      <w:r w:rsidR="00FF6858" w:rsidRPr="00FF6858">
        <w:t xml:space="preserve"> z oszczerczym zamiarem, ponieważ wątpił on w boskość Syna i podporządkował Go Ojcu? Mylące pytania dla historiografii dogmatu, która zawsze jest w niebezpieczeństwie pisania historii zwycięstwa i pozostawiania heretyków jako trupy w rowie historii bez rozpoznania ich produktywnych impulsów.</w:t>
      </w:r>
    </w:p>
    <w:p w14:paraId="60F58F31" w14:textId="77777777" w:rsidR="00516F36" w:rsidRDefault="00516F36" w:rsidP="00AC6A9E">
      <w:pPr>
        <w:pStyle w:val="NormalWeb"/>
        <w:spacing w:before="0" w:beforeAutospacing="0" w:after="0" w:afterAutospacing="0"/>
        <w:jc w:val="both"/>
      </w:pPr>
    </w:p>
    <w:p w14:paraId="47833AD2" w14:textId="77777777" w:rsidR="0023383B" w:rsidRPr="003917E6" w:rsidRDefault="00F955A6" w:rsidP="003917E6">
      <w:pPr>
        <w:pStyle w:val="NormalWeb"/>
        <w:jc w:val="center"/>
        <w:rPr>
          <w:b/>
          <w:bCs/>
          <w:sz w:val="32"/>
          <w:szCs w:val="32"/>
        </w:rPr>
      </w:pPr>
      <w:r w:rsidRPr="003917E6">
        <w:rPr>
          <w:b/>
          <w:bCs/>
          <w:sz w:val="32"/>
          <w:szCs w:val="32"/>
        </w:rPr>
        <w:t>II</w:t>
      </w:r>
    </w:p>
    <w:p w14:paraId="107452F9" w14:textId="77777777" w:rsidR="006F6598" w:rsidRDefault="003917E6" w:rsidP="003917E6">
      <w:pPr>
        <w:pStyle w:val="NormalWeb"/>
        <w:spacing w:before="0" w:beforeAutospacing="0" w:after="0" w:afterAutospacing="0"/>
        <w:ind w:firstLine="708"/>
        <w:jc w:val="both"/>
      </w:pPr>
      <w:r>
        <w:t>Mówienie o Soborze N</w:t>
      </w:r>
      <w:r w:rsidR="00BF1496" w:rsidRPr="00BF1496">
        <w:t xml:space="preserve">icejskim w kontekście kwestii rozejścia się dróg - tj. rozejścia się dróg synagogi i Kościoła - niesie ze sobą ryzyko natychmiastowego wpadnięcia w </w:t>
      </w:r>
      <w:r w:rsidR="00BF1496" w:rsidRPr="00BF1496">
        <w:lastRenderedPageBreak/>
        <w:t>dogmatyczną pułapkę i przedstawienia definicji, że Syn jest „tej samej natury co Ojciec” jako przypieczętowania rozejścia się dróg dwóch wspólnot wiary. Przeoczyłoby to dwa ważne punkty</w:t>
      </w:r>
      <w:r w:rsidR="00BF1496">
        <w:t>. Jednym z aspektów jest decyzja o zakończeniu trwającego od II wieku sporu dotyczącego daty obchodów Wielkanocy. Spór ten dotyczył kwestii, czy należy opierać się na żydowskim kalendarzu świąt i obchodzić Wielkanoc zawsze 14. Nisan, w dniu pierwszej pełni wiosennego księżyca – nawet jeśli przypada to w dzień roboczy – czy też obchodzić Wielkanoc, święto Zmartwychwstania Pańskiego, zawsze w niedzielę, jak to było w praktyce rzymskiej.</w:t>
      </w:r>
      <w:r w:rsidR="000E45B6">
        <w:t xml:space="preserve"> Biskup Rzymu, Wiktor I, odrzucił tradycję kwartodecymanską jako heterodoksyjną – działanie to spotkało się z protestem Ireneusza z Lyonu w jego listach pokojowych. Spór o datę Wielkanocy jest w kontekście soboru nicejskiego opisany przez Euzebiusza w następujący sposób:”</w:t>
      </w:r>
      <w:r w:rsidR="000E45B6" w:rsidRPr="000E45B6">
        <w:t xml:space="preserve"> </w:t>
      </w:r>
      <w:r w:rsidR="000E45B6">
        <w:t>Jedna grupa twierdziła, że należy podążać za zwyczajem Żydów, podczas gdy druga uważała, że należy uwzględnić dokładną porę roku w odniesieniu do daty i nie podążać w błędny sposób za tymi, którzy nie mają nic wspólnego z łaską Ewangelii</w:t>
      </w:r>
      <w:r w:rsidR="000E45B6">
        <w:rPr>
          <w:rStyle w:val="FootnoteReference"/>
        </w:rPr>
        <w:footnoteReference w:id="3"/>
      </w:r>
      <w:r w:rsidR="000E45B6">
        <w:t>”.</w:t>
      </w:r>
      <w:r w:rsidR="00E60E5A">
        <w:t xml:space="preserve"> Faktycznie zdecydowano, aby datę Świąt Wielkanocnych oddzielić raz na zawsze od kalendarza żydowskiego – 14. Nisan – co miało wyraźnie antyżydowski charakter.</w:t>
      </w:r>
      <w:r w:rsidR="000A208A">
        <w:t xml:space="preserve"> „</w:t>
      </w:r>
      <w:r w:rsidR="000A208A" w:rsidRPr="000A208A">
        <w:t>Nie powinniśmy mieć nic wspólnego z najbardziej znienawidzonym motłochem Żydów</w:t>
      </w:r>
      <w:r w:rsidR="000A208A">
        <w:rPr>
          <w:rStyle w:val="FootnoteReference"/>
        </w:rPr>
        <w:footnoteReference w:id="4"/>
      </w:r>
      <w:r w:rsidR="000A208A">
        <w:t>”.</w:t>
      </w:r>
      <w:r w:rsidR="00903FFB">
        <w:t xml:space="preserve"> W dłuższej perspektywie doprowadziło to do tego, że Kościół i synagoga nie obchodzą już Wielkanocy i Paschy w tym samym terminie. Byłoby błędem doktrynalnym ograniczać interpretację soborową i ignorować to rozdzielenie w zakresie kalendarza liturgicznego. Jest to decyzja, która głęboko ingeruje w kulturę pamięci obu wspólnot religijnych i prowadzi do ich rozdzielenia. Pascha – żydowskie święto upamiętniające Exodus – i Wielkanoc – chrześcijańskie wielkie święto Zmartwychwstania Pana, „Paschalnego Baranka” (1 Kor 5, 7) – są obchodzone w różnych terminach, jakby nie miały ze sobą nic wspólnego. W ten sposób w strukturze </w:t>
      </w:r>
      <w:r w:rsidR="00903FFB" w:rsidRPr="00903FFB">
        <w:rPr>
          <w:i/>
        </w:rPr>
        <w:t>lex orandi</w:t>
      </w:r>
      <w:r w:rsidR="00903FFB">
        <w:t xml:space="preserve"> Kościoła zapisano wyraźne zapomnienie o Izraelu. Słusznie zauważa Christoph Markschies: „Porzucając żydowski sposób obliczania daty w roku 325, pierwszy sobór powszechny chciał dać przykład jedności Kościoła; uczynił to jednak kosztem swoich żydowskich korzeni</w:t>
      </w:r>
      <w:r w:rsidR="00A95005">
        <w:t>”</w:t>
      </w:r>
      <w:r w:rsidR="00923353">
        <w:rPr>
          <w:rStyle w:val="FootnoteReference"/>
        </w:rPr>
        <w:footnoteReference w:id="5"/>
      </w:r>
      <w:r w:rsidR="00903FFB">
        <w:t>.</w:t>
      </w:r>
    </w:p>
    <w:p w14:paraId="599FD546" w14:textId="77777777" w:rsidR="001070D9" w:rsidRDefault="006F6598" w:rsidP="001070D9">
      <w:pPr>
        <w:pStyle w:val="NormalWeb"/>
        <w:spacing w:before="0" w:beforeAutospacing="0" w:after="0" w:afterAutospacing="0"/>
        <w:ind w:firstLine="708"/>
        <w:jc w:val="both"/>
      </w:pPr>
      <w:r>
        <w:t>Drugi punkt, którego nie chciałbym pominąć, dotycz</w:t>
      </w:r>
      <w:r w:rsidR="000F1F35">
        <w:t>y teologiczno-politycznego tła soboru n</w:t>
      </w:r>
      <w:r>
        <w:t>icejskiego. Konstantyn (około 280–337) był pierwszym rzymskim cesarzem, który otwarcie opowiedział się po stronie chrześcijan, rezygnując z pogańskiego henoteizmu Soli. Zwycięską bi</w:t>
      </w:r>
      <w:r w:rsidR="00AB19EC">
        <w:t>twę przeciwko Maksencjuszowi przy moście</w:t>
      </w:r>
      <w:r>
        <w:t xml:space="preserve"> Mulwijskim w 312 roku przypisał on łasce Boga chrześcijańskiego. Z porozumieniem mediolańskim z 313 roku Konstantyn kończy erę prześladowań chrześcijan, wzmacnia rolę biskupów i wspiera Kościół finansowo.</w:t>
      </w:r>
      <w:r w:rsidR="000F1F35">
        <w:t xml:space="preserve"> Po zwycięstwie nad Licyniuszem w 324 roku, w czerwcu 325 roku</w:t>
      </w:r>
      <w:r w:rsidR="003917E6">
        <w:t xml:space="preserve"> Konstantyn zwołał S</w:t>
      </w:r>
      <w:r w:rsidR="000F1F35">
        <w:t>ynod do Nizzy, w którym wzięło udział ponad 200 biskupów, aby rozwiązać spory arianizmu. Byłoby błędem przypisywać mu teologiczne, a tym bardziej subtelne chrysto</w:t>
      </w:r>
      <w:r w:rsidR="001070D9">
        <w:t>logiczne zainteresowania</w:t>
      </w:r>
      <w:r w:rsidR="001070D9">
        <w:rPr>
          <w:rStyle w:val="FootnoteReference"/>
        </w:rPr>
        <w:footnoteReference w:id="6"/>
      </w:r>
      <w:r w:rsidR="001070D9">
        <w:t>. Jako Pontifex maximus widzi swoją rolę w</w:t>
      </w:r>
      <w:r w:rsidR="00C00A8A">
        <w:t>e</w:t>
      </w:r>
      <w:r w:rsidR="001070D9">
        <w:t xml:space="preserve"> wspieraniu jedności imperium poprzez jedność Kościoła. Wydarzenie, które zwykle określa się jako „konstantyńska </w:t>
      </w:r>
      <w:r w:rsidR="001070D9">
        <w:lastRenderedPageBreak/>
        <w:t>zmiana”, prowadzi do przesunięcia politycznej władzy na korzyść Kościoła. Proces ten kontynuuje się za panowania Teodozjusza (379–395) i osiąga swoje apogeum za Justyniana (527-565), który de facto podnosi chrześcijaństwo do rangi religii państwowej – wydarzenia historyczne, które stają się coraz bardziej niekorzystne dla synagogi, im bardziej antyżydowskie postawy zaczynają dominować w Kościele. Mark Kinzer, odnosząc się do Kościoła, mówi o „decydującym odwróceniu się od ludu żydowskiego” przy jednoczesnym „zwróceniu się ku Imperium Rzymskiemu</w:t>
      </w:r>
      <w:r w:rsidR="001070D9">
        <w:rPr>
          <w:rStyle w:val="FootnoteReference"/>
        </w:rPr>
        <w:footnoteReference w:id="7"/>
      </w:r>
      <w:r w:rsidR="001070D9">
        <w:t>”.</w:t>
      </w:r>
    </w:p>
    <w:p w14:paraId="63C5CED2" w14:textId="77777777" w:rsidR="001070D9" w:rsidRDefault="001070D9" w:rsidP="001070D9">
      <w:pPr>
        <w:pStyle w:val="NormalWeb"/>
        <w:spacing w:before="0" w:beforeAutospacing="0" w:after="0" w:afterAutospacing="0"/>
        <w:ind w:firstLine="708"/>
        <w:jc w:val="both"/>
      </w:pPr>
    </w:p>
    <w:p w14:paraId="369C39D0" w14:textId="77777777" w:rsidR="001070D9" w:rsidRDefault="001070D9" w:rsidP="001070D9">
      <w:pPr>
        <w:pStyle w:val="NormalWeb"/>
        <w:spacing w:before="0" w:beforeAutospacing="0" w:after="0" w:afterAutospacing="0"/>
        <w:ind w:firstLine="708"/>
        <w:jc w:val="both"/>
      </w:pPr>
    </w:p>
    <w:p w14:paraId="2262AD24" w14:textId="77777777" w:rsidR="001070D9" w:rsidRPr="003917E6" w:rsidRDefault="001070D9" w:rsidP="003917E6">
      <w:pPr>
        <w:pStyle w:val="NormalWeb"/>
        <w:spacing w:before="0" w:beforeAutospacing="0" w:after="0" w:afterAutospacing="0"/>
        <w:jc w:val="center"/>
        <w:rPr>
          <w:b/>
          <w:bCs/>
          <w:sz w:val="32"/>
          <w:szCs w:val="32"/>
        </w:rPr>
      </w:pPr>
      <w:r w:rsidRPr="003917E6">
        <w:rPr>
          <w:b/>
          <w:bCs/>
          <w:sz w:val="32"/>
          <w:szCs w:val="32"/>
        </w:rPr>
        <w:t>III</w:t>
      </w:r>
    </w:p>
    <w:p w14:paraId="3E9909FB" w14:textId="77777777" w:rsidR="00850A9D" w:rsidRDefault="001070D9" w:rsidP="00386667">
      <w:pPr>
        <w:pStyle w:val="NormalWeb"/>
        <w:ind w:firstLine="708"/>
        <w:jc w:val="both"/>
      </w:pPr>
      <w:r>
        <w:t>Te wstępne rozważania nie powinny sprawić, że zapomnimy, iż nadrzędnym tematem tego artykułu jest dogmatyczna definicja Soboru Nicejskiego. W kontekście debaty na temat rozłamu dróg chciałbym zbadać, czy definicja, według której Syn jest „współistotny z Ojcem”, powoduje, że żydowskie korzenie chrystologii stają się mniej wyraźne.</w:t>
      </w:r>
      <w:r w:rsidR="003917E6">
        <w:t xml:space="preserve"> </w:t>
      </w:r>
      <w:r w:rsidR="000D4EFE">
        <w:t xml:space="preserve">Termin </w:t>
      </w:r>
      <w:proofErr w:type="gramStart"/>
      <w:r w:rsidR="00386667" w:rsidRPr="00386667">
        <w:rPr>
          <w:i/>
          <w:iCs/>
        </w:rPr>
        <w:t>homoousios</w:t>
      </w:r>
      <w:r w:rsidR="00386667" w:rsidRPr="00386667">
        <w:t xml:space="preserve"> </w:t>
      </w:r>
      <w:r w:rsidR="000D4EFE">
        <w:t xml:space="preserve"> nie</w:t>
      </w:r>
      <w:proofErr w:type="gramEnd"/>
      <w:r w:rsidR="000D4EFE">
        <w:t xml:space="preserve"> jest biblijny i sięga greckiej ontologii, aby określić relację między Ojcem a Synem. Czy Ewangelia o Jezusie Chrystusie z</w:t>
      </w:r>
      <w:r w:rsidR="00386667">
        <w:t xml:space="preserve">ostaje przez definicję </w:t>
      </w:r>
      <w:r w:rsidR="00386667" w:rsidRPr="00386667">
        <w:rPr>
          <w:i/>
          <w:iCs/>
        </w:rPr>
        <w:t>homoousios</w:t>
      </w:r>
      <w:r w:rsidR="000D4EFE">
        <w:t xml:space="preserve"> zniekształcona w kierunku helleńskim, czy też jest to raczej tłumaczenie zgodne z biblijnymi źródłami, dostosowane do filozoficznego horyzontu myślenia?</w:t>
      </w:r>
      <w:r w:rsidR="00E61706">
        <w:t xml:space="preserve"> </w:t>
      </w:r>
      <w:r w:rsidR="000D4EFE">
        <w:t>W tle tego problemu znajdują się kategorie historycz</w:t>
      </w:r>
      <w:r w:rsidR="00E61706">
        <w:t>no-dogmatyczne, takie jak „juda</w:t>
      </w:r>
      <w:r w:rsidR="000D4EFE">
        <w:t>izacja” i „hellenizacja”. Co zatem determinuje semantykę tych pojęć? Czy są one używane w sposób „deskr</w:t>
      </w:r>
      <w:r w:rsidR="00E61706">
        <w:t>y</w:t>
      </w:r>
      <w:r w:rsidR="000D4EFE">
        <w:t xml:space="preserve">ptywny”, czyli jedynie opisujący zjawiska, czy może „normatywnie”, czyli z określoną oceną wartościującą? Jakie intencje poznawcze kryją się za tymi pojęciami? Czy wczesnochrześcijańskie sobory mają być krytykowane w kontekście historycznym jako hellenistyczne zniekształcenie Ewangelii, czy też receptura greckiej filozofii ma być broniona jako </w:t>
      </w:r>
      <w:r w:rsidR="00E61706">
        <w:t>uzasadniony</w:t>
      </w:r>
      <w:r w:rsidR="000D4EFE">
        <w:t xml:space="preserve"> roz</w:t>
      </w:r>
      <w:r w:rsidR="00E61706">
        <w:t>wój</w:t>
      </w:r>
      <w:r w:rsidR="000D4EFE">
        <w:t xml:space="preserve"> teologii chrześcijańskiej?</w:t>
      </w:r>
      <w:r w:rsidR="00850A9D">
        <w:t xml:space="preserve"> Jasne jest, że kategorie „judaizacja” i „hellenizacja” nie oddają pełni złożonego procesu rozłamu dróg, jeśli są używane jako sztywne schematy. Już w hellenistycznym judaizmie – co zauważyli Martin Hengel, Daniel Boyarin oraz Peter Schäfer, choć na różne sposoby</w:t>
      </w:r>
      <w:r w:rsidR="00850A9D">
        <w:rPr>
          <w:rStyle w:val="FootnoteReference"/>
        </w:rPr>
        <w:footnoteReference w:id="8"/>
      </w:r>
      <w:r w:rsidR="00850A9D">
        <w:t xml:space="preserve"> – pojawiają się próby syntez i skomplikowane transfery pojęciowe. Propozycje myślowe greckiej filozofii Logos są wykorzystywane do interpretacji dziedzictwa biblijnego, jak to ma miejsce w przypadku Filona z Aleksandrii, ale także spekulacje binitarne na temat mądrości lub słowa Bożego (</w:t>
      </w:r>
      <w:r w:rsidR="00850A9D" w:rsidRPr="00850B8A">
        <w:rPr>
          <w:i/>
        </w:rPr>
        <w:t>memrah adonaj</w:t>
      </w:r>
      <w:r w:rsidR="00850A9D">
        <w:t>) jako spersonalizowane postacie obok Boga. Teza, którą będę dalej bronił, brzmi:</w:t>
      </w:r>
    </w:p>
    <w:p w14:paraId="1020BC1A" w14:textId="77777777" w:rsidR="00A45820" w:rsidRPr="00A45820" w:rsidRDefault="00A45820" w:rsidP="003917E6">
      <w:pPr>
        <w:pStyle w:val="NormalWeb"/>
        <w:ind w:left="1134"/>
        <w:jc w:val="both"/>
      </w:pPr>
      <w:r w:rsidRPr="00A45820">
        <w:rPr>
          <w:i/>
        </w:rPr>
        <w:t xml:space="preserve">Poprzez dogmatyczną definicję, że Syn jest „współistotny z Ojcem”, Sobór Nicejski stawia punkt interpretacyjny, który w kwestiach nauki o Bogu i chrystologii kończy proces rozłamu dróg. Dogmat </w:t>
      </w:r>
      <w:proofErr w:type="gramStart"/>
      <w:r w:rsidRPr="00A45820">
        <w:rPr>
          <w:i/>
        </w:rPr>
        <w:t>ten,</w:t>
      </w:r>
      <w:proofErr w:type="gramEnd"/>
      <w:r w:rsidRPr="00A45820">
        <w:rPr>
          <w:i/>
        </w:rPr>
        <w:t xml:space="preserve"> jako liturgiczne wyznanie, kształtuje kulturę pamięci wspólnot chrześcijańskich aż do dziś. Ortodoksyjny jest ten, kto w liturgii recytuje nicejsko-konstantynopolitańskie Credo, w którym Jezus Chrystus jest Synem Bożym, który „jest współistotny z Ojcem”. Definicja z 325 roku wywiera w rabinackim judaizmie efekt wsteczny, w </w:t>
      </w:r>
      <w:proofErr w:type="gramStart"/>
      <w:r w:rsidRPr="00A45820">
        <w:rPr>
          <w:i/>
        </w:rPr>
        <w:t>wyniku</w:t>
      </w:r>
      <w:proofErr w:type="gramEnd"/>
      <w:r w:rsidRPr="00A45820">
        <w:rPr>
          <w:i/>
        </w:rPr>
        <w:t xml:space="preserve"> którego dotychczas popularne i dość płynne binitarne wyobrażenia o Bogu zostają odrzucone jako heterodoksyjne. Do dzisiaj inkarnacja i Trójca Święta pozostają markerami różnicowymi w dialogu między judaizmem a chrześcijaństwem</w:t>
      </w:r>
      <w:r>
        <w:t xml:space="preserve">. </w:t>
      </w:r>
      <w:r w:rsidRPr="00A45820">
        <w:rPr>
          <w:i/>
        </w:rPr>
        <w:lastRenderedPageBreak/>
        <w:t>Żydowskie korzenie chrześcijaństwa są wprawdzie za</w:t>
      </w:r>
      <w:r w:rsidR="00386667">
        <w:rPr>
          <w:i/>
        </w:rPr>
        <w:t>słonięte przez termin „</w:t>
      </w:r>
      <w:r w:rsidR="00386667" w:rsidRPr="00386667">
        <w:rPr>
          <w:i/>
          <w:iCs/>
        </w:rPr>
        <w:t>homoousios</w:t>
      </w:r>
      <w:r w:rsidRPr="00A45820">
        <w:rPr>
          <w:i/>
        </w:rPr>
        <w:t>”, ale nie zapomniane; wręcz przeciwnie, są one w pewien sposób uwypuklone.</w:t>
      </w:r>
    </w:p>
    <w:p w14:paraId="52DCE3B9" w14:textId="77777777" w:rsidR="00363D96" w:rsidRDefault="00363D96" w:rsidP="00363D96">
      <w:pPr>
        <w:pStyle w:val="NormalWeb"/>
        <w:ind w:firstLine="708"/>
        <w:jc w:val="both"/>
      </w:pPr>
      <w:r>
        <w:t>Aby uczynić tezę wiarygodną, najpierw odwołam się do teologii Ar</w:t>
      </w:r>
      <w:r w:rsidR="00803FA8">
        <w:t>iusza, następnie do odpowiedzi Soboru N</w:t>
      </w:r>
      <w:r>
        <w:t>icejskiego. Na koniec chciałbym bliżej rozwinąć tę tezę.</w:t>
      </w:r>
    </w:p>
    <w:p w14:paraId="7F190579" w14:textId="77777777" w:rsidR="00363D96" w:rsidRDefault="00363D96" w:rsidP="00363D96">
      <w:pPr>
        <w:pStyle w:val="NormalWeb"/>
        <w:ind w:firstLine="708"/>
        <w:jc w:val="both"/>
      </w:pPr>
    </w:p>
    <w:p w14:paraId="7DF3E7EB" w14:textId="77777777" w:rsidR="0023383B" w:rsidRPr="003917E6" w:rsidRDefault="00363D96" w:rsidP="003917E6">
      <w:pPr>
        <w:pStyle w:val="NormalWeb"/>
        <w:jc w:val="center"/>
        <w:rPr>
          <w:b/>
          <w:bCs/>
          <w:sz w:val="32"/>
          <w:szCs w:val="32"/>
        </w:rPr>
      </w:pPr>
      <w:r w:rsidRPr="003917E6">
        <w:rPr>
          <w:b/>
          <w:bCs/>
          <w:sz w:val="32"/>
          <w:szCs w:val="32"/>
        </w:rPr>
        <w:t>IV</w:t>
      </w:r>
    </w:p>
    <w:p w14:paraId="1115110B" w14:textId="77777777" w:rsidR="006426B4" w:rsidRDefault="006426B4" w:rsidP="003917E6">
      <w:pPr>
        <w:pStyle w:val="NormalWeb"/>
        <w:ind w:firstLine="708"/>
        <w:jc w:val="both"/>
      </w:pPr>
      <w:r>
        <w:t>Z Ariuszem (256–336), który był elokwentnym kaznodzieją i bystrym egzegetą działającym w Aleksandrii, inkulturacja Ewangelii w hellenistyczny horyzont myślowy wchodzi w fazę krytyczną. Próbuje on wykazać, że wiara w Jezusa Chrystusa jest współczesna, opierając swoją chrystologię na kosmologicznym schemacie średniego platonizmu</w:t>
      </w:r>
      <w:r w:rsidR="003D7C54">
        <w:rPr>
          <w:rStyle w:val="FootnoteReference"/>
        </w:rPr>
        <w:footnoteReference w:id="9"/>
      </w:r>
      <w:r>
        <w:t>. Ten schemat wyróżnia trzy poziomy:</w:t>
      </w:r>
    </w:p>
    <w:p w14:paraId="703B9169" w14:textId="77777777" w:rsidR="003D7C54" w:rsidRPr="003D7C54" w:rsidRDefault="003D7C54" w:rsidP="003D7C54">
      <w:pPr>
        <w:pStyle w:val="NormalWeb"/>
        <w:rPr>
          <w:sz w:val="22"/>
          <w:szCs w:val="22"/>
        </w:rPr>
      </w:pPr>
      <w:r w:rsidRPr="003D7C54">
        <w:rPr>
          <w:sz w:val="22"/>
          <w:szCs w:val="22"/>
        </w:rPr>
        <w:t>(1) Jedność boską, która jest radykalnie transcendentna i relacyjnie bezosobowa;</w:t>
      </w:r>
      <w:r w:rsidRPr="003D7C54">
        <w:rPr>
          <w:sz w:val="22"/>
          <w:szCs w:val="22"/>
        </w:rPr>
        <w:br/>
        <w:t>(2) Zasadę pośrednictwa, z której wszystko, co istnieje, pochodzi – demiurga lub „drugiego Boga”;</w:t>
      </w:r>
      <w:r w:rsidRPr="003D7C54">
        <w:rPr>
          <w:sz w:val="22"/>
          <w:szCs w:val="22"/>
        </w:rPr>
        <w:br/>
        <w:t>(3) Różnorodność bytu materialnego.</w:t>
      </w:r>
    </w:p>
    <w:p w14:paraId="38464EC0" w14:textId="77777777" w:rsidR="0023383B" w:rsidRDefault="003D7C54" w:rsidP="003917E6">
      <w:pPr>
        <w:pStyle w:val="NormalWeb"/>
        <w:ind w:firstLine="708"/>
        <w:jc w:val="both"/>
      </w:pPr>
      <w:r w:rsidRPr="003D7C54">
        <w:t xml:space="preserve">Ariusz </w:t>
      </w:r>
      <w:r>
        <w:t>przyswaja</w:t>
      </w:r>
      <w:r w:rsidRPr="003D7C54">
        <w:t xml:space="preserve"> ten kosmologiczny schemat i utożsamia pierwszy wymiar z Bogiem, któremu przypisuje atrybuty jedności, niezmienności i transcendencji. Otchłań oddziela go od Logosu, Syna, który - podobnie jak Pośrednik Stworzenia i Demiurg - jest mu radykalnie podporządkowany, co widać we fragmencie zachowanego tekstu </w:t>
      </w:r>
      <w:r w:rsidRPr="003D7C54">
        <w:rPr>
          <w:i/>
        </w:rPr>
        <w:t>Thalia</w:t>
      </w:r>
      <w:r w:rsidRPr="003D7C54">
        <w:t>:</w:t>
      </w:r>
    </w:p>
    <w:p w14:paraId="7C47DAE9" w14:textId="77777777" w:rsidR="003D7C54" w:rsidRDefault="003D7C54" w:rsidP="003917E6">
      <w:pPr>
        <w:pStyle w:val="NormalWeb"/>
        <w:ind w:left="1134"/>
        <w:jc w:val="both"/>
        <w:rPr>
          <w:sz w:val="22"/>
          <w:szCs w:val="22"/>
        </w:rPr>
      </w:pPr>
      <w:r w:rsidRPr="003D7C54">
        <w:rPr>
          <w:sz w:val="22"/>
          <w:szCs w:val="22"/>
        </w:rPr>
        <w:t>„Ojciec jest Synowi obcy co do istoty, ponieważ jest bez początku. Wiedz, że jedność (</w:t>
      </w:r>
      <w:r w:rsidRPr="003D7C54">
        <w:rPr>
          <w:i/>
          <w:sz w:val="22"/>
          <w:szCs w:val="22"/>
        </w:rPr>
        <w:t>mona</w:t>
      </w:r>
      <w:r w:rsidRPr="003D7C54">
        <w:rPr>
          <w:sz w:val="22"/>
          <w:szCs w:val="22"/>
        </w:rPr>
        <w:t>s</w:t>
      </w:r>
      <w:r>
        <w:rPr>
          <w:sz w:val="22"/>
          <w:szCs w:val="22"/>
        </w:rPr>
        <w:t>) istniała, podczas gdy dwoistość</w:t>
      </w:r>
      <w:r w:rsidRPr="003D7C54">
        <w:rPr>
          <w:sz w:val="22"/>
          <w:szCs w:val="22"/>
        </w:rPr>
        <w:t xml:space="preserve"> (</w:t>
      </w:r>
      <w:r w:rsidRPr="003D7C54">
        <w:rPr>
          <w:i/>
          <w:sz w:val="22"/>
          <w:szCs w:val="22"/>
        </w:rPr>
        <w:t>dyas</w:t>
      </w:r>
      <w:r w:rsidRPr="003D7C54">
        <w:rPr>
          <w:sz w:val="22"/>
          <w:szCs w:val="22"/>
        </w:rPr>
        <w:t>) jeszcze nie istniała, zanim weszła w byt. Dopóki Syn ni</w:t>
      </w:r>
      <w:r>
        <w:rPr>
          <w:sz w:val="22"/>
          <w:szCs w:val="22"/>
        </w:rPr>
        <w:t>e istnieje, Bóg nie jest Ojcem</w:t>
      </w:r>
      <w:r>
        <w:rPr>
          <w:rStyle w:val="FootnoteReference"/>
          <w:sz w:val="22"/>
          <w:szCs w:val="22"/>
        </w:rPr>
        <w:footnoteReference w:id="10"/>
      </w:r>
      <w:r>
        <w:rPr>
          <w:sz w:val="22"/>
          <w:szCs w:val="22"/>
        </w:rPr>
        <w:t>”.</w:t>
      </w:r>
    </w:p>
    <w:p w14:paraId="6BA62191" w14:textId="77777777" w:rsidR="001C21EE" w:rsidRDefault="009831CA" w:rsidP="001C21EE">
      <w:pPr>
        <w:pStyle w:val="NormalWeb"/>
        <w:jc w:val="both"/>
      </w:pPr>
      <w:r>
        <w:t xml:space="preserve">Według Ariusza Syn nie posiada wieczności, należy do sfery stworzenia. W celu uzasadnienia tej podporządkowanej pozycji Syna, Ariusz przytacza biblijne dowody. W Księdze Przysłów znajduje się zapis: „Pan stworzył mnie na początku swoich dróg” (Prz 8, 22 – LXX: </w:t>
      </w:r>
      <w:r>
        <w:rPr>
          <w:rStyle w:val="Emphasis"/>
        </w:rPr>
        <w:t>ektisen me</w:t>
      </w:r>
      <w:r>
        <w:t xml:space="preserve">). Mądrość, według Ariusza, jest więc przedwieczną, ale stworzoną istotą. Ariusz identyfikuje Mądrość z Logosem i traktuje Prz 8, 22 jako biblijny dowód na swoją subordynacjonistyczną chrystologię. List do Hebrajczyków również wskazuje na stworzenie Syna: „Stał się on tak wiele wyższy od aniołów – </w:t>
      </w:r>
      <w:r>
        <w:rPr>
          <w:rStyle w:val="Emphasis"/>
        </w:rPr>
        <w:t>kreton genomena</w:t>
      </w:r>
      <w:r>
        <w:t xml:space="preserve"> – jak imię, które odziedziczył, jest wyższe od ich imienia” (Hebr 1, 4)</w:t>
      </w:r>
      <w:r>
        <w:rPr>
          <w:rStyle w:val="FootnoteReference"/>
        </w:rPr>
        <w:footnoteReference w:id="11"/>
      </w:r>
      <w:r>
        <w:t>.</w:t>
      </w:r>
      <w:r w:rsidR="006F3C95">
        <w:t xml:space="preserve"> Inny fragment pochodzi z Ewangelii Jana: „Ojciec jest większy niż ja” (J 14, 28). Również werset: „To jest życie wieczne, aby Ciebie, jedynego prawdziwego Boga, poznać” (J 17, 3, por. Łk 18, 19) zdaje się potwierdzać wyłączne boskie istnienie Ojca. W końcu Ariusz podkreśla człowieczeństwo Jezusa: wzrost, głód, pragnienie, brak wiedzy o przyszłości, ale także cierpienia psychiczne, takie jak strach i opuszczenie (por. Łk 2, 52; Mt 4, 2; J 4, 6; 19, 28 itd.).</w:t>
      </w:r>
      <w:r w:rsidR="001C21EE">
        <w:t xml:space="preserve"> Do człowieczeństwa należą zmienność i cierpienie, jednak zmienność i cierpienie nie mogą dotyczyć Boga, ponieważ zakłócałyby </w:t>
      </w:r>
      <w:r w:rsidR="001C21EE">
        <w:lastRenderedPageBreak/>
        <w:t>Jego doskonałość i suwerenność. W związku z tym, jak wnioskuje Ariusz, Syn musi należeć do sfery stworzenia (widać tutaj, że Ariusz jeszcze nie uwzględnia późniejszego rozróżnienia między ludzką a boską naturą). Aksjomat apatii zabrania ontologicznego utożsamiania Syna, który cierpiał i umarł, bezpośrednio z Bogiem. Charles Taylor zauważa w tym kontekście:</w:t>
      </w:r>
    </w:p>
    <w:p w14:paraId="5F629A81" w14:textId="77777777" w:rsidR="00CD3D59" w:rsidRPr="00CD3D59" w:rsidRDefault="00CD3D59" w:rsidP="003917E6">
      <w:pPr>
        <w:pStyle w:val="NormalWeb"/>
        <w:ind w:left="1134"/>
        <w:jc w:val="both"/>
        <w:rPr>
          <w:sz w:val="22"/>
          <w:szCs w:val="22"/>
        </w:rPr>
      </w:pPr>
      <w:r w:rsidRPr="00CD3D59">
        <w:rPr>
          <w:sz w:val="22"/>
          <w:szCs w:val="22"/>
        </w:rPr>
        <w:t xml:space="preserve">„Istotną cechą uformowanego, filozoficznego pojęcia Boga było […] to, że Bóg nie może być podatny na emocje, że musi być apatyczny. Było niezwykle trudne powiązanie Jezusa, krzyczącego z bólu na krzyżu, z Bogiem, którego definicyjną cechą była </w:t>
      </w:r>
      <w:r w:rsidRPr="00CD3D59">
        <w:rPr>
          <w:i/>
          <w:sz w:val="22"/>
          <w:szCs w:val="22"/>
        </w:rPr>
        <w:t>apatheia.</w:t>
      </w:r>
      <w:r w:rsidRPr="00CD3D59">
        <w:rPr>
          <w:sz w:val="22"/>
          <w:szCs w:val="22"/>
        </w:rPr>
        <w:t xml:space="preserve"> W tym tkwił jeden z powodów, dla których arianie sprzeciwiali się u</w:t>
      </w:r>
      <w:r>
        <w:rPr>
          <w:sz w:val="22"/>
          <w:szCs w:val="22"/>
        </w:rPr>
        <w:t>tożsamianiu Chrystusa z Bogiem</w:t>
      </w:r>
      <w:r w:rsidR="00A872F2">
        <w:rPr>
          <w:sz w:val="22"/>
          <w:szCs w:val="22"/>
        </w:rPr>
        <w:t>”</w:t>
      </w:r>
      <w:r>
        <w:rPr>
          <w:rStyle w:val="FootnoteReference"/>
          <w:sz w:val="22"/>
          <w:szCs w:val="22"/>
        </w:rPr>
        <w:footnoteReference w:id="12"/>
      </w:r>
      <w:r>
        <w:rPr>
          <w:sz w:val="22"/>
          <w:szCs w:val="22"/>
        </w:rPr>
        <w:t>.</w:t>
      </w:r>
    </w:p>
    <w:p w14:paraId="64CE372E" w14:textId="77777777" w:rsidR="008B05DF" w:rsidRDefault="000F3FA9" w:rsidP="003917E6">
      <w:pPr>
        <w:pStyle w:val="NormalWeb"/>
        <w:spacing w:before="0" w:beforeAutospacing="0" w:after="0" w:afterAutospacing="0"/>
        <w:ind w:firstLine="708"/>
        <w:jc w:val="both"/>
      </w:pPr>
      <w:r>
        <w:t>Podsumujmy: Odwołując się do określonego zestawu wypowiedzi biblijnych, Ariusz zaprzecza równości Syna z Bogiem. Czyni to w celu ochrony jedności i transcendencji Boga, które są zarówno dziedzictwem biblijnego monoteizmu Izraela (por. Pwt 6, 4; Iz 45, 5), jak i dziedzictwem greckiej filozofii w jej różnych formach. Ariusz naucza zatem ontologicznej niższości Syna względem Ojca, ale jednocześnie, jak Filon z Aleksandrii i Justin Męczennik, określa Go jako „drugiego Boga” (</w:t>
      </w:r>
      <w:r>
        <w:rPr>
          <w:rStyle w:val="Emphasis"/>
        </w:rPr>
        <w:t>deuteros theos</w:t>
      </w:r>
      <w:r>
        <w:t>). Z ontologiczną, a zapewne i czasową depotenacją Syna, zostaje zresztą naruszona podstawa mowy o Bogu, Ojcu. Bóg nie jest Ojcem i nie może nim być, jeśli Syn nie jest wieczny, a zarazem radykalnie niepodobny do Niego. Wówczas można o Bogu mówić jedynie w trybie niepełnym, posługując się obrazową mową jako Ojcem, ponieważ stworzył On Syna, aby przez niego zrealizować stworzenie</w:t>
      </w:r>
      <w:r>
        <w:rPr>
          <w:rStyle w:val="FootnoteReference"/>
        </w:rPr>
        <w:footnoteReference w:id="13"/>
      </w:r>
      <w:r>
        <w:t>.</w:t>
      </w:r>
    </w:p>
    <w:p w14:paraId="5627C444" w14:textId="77777777" w:rsidR="00682364" w:rsidRDefault="000E300C" w:rsidP="00682364">
      <w:pPr>
        <w:pStyle w:val="NormalWeb"/>
        <w:spacing w:before="0" w:beforeAutospacing="0" w:after="0" w:afterAutospacing="0"/>
        <w:ind w:firstLine="708"/>
        <w:jc w:val="both"/>
      </w:pPr>
      <w:r w:rsidRPr="008B05DF">
        <w:t xml:space="preserve">Ariusz próbował przełożyć wiarę Kościoła w Jezusa Chrystusa na horyzont myślowy środkowego platonizmu. To, co zostało przekazane w Ewangeliach o Jezusie w trybie narracyjnym, co jest poświadczone doksologicznie w wyznaniach i hymnach o Kyriosie, Zbawicielu i Synu, musiało zostać przeniesione do konceptualnych światów filozofii greckiej w inkulturacji Ewangelii. Bez </w:t>
      </w:r>
      <w:r w:rsidR="008B05DF" w:rsidRPr="008B05DF">
        <w:t xml:space="preserve">merytorycznie </w:t>
      </w:r>
      <w:r w:rsidRPr="008B05DF">
        <w:t xml:space="preserve">wymaganej transformacji Ariusz powraca do kosmologicznego schematu środkowego platonizmu i przenosi go na </w:t>
      </w:r>
      <w:r w:rsidR="008B05DF" w:rsidRPr="008B05DF">
        <w:t>płaszczyznę chrystologii</w:t>
      </w:r>
      <w:r w:rsidR="00682364">
        <w:t>. W ten sposób Ariusz stawia pod znakiem zapytania nowotestamentowe wypowiedzi na temat boskości Syna. To zakwestionowanie prowadzi wiarę Kościoła w Chrystusa do kryzysu i wymaga wyjaśnienia.</w:t>
      </w:r>
    </w:p>
    <w:p w14:paraId="4EA13566" w14:textId="77777777" w:rsidR="00682364" w:rsidRDefault="00682364" w:rsidP="00682364">
      <w:pPr>
        <w:pStyle w:val="NormalWeb"/>
        <w:spacing w:before="0" w:beforeAutospacing="0" w:after="0" w:afterAutospacing="0"/>
        <w:ind w:firstLine="708"/>
        <w:jc w:val="both"/>
      </w:pPr>
    </w:p>
    <w:p w14:paraId="198A7BF3" w14:textId="77777777" w:rsidR="0023383B" w:rsidRPr="003917E6" w:rsidRDefault="00682364" w:rsidP="003917E6">
      <w:pPr>
        <w:pStyle w:val="NormalWeb"/>
        <w:jc w:val="center"/>
        <w:rPr>
          <w:b/>
          <w:bCs/>
          <w:sz w:val="32"/>
          <w:szCs w:val="32"/>
        </w:rPr>
      </w:pPr>
      <w:r w:rsidRPr="003917E6">
        <w:rPr>
          <w:b/>
          <w:bCs/>
          <w:sz w:val="32"/>
          <w:szCs w:val="32"/>
        </w:rPr>
        <w:t>V</w:t>
      </w:r>
    </w:p>
    <w:p w14:paraId="70C1D059" w14:textId="77777777" w:rsidR="00682364" w:rsidRDefault="00682364" w:rsidP="003917E6">
      <w:pPr>
        <w:pStyle w:val="NormalWeb"/>
        <w:spacing w:before="0" w:beforeAutospacing="0" w:after="0" w:afterAutospacing="0"/>
        <w:ind w:firstLine="708"/>
        <w:jc w:val="both"/>
      </w:pPr>
      <w:r>
        <w:t>W 325 roku Konstantyn zwołuje synod cesarski do letniej rezydencji w Nicei, aby osiągnąć jednomyślne wyjaśnienie sporu. Przytłaczająca większość uczestników soboru – lista obejmuje nieco ponad 200 biskupów, która później zostanie rozszerzona do symbolicznej liczby 318 – pochodzi ze Wschodu, a tylko nieliczni przybywają z Zachodu. Oprócz zwolenników Ariusza i jego przeciwnika, Aleksandra z Aleksandrii, istnieje trzecia grupa synodalna, reprezentująca stanowisko pośrednie. Sobór zostaje otwarty w obecności cesarza oraz dwóch legatów biskupa Rzymu. Po odrzuceniu przez większość synodalnych formuły wiary zaproponowanej przez arian, sobór ogłasza wyznanie wiary, do którego dodano cztery wyjaśnienia (DH 125); uchwala formułę potępiającą arianizm (DH 126), różne kanony (DH 127–129) oraz list synodalny, który odrzuca naukę Ariusza (DH 130).</w:t>
      </w:r>
    </w:p>
    <w:p w14:paraId="5662D394" w14:textId="77777777" w:rsidR="00511EF8" w:rsidRDefault="002B5956" w:rsidP="00511EF8">
      <w:pPr>
        <w:pStyle w:val="NormalWeb"/>
        <w:spacing w:before="0" w:beforeAutospacing="0" w:after="0" w:afterAutospacing="0"/>
        <w:ind w:firstLine="708"/>
        <w:jc w:val="both"/>
      </w:pPr>
      <w:r>
        <w:t xml:space="preserve">Jedną z zasad hermeneutycznych interpretacji wypowiedzi soborowych jest wychodzenie od potępień. To one ujawniają zamiar wypowiedzi. Sobór Nicejski potępia tych, </w:t>
      </w:r>
      <w:r>
        <w:lastRenderedPageBreak/>
        <w:t>którzy mówią: „Był czas, kiedy Go nie było” i „Zanim został poczęty, nie istniał” oraz „Stał się z niczego” lub którzy twierdzą, że Bóg pochodzi z innej substancji lub istoty, albo że jest zmienny lub podlega zmianom (DH 126). Odrzucona zostaje więc nauka Ariusza, że Syn, który istniał przed stworzeniem, miał początek w czasie i jest stworzeniem Bożym.</w:t>
      </w:r>
    </w:p>
    <w:p w14:paraId="285BA850" w14:textId="77777777" w:rsidR="00511EF8" w:rsidRDefault="00511EF8" w:rsidP="00511EF8">
      <w:pPr>
        <w:pStyle w:val="NormalWeb"/>
        <w:spacing w:before="0" w:beforeAutospacing="0" w:after="0" w:afterAutospacing="0"/>
        <w:ind w:firstLine="708"/>
        <w:jc w:val="both"/>
      </w:pPr>
      <w:r>
        <w:t>Pozytywna nauka soboru wynika z wcześniejszego wyznania wiary. W artykule o Bogu, Ojcu, potwierdza się początkową słuszną intencję Ariusza, aby nie podważać wyznania wiary w jednego Boga. Zawarte jest tam stwierdzenie: „Wierzymy w jednego Boga, Ojca, Wszechmogącego, Stwórcę wszystkiego, co widzialne i niewidzialne” (DH 125). W artykule chrystologicznym dotyczącym Syna, dodane zostają cztery antyariańskie wstawki, które teologicznie zasługują na uwagę, ponieważ ontologicznie umieszczają Syna po stronie jedynego Boga:</w:t>
      </w:r>
    </w:p>
    <w:p w14:paraId="5F54CCD8" w14:textId="77777777" w:rsidR="00876156" w:rsidRPr="00876156" w:rsidRDefault="00876156" w:rsidP="003917E6">
      <w:pPr>
        <w:pStyle w:val="NormalWeb"/>
        <w:ind w:left="1134"/>
        <w:jc w:val="both"/>
        <w:rPr>
          <w:sz w:val="22"/>
          <w:szCs w:val="22"/>
        </w:rPr>
      </w:pPr>
      <w:r w:rsidRPr="00876156">
        <w:rPr>
          <w:sz w:val="22"/>
          <w:szCs w:val="22"/>
        </w:rPr>
        <w:t xml:space="preserve"> „Wierzymy… w jednego Pana Jezusa Chrystusa, Syna Bożego, jednorodzonego z Ojca, to znaczy z istoty Ojca, Bóg z Boga, Światłość ze Światłości, prawdziwy Bóg z prawdziwego Boga, zrodzony, a nie stworzony, współistotny Ojcu, przez którego wszystko zostało stworzone, co na niebie i na ziemi, który z powodu nas ludzi i dla naszego zbawienia zstąpił z nieba i stał się ciałem i człowiekiem […].” (DH 125)</w:t>
      </w:r>
    </w:p>
    <w:p w14:paraId="534354C2" w14:textId="77777777" w:rsidR="0086537F" w:rsidRDefault="0086537F" w:rsidP="003917E6">
      <w:pPr>
        <w:pStyle w:val="NormalWeb"/>
        <w:spacing w:before="0" w:beforeAutospacing="0" w:after="0" w:afterAutospacing="0"/>
        <w:ind w:firstLine="708"/>
        <w:jc w:val="both"/>
      </w:pPr>
      <w:r>
        <w:t xml:space="preserve">Aby właściwie zrozumieć rozszerzone wyznanie wiary, które jest nawiązaniem do 1 Kor 8, 5–6, gdzie Paweł łączy wyznanie „jednego Boga, Ojca” z wyznaniem „jednego Kyriosa Jezusa Chrystusa”, należy krótko skomentować wstawki zawarte w tym wyznaniu. Pierwsza wstawka „z istoty Ojca” precyzuje biblijne stwierdzenie, że Jezus Chrystus „jako jednorodzony z Ojca zrodzony” jest. W Ewangelii Jana Jezus wielokrotnie nazywany jest „jednorodzonym” (zob. J 1, 14.18; 3, 16.18; 1 J 4, 9). Oba wyrażenia – Syn Boży i Jednorodzony – wyrażają bliskość Jezusa Chrystusa do Boga, ale mogą być interpretowane w sposób podobny do Ariusza, który określał Syna jako pierwsze stworzenie przed całym </w:t>
      </w:r>
      <w:r w:rsidR="00803FA8">
        <w:t>stworzeniem. Aby to wykluczyć, s</w:t>
      </w:r>
      <w:r>
        <w:t>obór dodaje, że Syn pochodzi „z istoty Ojca” – a nie tylko z Jego woli. Dzięki temu Syn jest odróżniony od reszty stworzenia, które powstało z niczego. Dzieli istotę Ojca i nie jest od Niego podrzędny, lecz równy</w:t>
      </w:r>
      <w:r>
        <w:rPr>
          <w:rStyle w:val="FootnoteReference"/>
        </w:rPr>
        <w:footnoteReference w:id="14"/>
      </w:r>
      <w:r>
        <w:t>.</w:t>
      </w:r>
    </w:p>
    <w:p w14:paraId="59176B98" w14:textId="77777777" w:rsidR="00D1169C" w:rsidRDefault="00D1169C" w:rsidP="003917E6">
      <w:pPr>
        <w:pStyle w:val="NormalWeb"/>
        <w:spacing w:before="0" w:beforeAutospacing="0" w:after="0" w:afterAutospacing="0"/>
        <w:ind w:firstLine="708"/>
        <w:jc w:val="both"/>
      </w:pPr>
      <w:r>
        <w:t>Również druga wstawka „prawdziwy Bóg z prawdziwego Boga” podkreśla boskość Syna. Pierwsze dwie formuły „Bóg z Boga, Światłość ze Światłości” mogłyby być interpretowane w sposób ariański. Już od Justyna było dość powszechne nazywanie Pośrednika Stworzenia „drugim Bogiem</w:t>
      </w:r>
      <w:r w:rsidR="00803FA8">
        <w:t>”</w:t>
      </w:r>
      <w:r>
        <w:rPr>
          <w:rStyle w:val="FootnoteReference"/>
        </w:rPr>
        <w:footnoteReference w:id="15"/>
      </w:r>
      <w:r>
        <w:t>. Przydomek „prawdziwy Bóg” wskazuje zatem, że Syn nie ma ontologicznie niższej pozycji, jak nauczał Ariusz. Jeśli Syn jest prawdziwym Bogiem z prawdziwego Boga, oznacza to, że musi być ontologicznie równy Ojcu. Niemniej jednak, przyimek „z” wskazuje, że Ojciec jest źródłem boskości Syna.</w:t>
      </w:r>
    </w:p>
    <w:p w14:paraId="72878D3E" w14:textId="77777777" w:rsidR="00D84126" w:rsidRDefault="00D1169C" w:rsidP="003917E6">
      <w:pPr>
        <w:pStyle w:val="NormalWeb"/>
        <w:spacing w:before="0" w:beforeAutospacing="0" w:after="0" w:afterAutospacing="0"/>
        <w:ind w:firstLine="708"/>
        <w:jc w:val="both"/>
      </w:pPr>
      <w:r>
        <w:t xml:space="preserve">Trzecia wstawka „zrodzony, a nie stworzony” stawia w opozycji do ariańskiej egzegezy </w:t>
      </w:r>
      <w:r w:rsidR="00D13ECC" w:rsidRPr="000A4566">
        <w:t>P</w:t>
      </w:r>
      <w:r w:rsidR="000A4566" w:rsidRPr="000A4566">
        <w:t>rz</w:t>
      </w:r>
      <w:r w:rsidRPr="000A4566">
        <w:t xml:space="preserve"> 8,</w:t>
      </w:r>
      <w:r>
        <w:t xml:space="preserve"> 22–25 tezę o równości Logos. Sobór ponownie odrzuca pogląd, że Syn został stworzony lub stał się czymś. Przed Niceą wyrażenia „zrodzony” (gr. </w:t>
      </w:r>
      <w:r>
        <w:rPr>
          <w:rStyle w:val="Emphasis"/>
        </w:rPr>
        <w:t>gennao</w:t>
      </w:r>
      <w:r>
        <w:t xml:space="preserve">) i „stać się” (gr. </w:t>
      </w:r>
      <w:r>
        <w:rPr>
          <w:rStyle w:val="Emphasis"/>
        </w:rPr>
        <w:t>gignomai</w:t>
      </w:r>
      <w:r>
        <w:t>) były używane zamiennie. Nawet Ariusz ich nie rozróżnia, gdy pisze: „Zanim [Syn] został zrodzony lub stworzony […], nie istniał,</w:t>
      </w:r>
      <w:r w:rsidR="00C17BC8">
        <w:t xml:space="preserve"> ponieważ nie był bez początku</w:t>
      </w:r>
      <w:r w:rsidR="00803FA8">
        <w:t>”</w:t>
      </w:r>
      <w:r w:rsidR="00C17BC8">
        <w:rPr>
          <w:rStyle w:val="FootnoteReference"/>
        </w:rPr>
        <w:footnoteReference w:id="16"/>
      </w:r>
      <w:r w:rsidR="00C17BC8">
        <w:t>.</w:t>
      </w:r>
      <w:r w:rsidR="007C0C38">
        <w:t xml:space="preserve"> Sobór wprowadza tutaj rozróżnienie pojęciowe, ucząc, że Syn jest zrodzony, </w:t>
      </w:r>
      <w:proofErr w:type="gramStart"/>
      <w:r w:rsidR="007C0C38">
        <w:t>ale jednak</w:t>
      </w:r>
      <w:proofErr w:type="gramEnd"/>
      <w:r w:rsidR="007C0C38">
        <w:t xml:space="preserve"> nie stworzony! To stwierdzenie ma sens teologiczny tylko wtedy, gdy pojęciu „zrodzenie” </w:t>
      </w:r>
      <w:r w:rsidR="007C0C38">
        <w:lastRenderedPageBreak/>
        <w:t>odbiera się wszelkie temporalne i fizyczne konotacje</w:t>
      </w:r>
      <w:r w:rsidR="007C0C38">
        <w:rPr>
          <w:rStyle w:val="FootnoteReference"/>
        </w:rPr>
        <w:footnoteReference w:id="17"/>
      </w:r>
      <w:r w:rsidR="007C0C38">
        <w:t>. Ojciec rodzi Syna od wieczności, jak już wcześniej nauczał Orygenes, odwołując się do Ps 2, 7 – „Tyś jest moim Synem, dziś cię zrodziłem</w:t>
      </w:r>
      <w:r w:rsidR="007C0C38">
        <w:rPr>
          <w:rStyle w:val="FootnoteReference"/>
        </w:rPr>
        <w:footnoteReference w:id="18"/>
      </w:r>
      <w:r w:rsidR="007C0C38">
        <w:t>”.</w:t>
      </w:r>
      <w:r w:rsidR="00D84126">
        <w:t xml:space="preserve"> Ponieważ Psalm pozwala, by Bóg sam mówił, słowo „dziś” nie może być rozumiane temporalnie. Syn należy od wieczności do rzeczywistości Boga. Tym samym pojęcie Boga zostaje zasadniczo zmienione — nie jest już pojęte jako bezwzględna jedność, ale jako istota w relacji. Ojciec i Syn należą do pojęcia Boga. Tą definicją sobór nicejski dokonuje kluczowej transformacji greckiego pojęcia Boga, w którym pojęcie Boskości było rozumiane jako Monas, wolna od wszelkiej relacji.</w:t>
      </w:r>
    </w:p>
    <w:p w14:paraId="55427A5C" w14:textId="77777777" w:rsidR="00D84126" w:rsidRDefault="009F14C3" w:rsidP="003917E6">
      <w:pPr>
        <w:pStyle w:val="NormalWeb"/>
        <w:spacing w:before="0" w:beforeAutospacing="0"/>
        <w:ind w:firstLine="708"/>
        <w:jc w:val="both"/>
      </w:pPr>
      <w:r>
        <w:t>Ta transformacja jest terminologicznie wyjaśniona w czwartej wstawce, gdy mówi się, że Syn jest „równoistotny Ojcu”. Dzięki temu odrzuceniu subordynacjonistycznej chrystologii jednocześnie korygowana jest triadyczna kosmologia w sensie biblijnego wierzenia w stworzenie. Środkowy obszar, w który Ariusz umieszczał Logos jako pośrednią istotę, zostaje wyeliminowany przez definicję równości istoty Ojca i Syna. Jednocześnie odrzucana jest każda obrazowa słabość, jaką wprowadza mowa o Synu jako „drugim Bogu”. Zgodnie z Ariuszem, Syn jest „obcy” Ojcu, „niepodobny” do Niego i nie „równoistotny</w:t>
      </w:r>
      <w:r w:rsidR="00803FA8">
        <w:t>”</w:t>
      </w:r>
      <w:r>
        <w:rPr>
          <w:rStyle w:val="FootnoteReference"/>
        </w:rPr>
        <w:footnoteReference w:id="19"/>
      </w:r>
      <w:r>
        <w:t>.</w:t>
      </w:r>
      <w:r w:rsidR="00FE5071">
        <w:t xml:space="preserve"> </w:t>
      </w:r>
      <w:r w:rsidRPr="009F14C3">
        <w:t>Sobór sprzeciwia się temu, gdy używa niebiblijnej koncepcji równości istoty, aby wprowadzić biblijne stwierdzenia o Synu (por. J 10:30; 16:15, Flp 2:6) w nowy horyzont myślenia. Syn zawsze należy do koncepcji Boga, jest współwieczny z Ojcem, ale tym samym Ojciec jest Ojcem Syna od wieczności, tytuł Ojca nie jest przypisywany Bogu w przenośni, ma podstawę w rzeczywistości Boga. „Nazywanie Boga 'Ojcem' nie oznacza zwracania się do czegoś warunkowego w Nim, jak ma to miejsce w przypadku istot ludzkich”, zauważa</w:t>
      </w:r>
      <w:r>
        <w:t xml:space="preserve"> Christoph Schönborn, dodając: „</w:t>
      </w:r>
      <w:r w:rsidRPr="009F14C3">
        <w:t>Bóg jest Ojcem, jest jedynym, który naprawdę jest Ojcem</w:t>
      </w:r>
      <w:r w:rsidR="00803FA8">
        <w:t>”</w:t>
      </w:r>
      <w:r>
        <w:rPr>
          <w:rStyle w:val="FootnoteReference"/>
        </w:rPr>
        <w:footnoteReference w:id="20"/>
      </w:r>
      <w:r w:rsidRPr="009F14C3">
        <w:t>.</w:t>
      </w:r>
    </w:p>
    <w:p w14:paraId="725CF88E" w14:textId="77777777" w:rsidR="003234A8" w:rsidRDefault="003234A8" w:rsidP="003917E6">
      <w:pPr>
        <w:pStyle w:val="NormalWeb"/>
        <w:jc w:val="center"/>
        <w:rPr>
          <w:sz w:val="32"/>
          <w:szCs w:val="32"/>
        </w:rPr>
      </w:pPr>
      <w:r w:rsidRPr="003234A8">
        <w:rPr>
          <w:sz w:val="32"/>
          <w:szCs w:val="32"/>
        </w:rPr>
        <w:t>VI</w:t>
      </w:r>
    </w:p>
    <w:p w14:paraId="73B85752" w14:textId="77777777" w:rsidR="00107A40" w:rsidRDefault="003234A8" w:rsidP="003917E6">
      <w:pPr>
        <w:pStyle w:val="NormalWeb"/>
        <w:spacing w:before="0" w:beforeAutospacing="0" w:after="0" w:afterAutospacing="0"/>
        <w:ind w:firstLine="708"/>
        <w:jc w:val="both"/>
      </w:pPr>
      <w:r>
        <w:t xml:space="preserve">Pytanie, czy Ewangelia zostaje wypaczona przez wprowadzenie do wyznania wiary terminu, który nie pochodzi z Biblii, czy też definicja </w:t>
      </w:r>
      <w:r>
        <w:rPr>
          <w:rStyle w:val="Emphasis"/>
        </w:rPr>
        <w:t>homoousios</w:t>
      </w:r>
      <w:r>
        <w:t xml:space="preserve"> stanowi wyjaśnienie autentycznych biblijnych stwierdzeń w nowym horyzoncie rozumienia, jest nieustannie aktualne. Odpowiedź na to pytanie jest nierozerwalnie związana z debatą na temat hellenizacji chrześcijaństwa. Jednakże kategoria hellenizacji, jak już zostało wspomniane, nie jest wcale jednoznaczna. W jej teologicznym użyciu często mieszają się aspekty opisowe i normatywne. Opis inkulturacji Ewangelii w hellenistyczny horyzont myślenia i rozumienia odbywa się zazwyczaj, wyraźnie lub nie, w kontekście wartościujących założeń, albo pod znakiem legitymacji lub wręcz koniecznego rozwoju biblijnych impulsów (Alois Grillmeier, Joseph Ratzinger, Leo Scheffczyk), albo pod znakiem nielegalnego odstępstwa od Ewangelii (Adolf von Harnack).</w:t>
      </w:r>
      <w:r w:rsidR="00054B8A">
        <w:t xml:space="preserve"> </w:t>
      </w:r>
      <w:proofErr w:type="gramStart"/>
      <w:r w:rsidR="00054B8A">
        <w:t>Narracja  rozwoju</w:t>
      </w:r>
      <w:proofErr w:type="gramEnd"/>
      <w:r w:rsidR="00054B8A">
        <w:t xml:space="preserve"> historycznego, która prowadzi od chrystologicznych tytułów wyższości w Nowym Testamencie, przez chrystologię Logosu apologetów, aż po </w:t>
      </w:r>
      <w:r w:rsidR="00054B8A">
        <w:lastRenderedPageBreak/>
        <w:t>chrystologiczne definicje soborów starożytnych Kościołów, w niewielkim stopniu oddaje złożoność tego procesu i w dużej mierze pomija rozwój rabinicznego judaizmu oraz jego refleksje</w:t>
      </w:r>
      <w:r w:rsidR="007449B0">
        <w:rPr>
          <w:rStyle w:val="FootnoteReference"/>
        </w:rPr>
        <w:footnoteReference w:id="21"/>
      </w:r>
      <w:r w:rsidR="00054B8A">
        <w:t>.</w:t>
      </w:r>
      <w:r w:rsidR="00F9202C">
        <w:t xml:space="preserve"> </w:t>
      </w:r>
      <w:r w:rsidR="007449B0">
        <w:t>Przeciwnie, ogólny zarzut hellenizacji wydaj</w:t>
      </w:r>
      <w:r w:rsidR="00386667">
        <w:t>e się nieuzasadniony, ponieważ Sobór N</w:t>
      </w:r>
      <w:r w:rsidR="007449B0">
        <w:t>icejski przeprowadził dehellenizację wiary, odrzucając bezkrytyczne przyjęcie schematu środkowoplatońskiego przez Ariusza. Chociaż kategoria interpretacyjna hellenizacji jest semantycznie nieprecyzyjna i zazwyczaj ogranicza się do systematyczno-teologicznych problemów w nauce o Bogu i chrystologii (co skutkuje zaniedbaniem innych ważnych procesów transformacyjnych w obszarze edukacji, etosu czy dyscypliny</w:t>
      </w:r>
      <w:r w:rsidR="007449B0">
        <w:rPr>
          <w:rStyle w:val="FootnoteReference"/>
        </w:rPr>
        <w:footnoteReference w:id="22"/>
      </w:r>
      <w:r w:rsidR="007449B0">
        <w:t>), byłoby błędem całkowicie zrezygnować z używania tego terminu w sensie moratorium</w:t>
      </w:r>
      <w:r w:rsidR="007449B0">
        <w:rPr>
          <w:rStyle w:val="FootnoteReference"/>
        </w:rPr>
        <w:footnoteReference w:id="23"/>
      </w:r>
      <w:r w:rsidR="007449B0">
        <w:t>.</w:t>
      </w:r>
    </w:p>
    <w:p w14:paraId="01FAC8D3" w14:textId="77777777" w:rsidR="00A46F35" w:rsidRDefault="007B322A" w:rsidP="00A46F35">
      <w:pPr>
        <w:pStyle w:val="NormalWeb"/>
        <w:spacing w:before="0" w:beforeAutospacing="0" w:after="0" w:afterAutospacing="0"/>
        <w:ind w:firstLine="708"/>
        <w:jc w:val="both"/>
      </w:pPr>
      <w:r>
        <w:t xml:space="preserve">Prezentowana tutaj interpretacja prowadzi do tezy, że przejęcie hellenistycznych środków myślowych przez Sobór Nicejski przebiega według modelu związku w sprzeczności. Z jednej strony przyjmuje się grecką terminologię ontologiczną, ale jednocześnie łamie się grecki horyzont myślowy, definiując </w:t>
      </w:r>
      <w:r w:rsidRPr="003917E6">
        <w:rPr>
          <w:i/>
          <w:iCs/>
        </w:rPr>
        <w:t>homoousios</w:t>
      </w:r>
      <w:r>
        <w:t xml:space="preserve">, czyli coś, co wcześniej było nie do pomyślenia. Jedna boska rzeczywistość, ostatnia rzeczywistość wszystkich rzeczywistości, nie jest bezrelacyjnym nijakim bytem, żadną Monas ani wieczną samotnością; przeciwnie, stwierdza się: "Poprzez określenie, że Ojciec i Syn są identyczni w istocie, </w:t>
      </w:r>
      <w:proofErr w:type="gramStart"/>
      <w:r>
        <w:t>greckie  pojęcie</w:t>
      </w:r>
      <w:proofErr w:type="gramEnd"/>
      <w:r>
        <w:t xml:space="preserve"> Boga zostaje rozszerzone przez greckie środki myślenia, a abstrakcyjny monoteizm filozoficznej teologii Boga zostaje otwarty na biblijną sentencję: 'Bóg jest miłością'. Nicea utrzymuje, że istotą Boga jest bycie w relacji; kategoria relacji, która w ontologii substancji Arystotelesa miała jedynie przypadkowy charakter, zostaje tak podniesiona, że Joseph Ratzinger mówił o 'rewolucji w pojęciu Boga'</w:t>
      </w:r>
      <w:r>
        <w:rPr>
          <w:rStyle w:val="FootnoteReference"/>
        </w:rPr>
        <w:footnoteReference w:id="24"/>
      </w:r>
      <w:r w:rsidR="003D23BE">
        <w:t>”.</w:t>
      </w:r>
    </w:p>
    <w:p w14:paraId="0CF6E6A6" w14:textId="77777777" w:rsidR="004F5993" w:rsidRDefault="00A46F35" w:rsidP="004F5993">
      <w:pPr>
        <w:pStyle w:val="NormalWeb"/>
        <w:spacing w:before="0" w:beforeAutospacing="0" w:after="0" w:afterAutospacing="0"/>
        <w:ind w:firstLine="708"/>
        <w:jc w:val="both"/>
      </w:pPr>
      <w:r>
        <w:t xml:space="preserve">Ta interpretacja wydaje się dziś wymagać uzupełnienia. Sobór wprowadza relację do pojęcia Boga, kiedy w kontraście do radykalnie transcendentnego i bezrelacyjnego pojęcia Boga Ariusza wyjaśnia, że Bóg jest Bogiem w relacji Ojca i Syna. W ten sposób nawiązuje również do wypowiedzi hellenistycznego judaizmu, który również umieszcza Boga w relacji do przedświatowych bytów, takich jak Mądrość, </w:t>
      </w:r>
      <w:r w:rsidRPr="00A46F35">
        <w:rPr>
          <w:i/>
        </w:rPr>
        <w:t>memrah</w:t>
      </w:r>
      <w:r>
        <w:t>, Syn Człowieczy czy inne istoty! To moment ciągłości z żydowskimi korzeniami, który w podręcznikach dogmatycznych jest zazwyczaj pomijany</w:t>
      </w:r>
      <w:r w:rsidR="006A0F6F">
        <w:rPr>
          <w:rStyle w:val="FootnoteReference"/>
        </w:rPr>
        <w:footnoteReference w:id="25"/>
      </w:r>
      <w:r>
        <w:t>.</w:t>
      </w:r>
      <w:r w:rsidR="00FC2375">
        <w:t xml:space="preserve"> </w:t>
      </w:r>
      <w:r w:rsidR="009134CE">
        <w:t>Równocześnie definicj</w:t>
      </w:r>
      <w:r w:rsidR="002B031D">
        <w:t>a s</w:t>
      </w:r>
      <w:r w:rsidR="009134CE">
        <w:t xml:space="preserve">oboru zakłada, że Syn jest </w:t>
      </w:r>
      <w:r w:rsidR="00FC2375">
        <w:t>współ</w:t>
      </w:r>
      <w:r w:rsidR="009134CE">
        <w:t xml:space="preserve">wieczny i </w:t>
      </w:r>
      <w:r w:rsidR="00FC2375">
        <w:t>współistotny</w:t>
      </w:r>
      <w:r w:rsidR="009134CE">
        <w:t xml:space="preserve"> z Ojcem. Relacja między nimi jest określona jako symetryczna, a nie – jak u Ariusza, przednicejskiego teologa i w binitarnych koncepcjach hellenistycznego judaizmu – asymetryczna. To moment nieciągłości, który ma swoje oparcie w nowotestamentowych wypowiedziach o Synu. Zamiast określać definicję z Nicei, jak to czyni Joseph Ratzinger, jako „rewolucję w pojęciu Boga</w:t>
      </w:r>
      <w:r w:rsidR="00FC2375">
        <w:rPr>
          <w:rStyle w:val="FootnoteReference"/>
        </w:rPr>
        <w:footnoteReference w:id="26"/>
      </w:r>
      <w:r w:rsidR="009134CE">
        <w:t>”, powiedziałbym raczej ostrożnie, że jest to transformacja, która charakteryzuje się równoczesnym występowaniem momentów ciągłości i nieciągłości.</w:t>
      </w:r>
      <w:r w:rsidR="00D3792B">
        <w:t xml:space="preserve"> Aby dokładniej uchwycić tę transformację, warto obok recepcji myślowych propozycji </w:t>
      </w:r>
      <w:r w:rsidR="00D3792B">
        <w:lastRenderedPageBreak/>
        <w:t>greckiej filozofii przy interpretacji sporu ariańskiego bardziej uwzględnić tradycje hellenistycznego judaizmu. To zmienia zakres historycznego rekonstrukcji dogmatów. Tacy badacze jak Friedo Ricken, Alois Grillmeier, Leo Scheffczyk i inni wyjaśniali teologię Ariusza głównie w kontekście kosmologicznego schematu platońskiego. W przeciwieństwie do tego, warto wyraźniej ukazać, że jego chrystologiczny subordynacjonizm może w rzeczywistości nawiązywać do „binitarnych” figur myślowych, które występują w hellenistycznym judaizmie.</w:t>
      </w:r>
      <w:r w:rsidR="003F53CB">
        <w:t xml:space="preserve"> Obok cytowanej przez Ariusza Księgi Przysłów, należy również odwołać się do innych odniesień, które Peter Schäfer i Daniel Boyarin opisali pod tytułem „dwie moce na niebie</w:t>
      </w:r>
      <w:r w:rsidR="002B031D">
        <w:t>”</w:t>
      </w:r>
      <w:r w:rsidR="007D72AD">
        <w:rPr>
          <w:rStyle w:val="FootnoteReference"/>
        </w:rPr>
        <w:footnoteReference w:id="27"/>
      </w:r>
      <w:r w:rsidR="007D72AD">
        <w:t>.</w:t>
      </w:r>
      <w:r w:rsidR="00114FC9">
        <w:t xml:space="preserve"> </w:t>
      </w:r>
      <w:r w:rsidR="007D72AD">
        <w:t>Te elementy stanowią punkty odniesienia dla teologii Ariusza, który dokonuje hierarchicznego rozróżnienia między Ojcem, Synem (i Duchem Świętym).</w:t>
      </w:r>
    </w:p>
    <w:p w14:paraId="76FB3749" w14:textId="77777777" w:rsidR="00910AC1" w:rsidRDefault="004F5993" w:rsidP="00910AC1">
      <w:pPr>
        <w:pStyle w:val="NormalWeb"/>
        <w:spacing w:before="0" w:beforeAutospacing="0" w:after="0" w:afterAutospacing="0"/>
        <w:ind w:firstLine="708"/>
        <w:jc w:val="both"/>
      </w:pPr>
      <w:r w:rsidRPr="004F5993">
        <w:t xml:space="preserve">Ale co z teologią nicejską i postnicejską? Czy nie zapomina ona o żydowskich korzeniach chrystologii? Geza Vermes przyjmuje taki </w:t>
      </w:r>
      <w:r>
        <w:t>przedstawia taki upadkowy pogląd, gdy zauważa</w:t>
      </w:r>
      <w:r w:rsidRPr="004F5993">
        <w:t>: „Teologowie nadal bagatelizowali obraz wędrownego kaznodziei Jezusa z Nazaretu, który w dawnych czasach przemierzał Galileę po kamienistych ścieżkach, głosząc rychłe nadejście Dnia Pańskiego, a zamiast t</w:t>
      </w:r>
      <w:r>
        <w:t>ego przesadnie podkreślali jego błyskotliwą nową tożsamość jako wiecznie istniejącego i równego Bogu Ojcu, jednorodzonego Syna Bożego</w:t>
      </w:r>
      <w:r w:rsidR="002B031D">
        <w:t>”</w:t>
      </w:r>
      <w:r w:rsidR="00910AC1">
        <w:rPr>
          <w:rStyle w:val="FootnoteReference"/>
        </w:rPr>
        <w:footnoteReference w:id="28"/>
      </w:r>
      <w:r>
        <w:t>.</w:t>
      </w:r>
    </w:p>
    <w:p w14:paraId="1E84D935" w14:textId="77777777" w:rsidR="00EC7641" w:rsidRDefault="00910AC1" w:rsidP="00EC7641">
      <w:pPr>
        <w:pStyle w:val="NormalWeb"/>
        <w:spacing w:before="0" w:beforeAutospacing="0" w:after="0" w:afterAutospacing="0"/>
        <w:jc w:val="both"/>
      </w:pPr>
      <w:r>
        <w:t>Ta krytyka przypomina chrystologii, która rozwijała się po soborach wczesnochrześcijańskich, aby nie zapominała o galilejskim zabarwieniu Ewangelii. Żydowskie badania nad Jezusem oraz prace tzw. trzeciego poszukiwania (third quest) zdjęły zasłonę z oczu spekulatywnych chrystologii i słusznie przypomniały o żydowskim pochodzeniu Jezusa oraz o jego osadzeniu w semantycznym uniwersum Izraela</w:t>
      </w:r>
      <w:r w:rsidR="000301FA">
        <w:rPr>
          <w:rStyle w:val="FootnoteReference"/>
        </w:rPr>
        <w:footnoteReference w:id="29"/>
      </w:r>
      <w:r>
        <w:t>.</w:t>
      </w:r>
      <w:r w:rsidR="00047E3B">
        <w:t xml:space="preserve"> Jednocześnie narracja o prostym wędrownym kaznodziei, który w wyniku spekulatywnej chrystologii soborów wczesnochrześcijańskich zostaje przeformowany, choć łatwa do przyjęcia, jest błędna. Pomija fakt, że spekulatywne teologie istniały także w hellenistycznym judaizmie. Preegzystujące postacie pośredniczące oraz wyobrażenia o inkarnacji nie są wynalazkiem chrześcijańskiej teologii, lecz żydowskim dziedzictwem.</w:t>
      </w:r>
      <w:r w:rsidR="00F33293">
        <w:t xml:space="preserve"> Daniel Boyarin przypomina: „Powody, dla których wielu Żydów zaczęło wierzyć, że Jezus jest boski, były w tym, że już oczekiwali, iż Mesjasz/Chrystus będzie postacią Boga-człowieka. To oczekiwanie było istotnym elementem tradycji żydowskiej</w:t>
      </w:r>
      <w:r w:rsidR="002B031D">
        <w:t>”</w:t>
      </w:r>
      <w:r w:rsidR="00F33293">
        <w:rPr>
          <w:rStyle w:val="FootnoteReference"/>
        </w:rPr>
        <w:footnoteReference w:id="30"/>
      </w:r>
      <w:r w:rsidR="00F33293">
        <w:t>.</w:t>
      </w:r>
      <w:r w:rsidR="00A86D13">
        <w:t xml:space="preserve"> Ten element tradycji żydowskiej został zachowany w definicji Soboru Nicejskiego. Tak jak w judaizmie istnieją teologie zamieszkiwania i </w:t>
      </w:r>
      <w:proofErr w:type="gramStart"/>
      <w:r w:rsidR="00A86D13" w:rsidRPr="00A86D13">
        <w:t>kondescendencji</w:t>
      </w:r>
      <w:r w:rsidR="00A86D13">
        <w:t xml:space="preserve">  Boga</w:t>
      </w:r>
      <w:proofErr w:type="gramEnd"/>
      <w:r w:rsidR="00A86D13">
        <w:t>, tak w chrześcijaństwie istnieją teologie wcielenia i kenozy</w:t>
      </w:r>
      <w:r w:rsidR="00A86D13">
        <w:rPr>
          <w:rStyle w:val="FootnoteReference"/>
        </w:rPr>
        <w:footnoteReference w:id="31"/>
      </w:r>
      <w:r w:rsidR="00A86D13">
        <w:t>.</w:t>
      </w:r>
      <w:r w:rsidR="00EC7641">
        <w:t xml:space="preserve"> Obie te teologie zgadzają się w tym, że Bóg nie jest postrzegany jako apersonalna transcendencja, lecz jako Bóg zwrócony ku ludziom. W tym sensie pojęcie </w:t>
      </w:r>
      <w:r w:rsidR="00EC7641">
        <w:rPr>
          <w:rStyle w:val="Emphasis"/>
        </w:rPr>
        <w:t>homoousios</w:t>
      </w:r>
      <w:r w:rsidR="00EC7641">
        <w:t xml:space="preserve"> co prawda zakryło żydowskie korzenie chrystologii, ale ich nie zapomniało, tylko w specyficzny sposób uwydatniło.</w:t>
      </w:r>
    </w:p>
    <w:p w14:paraId="698D8DF5" w14:textId="77777777" w:rsidR="0023383B" w:rsidRPr="003917E6" w:rsidRDefault="00CC5BF2" w:rsidP="003917E6">
      <w:pPr>
        <w:pStyle w:val="NormalWeb"/>
        <w:ind w:firstLine="708"/>
        <w:jc w:val="both"/>
        <w:rPr>
          <w:b/>
          <w:bCs/>
        </w:rPr>
      </w:pPr>
      <w:r w:rsidRPr="003917E6">
        <w:rPr>
          <w:rFonts w:cs="Bembo Std"/>
          <w:b/>
          <w:bCs/>
          <w:color w:val="000000"/>
        </w:rPr>
        <w:t>Postskriptum</w:t>
      </w:r>
    </w:p>
    <w:p w14:paraId="768BE9AF" w14:textId="77777777" w:rsidR="00CC5BF2" w:rsidRDefault="00CC5BF2" w:rsidP="003917E6">
      <w:pPr>
        <w:pStyle w:val="NormalWeb"/>
        <w:spacing w:after="0" w:afterAutospacing="0"/>
        <w:ind w:firstLine="708"/>
        <w:jc w:val="both"/>
      </w:pPr>
      <w:r>
        <w:t xml:space="preserve">Dogmat jako hermeneutyczne określenie punktu stanowi dla postmodernistycznych stylów myślenia powód do irytacji. Stawiają one znak zapytania za punktem i celebrują dekonstrukcję stabilnych semantyk. Jednak w swojej antydogmatycznej tendencji, po cichu wynoszą nieokreśloność do ostatniego określenia. Jednak nieokreśloność nie może być dogmatycznie satysfakcjonującą kategorią, jeśli tajemnica Boga sama nie pozostała </w:t>
      </w:r>
      <w:r>
        <w:lastRenderedPageBreak/>
        <w:t>nieokreślona, lecz stała się bliska w historii. Mówienie o Jezusie Chrystusie jako Synu Bożym jest zat</w:t>
      </w:r>
      <w:r w:rsidR="00511A18">
        <w:t>em czymś więcej niż teopoetycznym szyfrem</w:t>
      </w:r>
      <w:r>
        <w:t>, antropogeniczną ustawą czy pobożną fikcją – to data teologii objawienia. Dogmatyczna definicja z Nicei utrwala to. Dla kultury pamięci chrześcijaństwa, wyznanie nicejsko-konstantynopolitańskie ma ogromne znaczenie, które trudno przecenić; do dziś jest recytowane w liturgii Kościoła we wszystkich wyznaniach.</w:t>
      </w:r>
    </w:p>
    <w:p w14:paraId="7090DE2D" w14:textId="77777777" w:rsidR="000D0F13" w:rsidRDefault="000D0F13" w:rsidP="003917E6">
      <w:pPr>
        <w:pStyle w:val="NormalWeb"/>
        <w:spacing w:before="0" w:beforeAutospacing="0"/>
        <w:ind w:firstLine="708"/>
        <w:jc w:val="both"/>
      </w:pPr>
      <w:r>
        <w:t>Teologiczno-polityczne zainteresowanie cesarza Konstantyna zostaje jednak subwersywnie podważone przez decyzję soboru nicejskiego. Jeden Bóg – jeden cesarz – jedno cesarstwo: ta trójca zostaje zakwestionowana przez teologię trynitarną, która pojmuje Boga jako Boga w symetrycznych relacjach. Trójjedyny Bóg w niebie nie nadaje się do usprawiedliwiania autokratycznych form rządów na ziemi. To nie</w:t>
      </w:r>
      <w:r w:rsidR="00A85B71">
        <w:t xml:space="preserve"> </w:t>
      </w:r>
      <w:r>
        <w:t>przy</w:t>
      </w:r>
      <w:r w:rsidR="00A85B71">
        <w:t>padkiem</w:t>
      </w:r>
      <w:r>
        <w:t xml:space="preserve"> teologowie cesarscy IV wieku, którzy w cesarzu Konstantynie widzieli władcę legitymizowanego przez Boga, byli niemal wszyscy a</w:t>
      </w:r>
      <w:r w:rsidR="00A85B71">
        <w:t>rianami. Ortodoksyjne wyznanie soboru n</w:t>
      </w:r>
      <w:r>
        <w:t>icejskiego, które relację między Ojcem a Synem definiuje nie jako podporządkowanie, ale jako równorzędność i relację, stoi w opozycji do wzorców myślowych, które chcą uzasadniać absolutną monopolistyczną pozycję władcy poprzez absolutną monopolistyczną pozycję Boga. Dotyczy to tezy Erika Petersona, że trynitarny koncept Boga zakończył każdą formę teologii politycznej – tezy, która tutaj zostaje jedyn</w:t>
      </w:r>
      <w:r w:rsidR="00A85B71">
        <w:t xml:space="preserve">ie zasygnalizowana, ale nie </w:t>
      </w:r>
      <w:proofErr w:type="gramStart"/>
      <w:r w:rsidR="00A85B71">
        <w:t xml:space="preserve">można </w:t>
      </w:r>
      <w:r>
        <w:t xml:space="preserve"> już</w:t>
      </w:r>
      <w:proofErr w:type="gramEnd"/>
      <w:r>
        <w:t xml:space="preserve"> </w:t>
      </w:r>
      <w:r w:rsidR="00A85B71">
        <w:t>z nią dyskutować</w:t>
      </w:r>
      <w:r w:rsidR="00A85B71">
        <w:rPr>
          <w:rStyle w:val="FootnoteReference"/>
        </w:rPr>
        <w:footnoteReference w:id="32"/>
      </w:r>
      <w:r>
        <w:t>.</w:t>
      </w:r>
    </w:p>
    <w:p w14:paraId="00A84B14" w14:textId="77777777" w:rsidR="00386667" w:rsidRDefault="00386667" w:rsidP="00386667">
      <w:pPr>
        <w:pStyle w:val="FootnoteText"/>
        <w:ind w:firstLine="708"/>
        <w:jc w:val="both"/>
        <w:rPr>
          <w:rFonts w:ascii="Times New Roman" w:hAnsi="Times New Roman" w:cs="Times New Roman"/>
          <w:sz w:val="24"/>
          <w:szCs w:val="24"/>
        </w:rPr>
      </w:pPr>
      <w:r w:rsidRPr="00EB67E2">
        <w:rPr>
          <w:rFonts w:ascii="Times New Roman" w:hAnsi="Times New Roman" w:cs="Times New Roman"/>
          <w:b/>
          <w:bCs/>
          <w:sz w:val="24"/>
          <w:szCs w:val="24"/>
        </w:rPr>
        <w:t>Nota o Autorze</w:t>
      </w:r>
      <w:r w:rsidRPr="00EB67E2">
        <w:rPr>
          <w:rFonts w:ascii="Times New Roman" w:hAnsi="Times New Roman" w:cs="Times New Roman"/>
          <w:sz w:val="24"/>
          <w:szCs w:val="24"/>
        </w:rPr>
        <w:t>: Jan-Heiner Tück, urodzony w 1967 roku, profe</w:t>
      </w:r>
      <w:r>
        <w:rPr>
          <w:rFonts w:ascii="Times New Roman" w:hAnsi="Times New Roman" w:cs="Times New Roman"/>
          <w:sz w:val="24"/>
          <w:szCs w:val="24"/>
        </w:rPr>
        <w:t>sor dogmatyki i historii dogmatów</w:t>
      </w:r>
      <w:r w:rsidRPr="00EB67E2">
        <w:rPr>
          <w:rFonts w:ascii="Times New Roman" w:hAnsi="Times New Roman" w:cs="Times New Roman"/>
          <w:sz w:val="24"/>
          <w:szCs w:val="24"/>
        </w:rPr>
        <w:t xml:space="preserve"> na uniwersytecie w Wiedniu, redaktor naczelny niemieckiej edycji Międzynarodowego Przeglądu teologicznego „Communio”.</w:t>
      </w:r>
      <w:r>
        <w:rPr>
          <w:rFonts w:ascii="Times New Roman" w:hAnsi="Times New Roman" w:cs="Times New Roman"/>
          <w:sz w:val="24"/>
          <w:szCs w:val="24"/>
        </w:rPr>
        <w:t xml:space="preserve"> S</w:t>
      </w:r>
      <w:r w:rsidRPr="00E1185A">
        <w:rPr>
          <w:rFonts w:ascii="Times New Roman" w:hAnsi="Times New Roman" w:cs="Times New Roman"/>
          <w:sz w:val="24"/>
          <w:szCs w:val="24"/>
        </w:rPr>
        <w:t>tudiował teologię katolicką i germanistykę na uniwersytetach w Tybindze i Monachium od 1987 do 1994 roku. W 1998 roku uzyskał stopień doktora teologii summa cum laude pod kierunkiem Petera Hünermanna w Tybindze, a w 2007 roku habilitował się na Uniwersytecie Fryburskim. W 2009 roku uzyskał stypendium Heisenberga przy Niemieckiej Wspólnocie Badawczej.</w:t>
      </w:r>
      <w:r>
        <w:rPr>
          <w:rFonts w:ascii="Times New Roman" w:hAnsi="Times New Roman" w:cs="Times New Roman"/>
          <w:sz w:val="24"/>
          <w:szCs w:val="24"/>
        </w:rPr>
        <w:t xml:space="preserve"> </w:t>
      </w:r>
      <w:r w:rsidRPr="00E1185A">
        <w:rPr>
          <w:rFonts w:ascii="Times New Roman" w:hAnsi="Times New Roman" w:cs="Times New Roman"/>
          <w:sz w:val="24"/>
          <w:szCs w:val="24"/>
        </w:rPr>
        <w:t xml:space="preserve">Po pracy naukowej na uniwersytetach w Lucernie, Osnabrück i Fryburgu w Br., w 2010 roku został wybrany na profesora dogmatyki i historii dogmatyki na Uniwersytecie Wiedeńskim. Tam kieruje katedrą dogmatyki i historii dogmatyki w Instytucie Teologii Systematycznej i Etyki. Od 2012 do 2018 roku pełnił funkcję dziekana. </w:t>
      </w:r>
      <w:r>
        <w:rPr>
          <w:rFonts w:ascii="Times New Roman" w:hAnsi="Times New Roman" w:cs="Times New Roman"/>
          <w:sz w:val="24"/>
          <w:szCs w:val="24"/>
        </w:rPr>
        <w:t>J</w:t>
      </w:r>
      <w:r w:rsidRPr="00E1185A">
        <w:rPr>
          <w:rFonts w:ascii="Times New Roman" w:hAnsi="Times New Roman" w:cs="Times New Roman"/>
          <w:sz w:val="24"/>
          <w:szCs w:val="24"/>
        </w:rPr>
        <w:t>est żonaty i ma czworo dzieci.</w:t>
      </w:r>
      <w:r>
        <w:rPr>
          <w:rFonts w:ascii="Times New Roman" w:hAnsi="Times New Roman" w:cs="Times New Roman"/>
          <w:sz w:val="24"/>
          <w:szCs w:val="24"/>
        </w:rPr>
        <w:t xml:space="preserve"> </w:t>
      </w:r>
      <w:r w:rsidRPr="00E1185A">
        <w:rPr>
          <w:rFonts w:ascii="Times New Roman" w:hAnsi="Times New Roman" w:cs="Times New Roman"/>
          <w:sz w:val="24"/>
          <w:szCs w:val="24"/>
        </w:rPr>
        <w:t xml:space="preserve">Obszary badań Tücka obejmują chrystologię, teologię Boga, eschatologię oraz dialog judaistyczno-chrześcijański. </w:t>
      </w:r>
    </w:p>
    <w:p w14:paraId="5354F2F0" w14:textId="77777777" w:rsidR="00F02171" w:rsidRDefault="00F02171" w:rsidP="00F02171"/>
    <w:p w14:paraId="7CF8D5A0" w14:textId="77777777" w:rsidR="00766926" w:rsidRDefault="00766926" w:rsidP="00766926">
      <w:pPr>
        <w:pStyle w:val="FootnoteText"/>
        <w:ind w:left="1134" w:hanging="1134"/>
        <w:jc w:val="both"/>
        <w:rPr>
          <w:rFonts w:ascii="Times New Roman" w:hAnsi="Times New Roman" w:cs="Times New Roman"/>
          <w:b/>
          <w:bCs/>
          <w:sz w:val="24"/>
          <w:szCs w:val="24"/>
          <w:lang w:val="fr-FR"/>
        </w:rPr>
      </w:pPr>
      <w:proofErr w:type="gramStart"/>
      <w:r>
        <w:rPr>
          <w:rFonts w:ascii="Times New Roman" w:hAnsi="Times New Roman" w:cs="Times New Roman"/>
          <w:b/>
          <w:bCs/>
          <w:sz w:val="24"/>
          <w:szCs w:val="24"/>
          <w:lang w:val="fr-FR"/>
        </w:rPr>
        <w:t>Bibliografia:</w:t>
      </w:r>
      <w:proofErr w:type="gramEnd"/>
    </w:p>
    <w:p w14:paraId="71284AC4"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Agamben</w:t>
      </w:r>
      <w:r>
        <w:rPr>
          <w:lang w:val="de-AT"/>
        </w:rPr>
        <w:t xml:space="preserve"> </w:t>
      </w:r>
      <w:r w:rsidRPr="005430B1">
        <w:rPr>
          <w:lang w:val="de-AT"/>
        </w:rPr>
        <w:t xml:space="preserve">G., </w:t>
      </w:r>
      <w:r w:rsidRPr="005430B1">
        <w:rPr>
          <w:rStyle w:val="Emphasis"/>
          <w:lang w:val="de-AT"/>
        </w:rPr>
        <w:t>Herrschaft und Herrlichkeit. Zur theologischen Genealogie von Ökonomie und Regierung</w:t>
      </w:r>
      <w:r w:rsidRPr="005430B1">
        <w:rPr>
          <w:lang w:val="de-AT"/>
        </w:rPr>
        <w:t xml:space="preserve"> (Homo sacer II.2), Berlin 2010.</w:t>
      </w:r>
    </w:p>
    <w:p w14:paraId="31C933EB" w14:textId="77777777" w:rsidR="00DB7D4D" w:rsidRPr="00766926" w:rsidRDefault="00DB7D4D" w:rsidP="00766926">
      <w:pPr>
        <w:pStyle w:val="NormalWeb"/>
        <w:spacing w:before="0" w:beforeAutospacing="0" w:after="0" w:afterAutospacing="0"/>
        <w:ind w:left="1134" w:hanging="1134"/>
        <w:jc w:val="both"/>
        <w:rPr>
          <w:lang w:val="fr-FR"/>
        </w:rPr>
      </w:pPr>
      <w:r w:rsidRPr="00766926">
        <w:rPr>
          <w:lang w:val="fr-FR"/>
        </w:rPr>
        <w:t xml:space="preserve">Ambroży, </w:t>
      </w:r>
      <w:r w:rsidRPr="00766926">
        <w:rPr>
          <w:rStyle w:val="Emphasis"/>
          <w:lang w:val="fr-FR"/>
        </w:rPr>
        <w:t>De fide 5, 1, 25</w:t>
      </w:r>
      <w:r w:rsidRPr="00766926">
        <w:rPr>
          <w:lang w:val="fr-FR"/>
        </w:rPr>
        <w:t>.</w:t>
      </w:r>
    </w:p>
    <w:p w14:paraId="0ED99BCF" w14:textId="77777777" w:rsidR="00DB7D4D" w:rsidRPr="00DB7D4D" w:rsidRDefault="00DB7D4D" w:rsidP="00766926">
      <w:pPr>
        <w:pStyle w:val="FootnoteText"/>
        <w:ind w:left="1134" w:hanging="1134"/>
        <w:jc w:val="both"/>
        <w:rPr>
          <w:rFonts w:ascii="Times New Roman" w:hAnsi="Times New Roman" w:cs="Times New Roman"/>
          <w:color w:val="000000"/>
          <w:sz w:val="24"/>
          <w:szCs w:val="24"/>
          <w:lang w:val="fr-FR"/>
        </w:rPr>
      </w:pPr>
      <w:r w:rsidRPr="00DB7D4D">
        <w:rPr>
          <w:rFonts w:ascii="Times New Roman" w:hAnsi="Times New Roman" w:cs="Times New Roman"/>
          <w:color w:val="000000"/>
          <w:sz w:val="24"/>
          <w:szCs w:val="24"/>
          <w:lang w:val="fr-FR"/>
        </w:rPr>
        <w:t xml:space="preserve">Athanasius, </w:t>
      </w:r>
      <w:r w:rsidRPr="00DB7D4D">
        <w:rPr>
          <w:rFonts w:ascii="Times New Roman" w:hAnsi="Times New Roman" w:cs="Times New Roman"/>
          <w:i/>
          <w:iCs/>
          <w:color w:val="000000"/>
          <w:sz w:val="24"/>
          <w:szCs w:val="24"/>
          <w:lang w:val="fr-FR"/>
        </w:rPr>
        <w:t xml:space="preserve">Orationes contra Arianos </w:t>
      </w:r>
      <w:r w:rsidRPr="00DB7D4D">
        <w:rPr>
          <w:rFonts w:ascii="Times New Roman" w:hAnsi="Times New Roman" w:cs="Times New Roman"/>
          <w:color w:val="000000"/>
          <w:sz w:val="24"/>
          <w:szCs w:val="24"/>
          <w:lang w:val="fr-FR"/>
        </w:rPr>
        <w:t>1, 8 (MG 26, 25c).</w:t>
      </w:r>
    </w:p>
    <w:p w14:paraId="4D3B1B15" w14:textId="77777777" w:rsidR="00DB7D4D" w:rsidRPr="00766926" w:rsidRDefault="00DB7D4D" w:rsidP="00766926">
      <w:pPr>
        <w:pStyle w:val="NormalWeb"/>
        <w:spacing w:before="0" w:beforeAutospacing="0" w:after="0" w:afterAutospacing="0"/>
        <w:ind w:left="1134" w:hanging="1134"/>
        <w:jc w:val="both"/>
        <w:rPr>
          <w:lang w:val="de-AT"/>
        </w:rPr>
      </w:pPr>
      <w:r w:rsidRPr="00766926">
        <w:rPr>
          <w:lang w:val="de-AT"/>
        </w:rPr>
        <w:t xml:space="preserve">Böhm T., </w:t>
      </w:r>
      <w:r w:rsidRPr="00766926">
        <w:rPr>
          <w:rStyle w:val="Emphasis"/>
          <w:lang w:val="de-AT"/>
        </w:rPr>
        <w:t>Die Christologie des Arius</w:t>
      </w:r>
      <w:r w:rsidRPr="00766926">
        <w:rPr>
          <w:lang w:val="de-AT"/>
        </w:rPr>
        <w:t>, St. Ottilien 1991.</w:t>
      </w:r>
    </w:p>
    <w:p w14:paraId="6F8AC806" w14:textId="77777777" w:rsidR="00DB7D4D" w:rsidRPr="005430B1" w:rsidRDefault="00DB7D4D" w:rsidP="00766926">
      <w:pPr>
        <w:pStyle w:val="NormalWeb"/>
        <w:spacing w:before="0" w:beforeAutospacing="0" w:after="0" w:afterAutospacing="0"/>
        <w:ind w:left="1134" w:hanging="1134"/>
        <w:jc w:val="both"/>
        <w:rPr>
          <w:lang w:val="de-AT"/>
        </w:rPr>
      </w:pPr>
      <w:r w:rsidRPr="00766926">
        <w:rPr>
          <w:lang w:val="de-AT"/>
        </w:rPr>
        <w:t>Boyarin</w:t>
      </w:r>
      <w:r>
        <w:rPr>
          <w:lang w:val="de-AT"/>
        </w:rPr>
        <w:t xml:space="preserve"> </w:t>
      </w:r>
      <w:r w:rsidRPr="00766926">
        <w:rPr>
          <w:lang w:val="de-AT"/>
        </w:rPr>
        <w:t xml:space="preserve">D., </w:t>
      </w:r>
      <w:r w:rsidRPr="00766926">
        <w:rPr>
          <w:rStyle w:val="Emphasis"/>
          <w:lang w:val="de-AT"/>
        </w:rPr>
        <w:t xml:space="preserve">Die jüdischen Evangelien. </w:t>
      </w:r>
      <w:r w:rsidRPr="005430B1">
        <w:rPr>
          <w:rStyle w:val="Emphasis"/>
          <w:lang w:val="de-AT"/>
        </w:rPr>
        <w:t>Die Geschichte des jüdischen Jesus</w:t>
      </w:r>
      <w:r w:rsidRPr="005430B1">
        <w:rPr>
          <w:lang w:val="de-AT"/>
        </w:rPr>
        <w:t>, Baden-Baden 2015.</w:t>
      </w:r>
    </w:p>
    <w:p w14:paraId="3A286E63"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Essen</w:t>
      </w:r>
      <w:r>
        <w:rPr>
          <w:lang w:val="de-AT"/>
        </w:rPr>
        <w:t xml:space="preserve"> </w:t>
      </w:r>
      <w:r w:rsidRPr="005430B1">
        <w:rPr>
          <w:lang w:val="de-AT"/>
        </w:rPr>
        <w:t xml:space="preserve">G., </w:t>
      </w:r>
      <w:r w:rsidRPr="005430B1">
        <w:rPr>
          <w:rStyle w:val="Emphasis"/>
          <w:lang w:val="de-AT"/>
        </w:rPr>
        <w:t>Hellenisierung des Christentums? Zur Problematik und Überwindung einer polarisierenden Deutungsfigur</w:t>
      </w:r>
      <w:r w:rsidRPr="005430B1">
        <w:rPr>
          <w:lang w:val="de-AT"/>
        </w:rPr>
        <w:t xml:space="preserve">, w: </w:t>
      </w:r>
      <w:r w:rsidRPr="005430B1">
        <w:rPr>
          <w:rStyle w:val="Emphasis"/>
          <w:lang w:val="de-AT"/>
        </w:rPr>
        <w:t>Theologie und Philosophie</w:t>
      </w:r>
      <w:r w:rsidRPr="005430B1">
        <w:rPr>
          <w:lang w:val="de-AT"/>
        </w:rPr>
        <w:t xml:space="preserve"> 87 (2012), s. 1–17.</w:t>
      </w:r>
    </w:p>
    <w:p w14:paraId="3C1FAE7F" w14:textId="77777777" w:rsidR="00DB7D4D" w:rsidRPr="005430B1" w:rsidRDefault="00DB7D4D" w:rsidP="00766926">
      <w:pPr>
        <w:pStyle w:val="NormalWeb"/>
        <w:spacing w:before="0" w:beforeAutospacing="0" w:after="0" w:afterAutospacing="0"/>
        <w:ind w:left="1134" w:hanging="1134"/>
        <w:jc w:val="both"/>
        <w:rPr>
          <w:lang w:val="de-AT"/>
        </w:rPr>
      </w:pPr>
      <w:r w:rsidRPr="00766926">
        <w:rPr>
          <w:lang w:val="de-AT"/>
        </w:rPr>
        <w:t xml:space="preserve">Eusebius, </w:t>
      </w:r>
      <w:r w:rsidRPr="005430B1">
        <w:rPr>
          <w:rStyle w:val="Emphasis"/>
          <w:lang w:val="de-AT"/>
        </w:rPr>
        <w:t>Demonstratio Evangelica</w:t>
      </w:r>
      <w:r w:rsidRPr="005430B1">
        <w:rPr>
          <w:lang w:val="de-AT"/>
        </w:rPr>
        <w:t xml:space="preserve">, wyd. Karl Mras: </w:t>
      </w:r>
      <w:r w:rsidRPr="005430B1">
        <w:rPr>
          <w:rStyle w:val="Emphasis"/>
          <w:lang w:val="de-AT"/>
        </w:rPr>
        <w:t>Die Praeparatio evangelica: Einleitung, die Bücher I–X</w:t>
      </w:r>
      <w:r>
        <w:rPr>
          <w:lang w:val="de-AT"/>
        </w:rPr>
        <w:t>, Berlin 1982</w:t>
      </w:r>
      <w:r w:rsidRPr="005430B1">
        <w:rPr>
          <w:lang w:val="de-AT"/>
        </w:rPr>
        <w:t>.</w:t>
      </w:r>
    </w:p>
    <w:p w14:paraId="26761282" w14:textId="77777777" w:rsidR="00DB7D4D" w:rsidRDefault="00DB7D4D" w:rsidP="00766926">
      <w:pPr>
        <w:pStyle w:val="NormalWeb"/>
        <w:spacing w:before="0" w:beforeAutospacing="0" w:after="0" w:afterAutospacing="0"/>
        <w:ind w:left="1134" w:hanging="1134"/>
        <w:jc w:val="both"/>
        <w:rPr>
          <w:lang w:val="fr-FR"/>
        </w:rPr>
      </w:pPr>
      <w:r w:rsidRPr="006161B8">
        <w:rPr>
          <w:lang w:val="fr-FR"/>
        </w:rPr>
        <w:lastRenderedPageBreak/>
        <w:t xml:space="preserve">Eusebius, </w:t>
      </w:r>
      <w:r w:rsidRPr="006161B8">
        <w:rPr>
          <w:rStyle w:val="Emphasis"/>
          <w:lang w:val="fr-FR"/>
        </w:rPr>
        <w:t>Vita Constantini,</w:t>
      </w:r>
      <w:r w:rsidRPr="006161B8">
        <w:rPr>
          <w:lang w:val="fr-FR"/>
        </w:rPr>
        <w:t xml:space="preserve"> Horst Schneider 2007.</w:t>
      </w:r>
    </w:p>
    <w:p w14:paraId="1AB0CCEF"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Grillmeier</w:t>
      </w:r>
      <w:r>
        <w:rPr>
          <w:lang w:val="de-AT"/>
        </w:rPr>
        <w:t xml:space="preserve"> </w:t>
      </w:r>
      <w:r w:rsidRPr="005430B1">
        <w:rPr>
          <w:lang w:val="de-AT"/>
        </w:rPr>
        <w:t xml:space="preserve">A., </w:t>
      </w:r>
      <w:r w:rsidRPr="005430B1">
        <w:rPr>
          <w:rStyle w:val="Emphasis"/>
          <w:lang w:val="de-AT"/>
        </w:rPr>
        <w:t>Jesus Christus im Glauben der Kirche</w:t>
      </w:r>
      <w:r w:rsidRPr="005430B1">
        <w:rPr>
          <w:lang w:val="de-AT"/>
        </w:rPr>
        <w:t>, t. I,</w:t>
      </w:r>
      <w:r>
        <w:rPr>
          <w:lang w:val="de-AT"/>
        </w:rPr>
        <w:t xml:space="preserve"> </w:t>
      </w:r>
      <w:r w:rsidRPr="005430B1">
        <w:rPr>
          <w:lang w:val="de-AT"/>
        </w:rPr>
        <w:t xml:space="preserve">Freiburg i. Br. </w:t>
      </w:r>
      <w:r>
        <w:rPr>
          <w:lang w:val="de-AT"/>
        </w:rPr>
        <w:t>1990</w:t>
      </w:r>
      <w:r w:rsidRPr="005430B1">
        <w:rPr>
          <w:lang w:val="de-AT"/>
        </w:rPr>
        <w:t>.</w:t>
      </w:r>
    </w:p>
    <w:p w14:paraId="0BB2C026" w14:textId="77777777" w:rsidR="00DB7D4D" w:rsidRDefault="00DB7D4D" w:rsidP="00766926">
      <w:pPr>
        <w:pStyle w:val="NormalWeb"/>
        <w:spacing w:before="0" w:beforeAutospacing="0" w:after="0" w:afterAutospacing="0"/>
        <w:ind w:left="1134" w:hanging="1134"/>
        <w:jc w:val="both"/>
      </w:pPr>
      <w:r w:rsidRPr="005430B1">
        <w:rPr>
          <w:lang w:val="de-AT"/>
        </w:rPr>
        <w:t>Hengel</w:t>
      </w:r>
      <w:r>
        <w:rPr>
          <w:lang w:val="de-AT"/>
        </w:rPr>
        <w:t xml:space="preserve"> </w:t>
      </w:r>
      <w:r w:rsidRPr="005430B1">
        <w:rPr>
          <w:lang w:val="de-AT"/>
        </w:rPr>
        <w:t xml:space="preserve">M., </w:t>
      </w:r>
      <w:r w:rsidRPr="005430B1">
        <w:rPr>
          <w:rStyle w:val="Emphasis"/>
          <w:lang w:val="de-AT"/>
        </w:rPr>
        <w:t xml:space="preserve">Judentum und Hellenismus. Studien zur Begegnung unter besonderer Berücksichtigung Palästinas bis zur Mitte des 2. </w:t>
      </w:r>
      <w:r w:rsidRPr="005430B1">
        <w:rPr>
          <w:rStyle w:val="Emphasis"/>
        </w:rPr>
        <w:t>Jh.s. v. Chr.</w:t>
      </w:r>
      <w:r w:rsidRPr="005430B1">
        <w:t xml:space="preserve"> (WUNT 10), </w:t>
      </w:r>
      <w:r w:rsidRPr="005430B1">
        <w:rPr>
          <w:sz w:val="20"/>
          <w:szCs w:val="20"/>
          <w:lang w:val="de-AT"/>
        </w:rPr>
        <w:t>Tübingen</w:t>
      </w:r>
      <w:r w:rsidRPr="005430B1">
        <w:t xml:space="preserve"> 1988.</w:t>
      </w:r>
    </w:p>
    <w:p w14:paraId="638224AE" w14:textId="77777777" w:rsidR="00DB7D4D" w:rsidRDefault="00DB7D4D" w:rsidP="00766926">
      <w:pPr>
        <w:pStyle w:val="NormalWeb"/>
        <w:spacing w:before="0" w:beforeAutospacing="0" w:after="0" w:afterAutospacing="0"/>
        <w:ind w:left="1134" w:hanging="1134"/>
        <w:jc w:val="both"/>
        <w:rPr>
          <w:lang w:val="de-AT"/>
        </w:rPr>
      </w:pPr>
      <w:r>
        <w:rPr>
          <w:lang w:val="de-AT"/>
        </w:rPr>
        <w:t>Hoping H.,</w:t>
      </w:r>
      <w:r w:rsidRPr="005430B1">
        <w:rPr>
          <w:lang w:val="de-AT"/>
        </w:rPr>
        <w:t xml:space="preserve"> </w:t>
      </w:r>
      <w:r w:rsidRPr="005430B1">
        <w:rPr>
          <w:i/>
          <w:iCs/>
          <w:lang w:val="de-AT"/>
        </w:rPr>
        <w:t>Jesus aus Galiläa – Messias und Gottes Sohn</w:t>
      </w:r>
      <w:r w:rsidRPr="005430B1">
        <w:rPr>
          <w:lang w:val="de-AT"/>
        </w:rPr>
        <w:t xml:space="preserve">, Freiburg i. Br. 2021. </w:t>
      </w:r>
    </w:p>
    <w:p w14:paraId="12C60DDE" w14:textId="77777777" w:rsidR="00DB7D4D" w:rsidRPr="005430B1" w:rsidRDefault="00DB7D4D" w:rsidP="00766926">
      <w:pPr>
        <w:pStyle w:val="NormalWeb"/>
        <w:spacing w:before="0" w:beforeAutospacing="0" w:after="0" w:afterAutospacing="0"/>
        <w:ind w:left="1134" w:hanging="1134"/>
        <w:jc w:val="both"/>
        <w:rPr>
          <w:lang w:val="en-US"/>
        </w:rPr>
      </w:pPr>
      <w:r w:rsidRPr="005430B1">
        <w:rPr>
          <w:lang w:val="de-AT"/>
        </w:rPr>
        <w:t>Kany</w:t>
      </w:r>
      <w:r>
        <w:rPr>
          <w:lang w:val="de-AT"/>
        </w:rPr>
        <w:t xml:space="preserve"> R.</w:t>
      </w:r>
      <w:r w:rsidRPr="005430B1">
        <w:rPr>
          <w:lang w:val="de-AT"/>
        </w:rPr>
        <w:t xml:space="preserve">, </w:t>
      </w:r>
      <w:r w:rsidRPr="005430B1">
        <w:rPr>
          <w:i/>
          <w:iCs/>
          <w:color w:val="000000"/>
          <w:lang w:val="de-AT"/>
        </w:rPr>
        <w:t>Kaiser Konstantin und das erste Konzil von Nizäa,</w:t>
      </w:r>
      <w:r>
        <w:rPr>
          <w:lang w:val="de-AT"/>
        </w:rPr>
        <w:t xml:space="preserve"> w: F. Schuller, </w:t>
      </w:r>
      <w:r w:rsidRPr="005430B1">
        <w:rPr>
          <w:lang w:val="de-AT"/>
        </w:rPr>
        <w:t>H</w:t>
      </w:r>
      <w:r>
        <w:rPr>
          <w:lang w:val="de-AT"/>
        </w:rPr>
        <w:t>.</w:t>
      </w:r>
      <w:r w:rsidRPr="005430B1">
        <w:rPr>
          <w:lang w:val="de-AT"/>
        </w:rPr>
        <w:t xml:space="preserve"> Wolff, </w:t>
      </w:r>
      <w:r w:rsidRPr="005430B1">
        <w:rPr>
          <w:i/>
          <w:iCs/>
          <w:color w:val="000000"/>
          <w:lang w:val="de-AT"/>
        </w:rPr>
        <w:t xml:space="preserve">Konstantin der Große. </w:t>
      </w:r>
      <w:r w:rsidRPr="005430B1">
        <w:rPr>
          <w:i/>
          <w:iCs/>
          <w:color w:val="000000"/>
          <w:lang w:val="en-US"/>
        </w:rPr>
        <w:t>Kaiser einer Epochenwende</w:t>
      </w:r>
      <w:r>
        <w:rPr>
          <w:lang w:val="en-US"/>
        </w:rPr>
        <w:t>, Lindenberg 2007</w:t>
      </w:r>
      <w:r w:rsidRPr="005430B1">
        <w:rPr>
          <w:lang w:val="en-US"/>
        </w:rPr>
        <w:t>.</w:t>
      </w:r>
    </w:p>
    <w:p w14:paraId="530EAB47" w14:textId="77777777" w:rsidR="00DB7D4D" w:rsidRPr="005430B1" w:rsidRDefault="00DB7D4D" w:rsidP="00766926">
      <w:pPr>
        <w:pStyle w:val="NormalWeb"/>
        <w:spacing w:before="0" w:beforeAutospacing="0" w:after="0" w:afterAutospacing="0"/>
        <w:ind w:left="1134" w:hanging="1134"/>
        <w:jc w:val="both"/>
        <w:rPr>
          <w:lang w:val="en-US"/>
        </w:rPr>
      </w:pPr>
      <w:r w:rsidRPr="005430B1">
        <w:rPr>
          <w:lang w:val="en-US"/>
        </w:rPr>
        <w:t>Kinzer</w:t>
      </w:r>
      <w:r>
        <w:rPr>
          <w:lang w:val="en-US"/>
        </w:rPr>
        <w:t xml:space="preserve"> </w:t>
      </w:r>
      <w:r w:rsidRPr="005430B1">
        <w:rPr>
          <w:lang w:val="en-US"/>
        </w:rPr>
        <w:t xml:space="preserve">M.S., </w:t>
      </w:r>
      <w:r w:rsidRPr="005430B1">
        <w:rPr>
          <w:rStyle w:val="Emphasis"/>
          <w:lang w:val="en-US"/>
        </w:rPr>
        <w:t>Finding our Way through Nicaea: The Deity of Yeshua, Bilateral Ecclesiology, and Redemptive Encounter with the Living God</w:t>
      </w:r>
      <w:r w:rsidRPr="005430B1">
        <w:rPr>
          <w:lang w:val="en-US"/>
        </w:rPr>
        <w:t xml:space="preserve">, w: </w:t>
      </w:r>
      <w:r w:rsidRPr="005430B1">
        <w:rPr>
          <w:rStyle w:val="Emphasis"/>
          <w:lang w:val="en-US"/>
        </w:rPr>
        <w:t>Kesher</w:t>
      </w:r>
      <w:r w:rsidRPr="005430B1">
        <w:rPr>
          <w:lang w:val="en-US"/>
        </w:rPr>
        <w:t xml:space="preserve"> 24 (2010), s. 29–52.</w:t>
      </w:r>
    </w:p>
    <w:p w14:paraId="74CDB462" w14:textId="77777777" w:rsidR="00DB7D4D" w:rsidRPr="005430B1" w:rsidRDefault="00DB7D4D" w:rsidP="00766926">
      <w:pPr>
        <w:pStyle w:val="FootnoteText"/>
        <w:ind w:left="1134" w:hanging="1134"/>
        <w:jc w:val="both"/>
        <w:rPr>
          <w:rFonts w:ascii="Times New Roman" w:hAnsi="Times New Roman" w:cs="Times New Roman"/>
          <w:sz w:val="24"/>
          <w:szCs w:val="24"/>
          <w:lang w:val="de-AT"/>
        </w:rPr>
      </w:pPr>
      <w:r>
        <w:rPr>
          <w:rFonts w:ascii="Times New Roman" w:hAnsi="Times New Roman" w:cs="Times New Roman"/>
          <w:sz w:val="24"/>
          <w:szCs w:val="24"/>
          <w:lang w:val="de-AT"/>
        </w:rPr>
        <w:t>Lorenz R.</w:t>
      </w:r>
      <w:r w:rsidRPr="005430B1">
        <w:rPr>
          <w:rFonts w:ascii="Times New Roman" w:hAnsi="Times New Roman" w:cs="Times New Roman"/>
          <w:sz w:val="24"/>
          <w:szCs w:val="24"/>
          <w:lang w:val="de-AT"/>
        </w:rPr>
        <w:t xml:space="preserve">, </w:t>
      </w:r>
      <w:r w:rsidRPr="005430B1">
        <w:rPr>
          <w:rFonts w:ascii="Times New Roman" w:hAnsi="Times New Roman" w:cs="Times New Roman"/>
          <w:i/>
          <w:iCs/>
          <w:color w:val="000000"/>
          <w:sz w:val="24"/>
          <w:szCs w:val="24"/>
          <w:lang w:val="de-AT"/>
        </w:rPr>
        <w:t>Arius judaizans? Untersuchungen zur dogmengeschichtlichen Einordnung des Arius</w:t>
      </w:r>
      <w:r w:rsidRPr="005430B1">
        <w:rPr>
          <w:rFonts w:ascii="Times New Roman" w:hAnsi="Times New Roman" w:cs="Times New Roman"/>
          <w:color w:val="000000"/>
          <w:sz w:val="24"/>
          <w:szCs w:val="24"/>
          <w:lang w:val="de-AT"/>
        </w:rPr>
        <w:t xml:space="preserve">, </w:t>
      </w:r>
      <w:r w:rsidRPr="005430B1">
        <w:rPr>
          <w:rFonts w:ascii="Times New Roman" w:hAnsi="Times New Roman" w:cs="Times New Roman"/>
          <w:sz w:val="24"/>
          <w:szCs w:val="24"/>
          <w:lang w:val="de-AT"/>
        </w:rPr>
        <w:t>Göttingen1979.</w:t>
      </w:r>
    </w:p>
    <w:p w14:paraId="128DFB88"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Markschies</w:t>
      </w:r>
      <w:r>
        <w:rPr>
          <w:lang w:val="de-AT"/>
        </w:rPr>
        <w:t xml:space="preserve"> </w:t>
      </w:r>
      <w:r w:rsidRPr="005430B1">
        <w:rPr>
          <w:lang w:val="de-AT"/>
        </w:rPr>
        <w:t>C., „</w:t>
      </w:r>
      <w:r w:rsidRPr="005430B1">
        <w:rPr>
          <w:rStyle w:val="Emphasis"/>
          <w:lang w:val="de-AT"/>
        </w:rPr>
        <w:t>Hellenisierung des Christentums</w:t>
      </w:r>
      <w:r w:rsidRPr="005430B1">
        <w:rPr>
          <w:lang w:val="de-AT"/>
        </w:rPr>
        <w:t xml:space="preserve">? – </w:t>
      </w:r>
      <w:r w:rsidRPr="005430B1">
        <w:rPr>
          <w:i/>
          <w:iCs/>
          <w:lang w:val="de-AT"/>
        </w:rPr>
        <w:t>die ersten Konzilien</w:t>
      </w:r>
      <w:r w:rsidRPr="005430B1">
        <w:rPr>
          <w:lang w:val="de-AT"/>
        </w:rPr>
        <w:t xml:space="preserve">”, w: F.W. Graf, K. Wiegandt (red.), </w:t>
      </w:r>
      <w:r w:rsidRPr="005430B1">
        <w:rPr>
          <w:rStyle w:val="Emphasis"/>
          <w:lang w:val="de-AT"/>
        </w:rPr>
        <w:t>Die Anfänge des Christentums</w:t>
      </w:r>
      <w:r w:rsidRPr="005430B1">
        <w:rPr>
          <w:lang w:val="de-AT"/>
        </w:rPr>
        <w:t>, Frankfurt/M. 2009, s. 397–436.</w:t>
      </w:r>
    </w:p>
    <w:p w14:paraId="6BF7417B" w14:textId="77777777" w:rsidR="00DB7D4D" w:rsidRPr="005430B1" w:rsidRDefault="00DB7D4D" w:rsidP="00766926">
      <w:pPr>
        <w:pStyle w:val="NormalWeb"/>
        <w:spacing w:before="0" w:beforeAutospacing="0" w:after="0" w:afterAutospacing="0"/>
        <w:ind w:left="1134" w:hanging="1134"/>
        <w:jc w:val="both"/>
        <w:rPr>
          <w:lang w:val="de-AT"/>
        </w:rPr>
      </w:pPr>
      <w:r w:rsidRPr="006161B8">
        <w:rPr>
          <w:lang w:val="de-AT"/>
        </w:rPr>
        <w:t xml:space="preserve">Markschies C., </w:t>
      </w:r>
      <w:r w:rsidRPr="006161B8">
        <w:rPr>
          <w:rStyle w:val="Emphasis"/>
          <w:lang w:val="de-AT"/>
        </w:rPr>
        <w:t xml:space="preserve">Alta Trinità Beata. </w:t>
      </w:r>
      <w:r w:rsidRPr="005430B1">
        <w:rPr>
          <w:rStyle w:val="Emphasis"/>
          <w:lang w:val="de-AT"/>
        </w:rPr>
        <w:t>Gesammelte Studien zur altkirchlichen Trinitätstheologie</w:t>
      </w:r>
      <w:r w:rsidRPr="005430B1">
        <w:rPr>
          <w:lang w:val="de-AT"/>
        </w:rPr>
        <w:t xml:space="preserve">, </w:t>
      </w:r>
      <w:r w:rsidRPr="005430B1">
        <w:rPr>
          <w:sz w:val="20"/>
          <w:szCs w:val="20"/>
          <w:lang w:val="de-AT"/>
        </w:rPr>
        <w:t>Tübingen</w:t>
      </w:r>
      <w:r w:rsidRPr="005430B1">
        <w:rPr>
          <w:lang w:val="de-AT"/>
        </w:rPr>
        <w:t xml:space="preserve"> </w:t>
      </w:r>
      <w:r>
        <w:rPr>
          <w:lang w:val="de-AT"/>
        </w:rPr>
        <w:t>2000</w:t>
      </w:r>
      <w:r w:rsidRPr="005430B1">
        <w:rPr>
          <w:lang w:val="de-AT"/>
        </w:rPr>
        <w:t>.</w:t>
      </w:r>
    </w:p>
    <w:p w14:paraId="07980AEA"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Markschies</w:t>
      </w:r>
      <w:r>
        <w:rPr>
          <w:lang w:val="de-AT"/>
        </w:rPr>
        <w:t xml:space="preserve"> </w:t>
      </w:r>
      <w:r w:rsidRPr="005430B1">
        <w:rPr>
          <w:lang w:val="de-AT"/>
        </w:rPr>
        <w:t xml:space="preserve">C., </w:t>
      </w:r>
      <w:r w:rsidRPr="005430B1">
        <w:rPr>
          <w:rStyle w:val="Emphasis"/>
          <w:lang w:val="de-AT"/>
        </w:rPr>
        <w:t>Die Erforschung antiker christologischer Reflexion und der jüdisch-christliche Dialog – ein Prospekt</w:t>
      </w:r>
      <w:r w:rsidRPr="005430B1">
        <w:rPr>
          <w:lang w:val="de-AT"/>
        </w:rPr>
        <w:t xml:space="preserve">, w: C. Danz i in., (red.), </w:t>
      </w:r>
      <w:r w:rsidRPr="005430B1">
        <w:rPr>
          <w:rStyle w:val="Emphasis"/>
          <w:lang w:val="de-AT"/>
        </w:rPr>
        <w:t>Christologie zwischen Judentum und Christentum</w:t>
      </w:r>
      <w:r w:rsidRPr="005430B1">
        <w:rPr>
          <w:lang w:val="de-AT"/>
        </w:rPr>
        <w:t>, Tübingen 2020, s. 247–269.</w:t>
      </w:r>
    </w:p>
    <w:p w14:paraId="6EE776F7"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Menke</w:t>
      </w:r>
      <w:r>
        <w:rPr>
          <w:lang w:val="de-AT"/>
        </w:rPr>
        <w:t xml:space="preserve"> </w:t>
      </w:r>
      <w:r w:rsidRPr="005430B1">
        <w:rPr>
          <w:lang w:val="de-AT"/>
        </w:rPr>
        <w:t xml:space="preserve">K.H., </w:t>
      </w:r>
      <w:r w:rsidRPr="005430B1">
        <w:rPr>
          <w:rStyle w:val="Emphasis"/>
          <w:lang w:val="de-AT"/>
        </w:rPr>
        <w:t>Jesus ist Gott der Sohn. Denkformen und Brennpunkte der Christologie</w:t>
      </w:r>
      <w:r w:rsidRPr="005430B1">
        <w:rPr>
          <w:lang w:val="de-AT"/>
        </w:rPr>
        <w:t xml:space="preserve">, </w:t>
      </w:r>
      <w:r>
        <w:rPr>
          <w:lang w:val="de-AT"/>
        </w:rPr>
        <w:t>Regensburg 2013</w:t>
      </w:r>
      <w:r w:rsidRPr="005430B1">
        <w:rPr>
          <w:lang w:val="de-AT"/>
        </w:rPr>
        <w:t>.</w:t>
      </w:r>
    </w:p>
    <w:p w14:paraId="40CBD844" w14:textId="77777777" w:rsidR="00DB7D4D" w:rsidRDefault="00DB7D4D" w:rsidP="00766926">
      <w:pPr>
        <w:pStyle w:val="NormalWeb"/>
        <w:spacing w:before="0" w:beforeAutospacing="0" w:after="0" w:afterAutospacing="0"/>
        <w:ind w:left="1134" w:hanging="1134"/>
        <w:jc w:val="both"/>
        <w:rPr>
          <w:lang w:val="de-AT"/>
        </w:rPr>
      </w:pPr>
      <w:r w:rsidRPr="005430B1">
        <w:rPr>
          <w:lang w:val="de-AT"/>
        </w:rPr>
        <w:t>Müller</w:t>
      </w:r>
      <w:r>
        <w:rPr>
          <w:lang w:val="de-AT"/>
        </w:rPr>
        <w:t xml:space="preserve"> </w:t>
      </w:r>
      <w:r w:rsidRPr="005430B1">
        <w:rPr>
          <w:lang w:val="de-AT"/>
        </w:rPr>
        <w:t xml:space="preserve">G.L., </w:t>
      </w:r>
      <w:r w:rsidRPr="005430B1">
        <w:rPr>
          <w:rStyle w:val="Emphasis"/>
          <w:lang w:val="de-AT"/>
        </w:rPr>
        <w:t>Katholische Dogmatik</w:t>
      </w:r>
      <w:r w:rsidRPr="005430B1">
        <w:rPr>
          <w:lang w:val="de-AT"/>
        </w:rPr>
        <w:t>, Freiburg i. Br. 1998</w:t>
      </w:r>
      <w:r>
        <w:rPr>
          <w:lang w:val="de-AT"/>
        </w:rPr>
        <w:t>.</w:t>
      </w:r>
    </w:p>
    <w:p w14:paraId="67349054" w14:textId="77777777" w:rsidR="00DB7D4D" w:rsidRDefault="00DB7D4D" w:rsidP="00766926">
      <w:pPr>
        <w:pStyle w:val="NormalWeb"/>
        <w:spacing w:before="0" w:beforeAutospacing="0" w:after="0" w:afterAutospacing="0"/>
        <w:ind w:left="1134" w:hanging="1134"/>
        <w:jc w:val="both"/>
        <w:rPr>
          <w:lang w:val="de-AT"/>
        </w:rPr>
      </w:pPr>
      <w:r w:rsidRPr="005430B1">
        <w:rPr>
          <w:lang w:val="de-AT"/>
        </w:rPr>
        <w:t>Opitz</w:t>
      </w:r>
      <w:r>
        <w:rPr>
          <w:lang w:val="de-AT"/>
        </w:rPr>
        <w:t xml:space="preserve"> </w:t>
      </w:r>
      <w:r w:rsidRPr="005430B1">
        <w:rPr>
          <w:lang w:val="de-AT"/>
        </w:rPr>
        <w:t xml:space="preserve">H.G., </w:t>
      </w:r>
      <w:r w:rsidRPr="005430B1">
        <w:rPr>
          <w:rStyle w:val="Emphasis"/>
          <w:lang w:val="de-AT"/>
        </w:rPr>
        <w:t>Athanasius Werke</w:t>
      </w:r>
      <w:r w:rsidRPr="005430B1">
        <w:rPr>
          <w:lang w:val="de-AT"/>
        </w:rPr>
        <w:t>, t. II, Berlin – Leipzig 1934</w:t>
      </w:r>
      <w:r>
        <w:rPr>
          <w:lang w:val="de-AT"/>
        </w:rPr>
        <w:t>.</w:t>
      </w:r>
      <w:r w:rsidRPr="005430B1">
        <w:rPr>
          <w:lang w:val="de-AT"/>
        </w:rPr>
        <w:t xml:space="preserve"> </w:t>
      </w:r>
    </w:p>
    <w:p w14:paraId="6691C85F" w14:textId="77777777" w:rsidR="00DB7D4D" w:rsidRPr="00766926" w:rsidRDefault="00DB7D4D" w:rsidP="00766926">
      <w:pPr>
        <w:pStyle w:val="NormalWeb"/>
        <w:spacing w:before="0" w:beforeAutospacing="0" w:after="0" w:afterAutospacing="0"/>
        <w:ind w:left="1134" w:hanging="1134"/>
        <w:jc w:val="both"/>
        <w:rPr>
          <w:rStyle w:val="Emphasis"/>
          <w:lang w:val="de-AT"/>
        </w:rPr>
      </w:pPr>
      <w:r w:rsidRPr="00766926">
        <w:rPr>
          <w:lang w:val="de-AT"/>
        </w:rPr>
        <w:t xml:space="preserve">Origenes, </w:t>
      </w:r>
      <w:r w:rsidRPr="00766926">
        <w:rPr>
          <w:rStyle w:val="Emphasis"/>
          <w:lang w:val="de-AT"/>
        </w:rPr>
        <w:t xml:space="preserve">Tract. in Ioh. I. </w:t>
      </w:r>
      <w:r>
        <w:rPr>
          <w:rStyle w:val="Emphasis"/>
          <w:i w:val="0"/>
          <w:iCs w:val="0"/>
          <w:lang w:val="de-AT"/>
        </w:rPr>
        <w:t xml:space="preserve">w: </w:t>
      </w:r>
      <w:r w:rsidRPr="00766926">
        <w:rPr>
          <w:rStyle w:val="Emphasis"/>
          <w:lang w:val="de-AT"/>
        </w:rPr>
        <w:t>Origenes Johanneskommentar</w:t>
      </w:r>
      <w:r w:rsidRPr="00766926">
        <w:rPr>
          <w:lang w:val="de-AT"/>
        </w:rPr>
        <w:t xml:space="preserve"> (STAC 63), </w:t>
      </w:r>
      <w:r w:rsidRPr="00766926">
        <w:rPr>
          <w:sz w:val="20"/>
          <w:szCs w:val="20"/>
          <w:lang w:val="de-AT"/>
        </w:rPr>
        <w:t>Tübingen</w:t>
      </w:r>
      <w:r w:rsidRPr="00766926">
        <w:rPr>
          <w:lang w:val="de-AT"/>
        </w:rPr>
        <w:t xml:space="preserve"> 2001,</w:t>
      </w:r>
    </w:p>
    <w:p w14:paraId="01C0C6E6" w14:textId="77777777" w:rsidR="00DB7D4D" w:rsidRDefault="00DB7D4D" w:rsidP="00766926">
      <w:pPr>
        <w:pStyle w:val="NormalWeb"/>
        <w:spacing w:before="0" w:beforeAutospacing="0" w:after="0" w:afterAutospacing="0"/>
        <w:ind w:left="1134" w:hanging="1134"/>
        <w:jc w:val="both"/>
        <w:rPr>
          <w:lang w:val="fr-FR"/>
        </w:rPr>
      </w:pPr>
      <w:r w:rsidRPr="005430B1">
        <w:rPr>
          <w:lang w:val="fr-FR"/>
        </w:rPr>
        <w:t xml:space="preserve">Orygenes, </w:t>
      </w:r>
      <w:r w:rsidRPr="005430B1">
        <w:rPr>
          <w:rStyle w:val="Emphasis"/>
          <w:lang w:val="fr-FR"/>
        </w:rPr>
        <w:t xml:space="preserve">De princ. I, 2, </w:t>
      </w:r>
      <w:proofErr w:type="gramStart"/>
      <w:r w:rsidRPr="005430B1">
        <w:rPr>
          <w:rStyle w:val="Emphasis"/>
          <w:lang w:val="fr-FR"/>
        </w:rPr>
        <w:t>2;</w:t>
      </w:r>
      <w:proofErr w:type="gramEnd"/>
      <w:r w:rsidRPr="005430B1">
        <w:rPr>
          <w:rStyle w:val="Emphasis"/>
          <w:lang w:val="fr-FR"/>
        </w:rPr>
        <w:t xml:space="preserve"> III, 5, </w:t>
      </w:r>
      <w:proofErr w:type="gramStart"/>
      <w:r w:rsidRPr="005430B1">
        <w:rPr>
          <w:rStyle w:val="Emphasis"/>
          <w:lang w:val="fr-FR"/>
        </w:rPr>
        <w:t>3;</w:t>
      </w:r>
      <w:proofErr w:type="gramEnd"/>
      <w:r w:rsidRPr="005430B1">
        <w:rPr>
          <w:rStyle w:val="Emphasis"/>
          <w:lang w:val="fr-FR"/>
        </w:rPr>
        <w:t xml:space="preserve"> IV, 4, 1</w:t>
      </w:r>
      <w:r w:rsidRPr="005430B1">
        <w:rPr>
          <w:lang w:val="fr-FR"/>
        </w:rPr>
        <w:t xml:space="preserve">. </w:t>
      </w:r>
    </w:p>
    <w:p w14:paraId="5B9B059F" w14:textId="77777777" w:rsidR="00DB7D4D" w:rsidRDefault="00DB7D4D" w:rsidP="00766926">
      <w:pPr>
        <w:pStyle w:val="NormalWeb"/>
        <w:spacing w:before="0" w:beforeAutospacing="0" w:after="0" w:afterAutospacing="0"/>
        <w:ind w:left="1134" w:hanging="1134"/>
        <w:jc w:val="both"/>
        <w:rPr>
          <w:lang w:val="de-AT"/>
        </w:rPr>
      </w:pPr>
      <w:r w:rsidRPr="005430B1">
        <w:rPr>
          <w:lang w:val="de-AT"/>
        </w:rPr>
        <w:t>Ratzinger</w:t>
      </w:r>
      <w:r>
        <w:rPr>
          <w:lang w:val="de-AT"/>
        </w:rPr>
        <w:t xml:space="preserve"> </w:t>
      </w:r>
      <w:r w:rsidRPr="005430B1">
        <w:rPr>
          <w:lang w:val="de-AT"/>
        </w:rPr>
        <w:t xml:space="preserve">J., </w:t>
      </w:r>
      <w:r w:rsidRPr="005430B1">
        <w:rPr>
          <w:rStyle w:val="Emphasis"/>
          <w:lang w:val="de-AT"/>
        </w:rPr>
        <w:t>Einführung ins Christentum</w:t>
      </w:r>
      <w:r w:rsidRPr="005430B1">
        <w:rPr>
          <w:lang w:val="de-AT"/>
        </w:rPr>
        <w:t>, München 2000</w:t>
      </w:r>
      <w:r>
        <w:rPr>
          <w:lang w:val="de-AT"/>
        </w:rPr>
        <w:t>.</w:t>
      </w:r>
    </w:p>
    <w:p w14:paraId="65339B13"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Ruhstorfer</w:t>
      </w:r>
      <w:r>
        <w:rPr>
          <w:lang w:val="de-AT"/>
        </w:rPr>
        <w:t xml:space="preserve"> </w:t>
      </w:r>
      <w:r w:rsidRPr="005430B1">
        <w:rPr>
          <w:lang w:val="de-AT"/>
        </w:rPr>
        <w:t xml:space="preserve">K., </w:t>
      </w:r>
      <w:r w:rsidRPr="005430B1">
        <w:rPr>
          <w:rStyle w:val="Emphasis"/>
          <w:lang w:val="de-AT"/>
        </w:rPr>
        <w:t>Christologie</w:t>
      </w:r>
      <w:r w:rsidRPr="005430B1">
        <w:rPr>
          <w:lang w:val="de-AT"/>
        </w:rPr>
        <w:t>,</w:t>
      </w:r>
      <w:r>
        <w:rPr>
          <w:lang w:val="de-AT"/>
        </w:rPr>
        <w:t xml:space="preserve"> Paderborn 2008</w:t>
      </w:r>
      <w:r w:rsidRPr="005430B1">
        <w:rPr>
          <w:lang w:val="de-AT"/>
        </w:rPr>
        <w:t>.</w:t>
      </w:r>
    </w:p>
    <w:p w14:paraId="07D1117B"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Schäfer</w:t>
      </w:r>
      <w:r>
        <w:rPr>
          <w:lang w:val="de-AT"/>
        </w:rPr>
        <w:t xml:space="preserve"> </w:t>
      </w:r>
      <w:r w:rsidRPr="005430B1">
        <w:rPr>
          <w:lang w:val="de-AT"/>
        </w:rPr>
        <w:t xml:space="preserve">P., </w:t>
      </w:r>
      <w:r w:rsidRPr="005430B1">
        <w:rPr>
          <w:rStyle w:val="Emphasis"/>
          <w:lang w:val="de-AT"/>
        </w:rPr>
        <w:t>Zwei Götter im Himmel. Gottesvorstellungen in der jüdischen Antike</w:t>
      </w:r>
      <w:r w:rsidRPr="005430B1">
        <w:rPr>
          <w:lang w:val="de-AT"/>
        </w:rPr>
        <w:t>, München 2017.</w:t>
      </w:r>
    </w:p>
    <w:p w14:paraId="7A984C89" w14:textId="77777777" w:rsidR="00DB7D4D" w:rsidRPr="00766926" w:rsidRDefault="00DB7D4D" w:rsidP="00766926">
      <w:pPr>
        <w:pStyle w:val="NormalWeb"/>
        <w:spacing w:before="0" w:beforeAutospacing="0" w:after="0" w:afterAutospacing="0"/>
        <w:ind w:left="1134" w:hanging="1134"/>
        <w:jc w:val="both"/>
        <w:rPr>
          <w:lang w:val="de-AT"/>
        </w:rPr>
      </w:pPr>
      <w:r w:rsidRPr="005430B1">
        <w:rPr>
          <w:lang w:val="de-AT"/>
        </w:rPr>
        <w:t>Schönborn</w:t>
      </w:r>
      <w:r>
        <w:rPr>
          <w:lang w:val="de-AT"/>
        </w:rPr>
        <w:t xml:space="preserve"> </w:t>
      </w:r>
      <w:r w:rsidRPr="005430B1">
        <w:rPr>
          <w:lang w:val="de-AT"/>
        </w:rPr>
        <w:t xml:space="preserve">C., </w:t>
      </w:r>
      <w:r w:rsidRPr="005430B1">
        <w:rPr>
          <w:rStyle w:val="Emphasis"/>
          <w:lang w:val="de-AT"/>
        </w:rPr>
        <w:t xml:space="preserve">Gott sandte seinen Sohn. </w:t>
      </w:r>
      <w:r w:rsidRPr="00766926">
        <w:rPr>
          <w:rStyle w:val="Emphasis"/>
          <w:lang w:val="de-AT"/>
        </w:rPr>
        <w:t>Christologie</w:t>
      </w:r>
      <w:r w:rsidRPr="00766926">
        <w:rPr>
          <w:lang w:val="de-AT"/>
        </w:rPr>
        <w:t>, Paderborn 2002.</w:t>
      </w:r>
    </w:p>
    <w:p w14:paraId="3FBD0E18" w14:textId="77777777" w:rsidR="00DB7D4D" w:rsidRPr="005430B1" w:rsidRDefault="00DB7D4D" w:rsidP="00766926">
      <w:pPr>
        <w:pStyle w:val="NormalWeb"/>
        <w:spacing w:before="0" w:beforeAutospacing="0" w:after="0" w:afterAutospacing="0"/>
        <w:ind w:left="1134" w:hanging="1134"/>
        <w:jc w:val="both"/>
        <w:rPr>
          <w:lang w:val="en-US"/>
        </w:rPr>
      </w:pPr>
      <w:r w:rsidRPr="005430B1">
        <w:rPr>
          <w:lang w:val="en-US"/>
        </w:rPr>
        <w:t>Stern</w:t>
      </w:r>
      <w:r>
        <w:rPr>
          <w:lang w:val="en-US"/>
        </w:rPr>
        <w:t xml:space="preserve"> S.</w:t>
      </w:r>
      <w:r w:rsidRPr="005430B1">
        <w:rPr>
          <w:lang w:val="en-US"/>
        </w:rPr>
        <w:t xml:space="preserve">, </w:t>
      </w:r>
      <w:r w:rsidRPr="005430B1">
        <w:rPr>
          <w:rStyle w:val="Emphasis"/>
          <w:lang w:val="en-US"/>
        </w:rPr>
        <w:t>Calendar and Community. A History of the Jewish Calendar. Second Century BCE – Tenth Century CE</w:t>
      </w:r>
      <w:r w:rsidRPr="005430B1">
        <w:rPr>
          <w:lang w:val="en-US"/>
        </w:rPr>
        <w:t>, Oxford 2001.</w:t>
      </w:r>
    </w:p>
    <w:p w14:paraId="52D27EF7" w14:textId="77777777" w:rsidR="00DB7D4D" w:rsidRDefault="00DB7D4D" w:rsidP="00766926">
      <w:pPr>
        <w:pStyle w:val="NormalWeb"/>
        <w:spacing w:before="0" w:beforeAutospacing="0" w:after="0" w:afterAutospacing="0"/>
        <w:ind w:left="1134" w:hanging="1134"/>
        <w:jc w:val="both"/>
        <w:rPr>
          <w:lang w:val="de-AT"/>
        </w:rPr>
      </w:pPr>
      <w:r w:rsidRPr="005430B1">
        <w:rPr>
          <w:lang w:val="de-AT"/>
        </w:rPr>
        <w:t>Stoll</w:t>
      </w:r>
      <w:r>
        <w:rPr>
          <w:lang w:val="de-AT"/>
        </w:rPr>
        <w:t xml:space="preserve"> </w:t>
      </w:r>
      <w:r w:rsidRPr="005430B1">
        <w:rPr>
          <w:lang w:val="de-AT"/>
        </w:rPr>
        <w:t xml:space="preserve">C., </w:t>
      </w:r>
      <w:r w:rsidRPr="005430B1">
        <w:rPr>
          <w:rStyle w:val="Emphasis"/>
          <w:lang w:val="de-AT"/>
        </w:rPr>
        <w:t>Die Öffentlichkeit der Christus-Krise: Erik Petersons eschatologischer Kirchenbegriff im Kontext der Moderne</w:t>
      </w:r>
      <w:r w:rsidRPr="005430B1">
        <w:rPr>
          <w:lang w:val="de-AT"/>
        </w:rPr>
        <w:t>, Paderborn 2017</w:t>
      </w:r>
      <w:r>
        <w:rPr>
          <w:lang w:val="de-AT"/>
        </w:rPr>
        <w:t>.</w:t>
      </w:r>
    </w:p>
    <w:p w14:paraId="705DB82C" w14:textId="77777777" w:rsidR="00DB7D4D" w:rsidRPr="00766926" w:rsidRDefault="00DB7D4D" w:rsidP="00766926">
      <w:pPr>
        <w:pStyle w:val="NormalWeb"/>
        <w:spacing w:before="0" w:beforeAutospacing="0" w:after="0" w:afterAutospacing="0"/>
        <w:ind w:left="1134" w:hanging="1134"/>
        <w:jc w:val="both"/>
        <w:rPr>
          <w:lang w:val="de-AT"/>
        </w:rPr>
      </w:pPr>
      <w:r w:rsidRPr="00766926">
        <w:rPr>
          <w:lang w:val="de-AT"/>
        </w:rPr>
        <w:t>Taylor</w:t>
      </w:r>
      <w:r>
        <w:rPr>
          <w:lang w:val="de-AT"/>
        </w:rPr>
        <w:t xml:space="preserve"> </w:t>
      </w:r>
      <w:r w:rsidRPr="00766926">
        <w:rPr>
          <w:lang w:val="de-AT"/>
        </w:rPr>
        <w:t xml:space="preserve">C., </w:t>
      </w:r>
      <w:r w:rsidRPr="00766926">
        <w:rPr>
          <w:rStyle w:val="Emphasis"/>
          <w:lang w:val="de-AT"/>
        </w:rPr>
        <w:t>Ein säkulares Zeitalter</w:t>
      </w:r>
      <w:r>
        <w:rPr>
          <w:lang w:val="de-AT"/>
        </w:rPr>
        <w:t>, Frankfurt/M. 2009</w:t>
      </w:r>
      <w:r w:rsidRPr="00766926">
        <w:rPr>
          <w:lang w:val="de-AT"/>
        </w:rPr>
        <w:t>.</w:t>
      </w:r>
    </w:p>
    <w:p w14:paraId="566F6625"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Tück</w:t>
      </w:r>
      <w:r>
        <w:rPr>
          <w:lang w:val="de-AT"/>
        </w:rPr>
        <w:t xml:space="preserve"> </w:t>
      </w:r>
      <w:r w:rsidRPr="005430B1">
        <w:rPr>
          <w:lang w:val="de-AT"/>
        </w:rPr>
        <w:t xml:space="preserve">J.H. (red.), </w:t>
      </w:r>
      <w:r w:rsidRPr="005430B1">
        <w:rPr>
          <w:rStyle w:val="Emphasis"/>
          <w:lang w:val="de-AT"/>
        </w:rPr>
        <w:t>Annäherungen an Jesus von Nazareth. Das Jesus-Buch des Papstes in der Diskussion</w:t>
      </w:r>
      <w:r w:rsidRPr="005430B1">
        <w:rPr>
          <w:lang w:val="de-AT"/>
        </w:rPr>
        <w:t>, Ostfilder</w:t>
      </w:r>
      <w:r>
        <w:rPr>
          <w:lang w:val="de-AT"/>
        </w:rPr>
        <w:t>n 2008.</w:t>
      </w:r>
    </w:p>
    <w:p w14:paraId="0AAE8484" w14:textId="77777777" w:rsidR="00DB7D4D" w:rsidRDefault="00DB7D4D" w:rsidP="00766926">
      <w:pPr>
        <w:pStyle w:val="NormalWeb"/>
        <w:spacing w:before="0" w:beforeAutospacing="0" w:after="0" w:afterAutospacing="0"/>
        <w:ind w:left="1134" w:hanging="1134"/>
        <w:jc w:val="both"/>
        <w:rPr>
          <w:lang w:val="de-AT"/>
        </w:rPr>
      </w:pPr>
      <w:r w:rsidRPr="005430B1">
        <w:rPr>
          <w:lang w:val="de-AT"/>
        </w:rPr>
        <w:t>Tück</w:t>
      </w:r>
      <w:r>
        <w:rPr>
          <w:lang w:val="de-AT"/>
        </w:rPr>
        <w:t xml:space="preserve"> </w:t>
      </w:r>
      <w:r w:rsidRPr="005430B1">
        <w:rPr>
          <w:lang w:val="de-AT"/>
        </w:rPr>
        <w:t xml:space="preserve">J.H., </w:t>
      </w:r>
      <w:r w:rsidRPr="005430B1">
        <w:rPr>
          <w:rStyle w:val="Emphasis"/>
          <w:lang w:val="de-AT"/>
        </w:rPr>
        <w:t>Auch der Sohn gehört in das Evangelium. Joseph Ratzingers Jesus-Buch als Anti-These zu Adolf von Harnack</w:t>
      </w:r>
      <w:r w:rsidRPr="005430B1">
        <w:rPr>
          <w:lang w:val="de-AT"/>
        </w:rPr>
        <w:t xml:space="preserve">, w: J.H. Tück. (red.), </w:t>
      </w:r>
      <w:r w:rsidRPr="005430B1">
        <w:rPr>
          <w:rStyle w:val="Emphasis"/>
          <w:lang w:val="de-AT"/>
        </w:rPr>
        <w:t>Annäherungen an Jesus von Nazareth. Das Jesus-Buch des Papstes in der Diskussion</w:t>
      </w:r>
      <w:r w:rsidRPr="005430B1">
        <w:rPr>
          <w:lang w:val="de-AT"/>
        </w:rPr>
        <w:t>, Ostfilder</w:t>
      </w:r>
      <w:r>
        <w:rPr>
          <w:lang w:val="de-AT"/>
        </w:rPr>
        <w:t>n 2008, s. 155–181</w:t>
      </w:r>
      <w:r w:rsidRPr="005430B1">
        <w:rPr>
          <w:lang w:val="de-AT"/>
        </w:rPr>
        <w:t>.</w:t>
      </w:r>
    </w:p>
    <w:p w14:paraId="641E8515"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Tück</w:t>
      </w:r>
      <w:r>
        <w:rPr>
          <w:lang w:val="de-AT"/>
        </w:rPr>
        <w:t xml:space="preserve"> </w:t>
      </w:r>
      <w:r w:rsidRPr="005430B1">
        <w:rPr>
          <w:lang w:val="de-AT"/>
        </w:rPr>
        <w:t xml:space="preserve">J.H., </w:t>
      </w:r>
      <w:r w:rsidRPr="00766926">
        <w:rPr>
          <w:i/>
          <w:iCs/>
          <w:lang w:val="de-AT"/>
        </w:rPr>
        <w:t>Beschneidung Jesu. Was sie Juden und Christen heute bedeutet</w:t>
      </w:r>
      <w:r w:rsidRPr="005430B1">
        <w:rPr>
          <w:lang w:val="de-AT"/>
        </w:rPr>
        <w:t>, Freiburg i. Br. 2020.</w:t>
      </w:r>
    </w:p>
    <w:p w14:paraId="01E45B43" w14:textId="77777777" w:rsidR="00DB7D4D" w:rsidRPr="005430B1" w:rsidRDefault="00DB7D4D" w:rsidP="00766926">
      <w:pPr>
        <w:pStyle w:val="NormalWeb"/>
        <w:spacing w:before="0" w:beforeAutospacing="0" w:after="0" w:afterAutospacing="0"/>
        <w:ind w:left="1134" w:hanging="1134"/>
        <w:jc w:val="both"/>
        <w:rPr>
          <w:lang w:val="de-AT"/>
        </w:rPr>
      </w:pPr>
      <w:r w:rsidRPr="005430B1">
        <w:rPr>
          <w:lang w:val="de-AT"/>
        </w:rPr>
        <w:t>Tück</w:t>
      </w:r>
      <w:r>
        <w:rPr>
          <w:lang w:val="de-AT"/>
        </w:rPr>
        <w:t xml:space="preserve"> </w:t>
      </w:r>
      <w:r w:rsidRPr="005430B1">
        <w:rPr>
          <w:lang w:val="de-AT"/>
        </w:rPr>
        <w:t>J.H.</w:t>
      </w:r>
      <w:r>
        <w:rPr>
          <w:lang w:val="de-AT"/>
        </w:rPr>
        <w:t>,</w:t>
      </w:r>
      <w:r w:rsidRPr="005430B1">
        <w:rPr>
          <w:lang w:val="de-AT"/>
        </w:rPr>
        <w:t xml:space="preserve"> </w:t>
      </w:r>
      <w:r w:rsidRPr="005430B1">
        <w:rPr>
          <w:rStyle w:val="Emphasis"/>
          <w:lang w:val="de-AT"/>
        </w:rPr>
        <w:t>Gottes Wohnen unter uns. Jüdische Theologie der Einwohnung und christliche Inkarnationstheologie im Gespräch</w:t>
      </w:r>
      <w:r w:rsidRPr="005430B1">
        <w:rPr>
          <w:lang w:val="de-AT"/>
        </w:rPr>
        <w:t xml:space="preserve">, w: </w:t>
      </w:r>
      <w:r w:rsidRPr="005430B1">
        <w:rPr>
          <w:rStyle w:val="Emphasis"/>
          <w:lang w:val="de-AT"/>
        </w:rPr>
        <w:t>Kirche und Israel</w:t>
      </w:r>
      <w:r w:rsidRPr="005430B1">
        <w:rPr>
          <w:lang w:val="de-AT"/>
        </w:rPr>
        <w:t xml:space="preserve"> 47 (2022), s. 42–59.</w:t>
      </w:r>
    </w:p>
    <w:p w14:paraId="308DCAA5" w14:textId="77777777" w:rsidR="00DB7D4D" w:rsidRDefault="00DB7D4D" w:rsidP="00766926">
      <w:pPr>
        <w:pStyle w:val="NormalWeb"/>
        <w:spacing w:before="0" w:beforeAutospacing="0" w:after="0" w:afterAutospacing="0"/>
        <w:ind w:left="1134" w:hanging="1134"/>
        <w:jc w:val="both"/>
        <w:rPr>
          <w:lang w:val="de-AT"/>
        </w:rPr>
      </w:pPr>
      <w:r w:rsidRPr="005430B1">
        <w:rPr>
          <w:lang w:val="de-AT"/>
        </w:rPr>
        <w:t>Vermes</w:t>
      </w:r>
      <w:r>
        <w:rPr>
          <w:lang w:val="de-AT"/>
        </w:rPr>
        <w:t xml:space="preserve"> G.,</w:t>
      </w:r>
      <w:r w:rsidRPr="005430B1">
        <w:rPr>
          <w:lang w:val="de-AT"/>
        </w:rPr>
        <w:t xml:space="preserve"> </w:t>
      </w:r>
      <w:r w:rsidRPr="005430B1">
        <w:rPr>
          <w:rStyle w:val="Emphasis"/>
          <w:lang w:val="de-AT"/>
        </w:rPr>
        <w:t>Vom Jesus der Geschichte zum Christus des Dogmas</w:t>
      </w:r>
      <w:r w:rsidRPr="005430B1">
        <w:rPr>
          <w:lang w:val="de-AT"/>
        </w:rPr>
        <w:t>, Berlin 2016</w:t>
      </w:r>
      <w:r>
        <w:rPr>
          <w:lang w:val="de-AT"/>
        </w:rPr>
        <w:t>.</w:t>
      </w:r>
    </w:p>
    <w:p w14:paraId="4AA3E35A" w14:textId="77777777" w:rsidR="00DB7D4D" w:rsidRDefault="00DB7D4D" w:rsidP="00766926">
      <w:pPr>
        <w:pStyle w:val="FootnoteText"/>
        <w:ind w:left="1134" w:hanging="1134"/>
        <w:jc w:val="both"/>
        <w:rPr>
          <w:rFonts w:ascii="Times New Roman" w:hAnsi="Times New Roman" w:cs="Times New Roman"/>
          <w:sz w:val="24"/>
          <w:szCs w:val="24"/>
          <w:lang w:val="fr-FR"/>
        </w:rPr>
      </w:pPr>
      <w:r w:rsidRPr="005430B1">
        <w:rPr>
          <w:rFonts w:ascii="Times New Roman" w:hAnsi="Times New Roman" w:cs="Times New Roman"/>
          <w:sz w:val="24"/>
          <w:szCs w:val="24"/>
          <w:lang w:val="fr-FR"/>
        </w:rPr>
        <w:t xml:space="preserve">Voltaire, </w:t>
      </w:r>
      <w:r w:rsidRPr="005430B1">
        <w:rPr>
          <w:rFonts w:ascii="Times New Roman" w:hAnsi="Times New Roman" w:cs="Times New Roman"/>
          <w:i/>
          <w:sz w:val="24"/>
          <w:szCs w:val="24"/>
          <w:lang w:val="fr-FR"/>
        </w:rPr>
        <w:t>Dieu et les hommes</w:t>
      </w:r>
      <w:r w:rsidRPr="005430B1">
        <w:rPr>
          <w:rFonts w:ascii="Times New Roman" w:hAnsi="Times New Roman" w:cs="Times New Roman"/>
          <w:sz w:val="24"/>
          <w:szCs w:val="24"/>
          <w:lang w:val="fr-FR"/>
        </w:rPr>
        <w:t>, Firming-Didot, t. 6, Paryż 1875</w:t>
      </w:r>
      <w:r>
        <w:rPr>
          <w:rFonts w:ascii="Times New Roman" w:hAnsi="Times New Roman" w:cs="Times New Roman"/>
          <w:sz w:val="24"/>
          <w:szCs w:val="24"/>
          <w:lang w:val="fr-FR"/>
        </w:rPr>
        <w:t>.</w:t>
      </w:r>
    </w:p>
    <w:p w14:paraId="0C55C226" w14:textId="77777777" w:rsidR="00386667" w:rsidRPr="00DB7D4D" w:rsidRDefault="00386667" w:rsidP="00F02171">
      <w:pPr>
        <w:rPr>
          <w:rFonts w:ascii="Times New Roman" w:hAnsi="Times New Roman" w:cs="Times New Roman"/>
          <w:sz w:val="24"/>
          <w:szCs w:val="24"/>
          <w:lang w:val="fr-FR"/>
        </w:rPr>
      </w:pPr>
    </w:p>
    <w:p w14:paraId="5105E619" w14:textId="77777777" w:rsidR="00A3294F" w:rsidRPr="00DB7D4D" w:rsidRDefault="00A3294F" w:rsidP="006756F7">
      <w:pPr>
        <w:jc w:val="both"/>
        <w:rPr>
          <w:rFonts w:ascii="Times New Roman" w:hAnsi="Times New Roman" w:cs="Times New Roman"/>
          <w:sz w:val="24"/>
          <w:szCs w:val="24"/>
          <w:lang w:val="fr-FR"/>
        </w:rPr>
      </w:pPr>
    </w:p>
    <w:sectPr w:rsidR="00A3294F" w:rsidRPr="00DB7D4D" w:rsidSect="00A329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FF3C" w14:textId="77777777" w:rsidR="00034E32" w:rsidRDefault="00034E32" w:rsidP="004764FA">
      <w:pPr>
        <w:spacing w:after="0" w:line="240" w:lineRule="auto"/>
      </w:pPr>
      <w:r>
        <w:separator/>
      </w:r>
    </w:p>
  </w:endnote>
  <w:endnote w:type="continuationSeparator" w:id="0">
    <w:p w14:paraId="4EB4282A" w14:textId="77777777" w:rsidR="00034E32" w:rsidRDefault="00034E32" w:rsidP="0047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00"/>
    <w:family w:val="swiss"/>
    <w:notTrueType/>
    <w:pitch w:val="variable"/>
    <w:sig w:usb0="E10002FF" w:usb1="5000ECFF" w:usb2="00000021" w:usb3="00000000" w:csb0="0000019F" w:csb1="00000000"/>
  </w:font>
  <w:font w:name="Bembo Std">
    <w:altName w:val="Bembo Std"/>
    <w:panose1 w:val="020B0604020202020204"/>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A833" w14:textId="77777777" w:rsidR="00034E32" w:rsidRDefault="00034E32" w:rsidP="004764FA">
      <w:pPr>
        <w:spacing w:after="0" w:line="240" w:lineRule="auto"/>
      </w:pPr>
      <w:r>
        <w:separator/>
      </w:r>
    </w:p>
  </w:footnote>
  <w:footnote w:type="continuationSeparator" w:id="0">
    <w:p w14:paraId="4AF6F203" w14:textId="77777777" w:rsidR="00034E32" w:rsidRDefault="00034E32" w:rsidP="004764FA">
      <w:pPr>
        <w:spacing w:after="0" w:line="240" w:lineRule="auto"/>
      </w:pPr>
      <w:r>
        <w:continuationSeparator/>
      </w:r>
    </w:p>
  </w:footnote>
  <w:footnote w:id="1">
    <w:p w14:paraId="0B751CED" w14:textId="77777777" w:rsidR="004764FA" w:rsidRPr="005430B1" w:rsidRDefault="004764FA" w:rsidP="002A4143">
      <w:pPr>
        <w:pStyle w:val="FootnoteText"/>
        <w:jc w:val="both"/>
        <w:rPr>
          <w:rFonts w:ascii="Times New Roman" w:hAnsi="Times New Roman" w:cs="Times New Roman"/>
        </w:rPr>
      </w:pPr>
      <w:r w:rsidRPr="005430B1">
        <w:rPr>
          <w:rStyle w:val="FootnoteReference"/>
          <w:rFonts w:ascii="Times New Roman" w:hAnsi="Times New Roman" w:cs="Times New Roman"/>
        </w:rPr>
        <w:footnoteRef/>
      </w:r>
      <w:r w:rsidRPr="005430B1">
        <w:rPr>
          <w:rFonts w:ascii="Times New Roman" w:hAnsi="Times New Roman" w:cs="Times New Roman"/>
          <w:lang w:val="fr-FR"/>
        </w:rPr>
        <w:t xml:space="preserve"> </w:t>
      </w:r>
      <w:r w:rsidR="002A4143" w:rsidRPr="005430B1">
        <w:rPr>
          <w:rFonts w:ascii="Times New Roman" w:hAnsi="Times New Roman" w:cs="Times New Roman"/>
          <w:lang w:val="fr-FR"/>
        </w:rPr>
        <w:t xml:space="preserve">Voltaire, </w:t>
      </w:r>
      <w:r w:rsidR="002A4143" w:rsidRPr="005430B1">
        <w:rPr>
          <w:rFonts w:ascii="Times New Roman" w:hAnsi="Times New Roman" w:cs="Times New Roman"/>
          <w:i/>
          <w:lang w:val="fr-FR"/>
        </w:rPr>
        <w:t>Dieu et les hommes</w:t>
      </w:r>
      <w:r w:rsidR="002A4143" w:rsidRPr="005430B1">
        <w:rPr>
          <w:rFonts w:ascii="Times New Roman" w:hAnsi="Times New Roman" w:cs="Times New Roman"/>
          <w:lang w:val="fr-FR"/>
        </w:rPr>
        <w:t xml:space="preserve">, rozdz. XI (= </w:t>
      </w:r>
      <w:r w:rsidR="002A4143" w:rsidRPr="005430B1">
        <w:rPr>
          <w:rFonts w:ascii="Times New Roman" w:hAnsi="Times New Roman" w:cs="Times New Roman"/>
          <w:i/>
          <w:lang w:val="fr-FR"/>
        </w:rPr>
        <w:t xml:space="preserve">OEuvres </w:t>
      </w:r>
      <w:r w:rsidR="002A4143" w:rsidRPr="005430B1">
        <w:rPr>
          <w:rFonts w:ascii="Times New Roman" w:hAnsi="Times New Roman" w:cs="Times New Roman"/>
          <w:lang w:val="fr-FR"/>
        </w:rPr>
        <w:t xml:space="preserve">complètes, éd. Firming-Didot, t. 6, Paryż 1875, 217-211, tutaj 261). </w:t>
      </w:r>
      <w:r w:rsidR="002A4143" w:rsidRPr="005430B1">
        <w:rPr>
          <w:rFonts w:ascii="Times New Roman" w:hAnsi="Times New Roman" w:cs="Times New Roman"/>
        </w:rPr>
        <w:t>Kpiąca uwaga Voltaire'a ma jednak głębokie poczucie obraźliwości związanej z wiarą we Wcielenie i judaizacją Logosu Boga; wraz z jego polemiką z kontrowersją ariańską jako sporem o „cień osła”, tęskni on również za teologicznym znaczeniem sporu.</w:t>
      </w:r>
    </w:p>
  </w:footnote>
  <w:footnote w:id="2">
    <w:p w14:paraId="26E35590" w14:textId="77777777" w:rsidR="00FF6858" w:rsidRPr="005430B1" w:rsidRDefault="00FF6858" w:rsidP="005430B1">
      <w:pPr>
        <w:pStyle w:val="FootnoteText"/>
        <w:jc w:val="both"/>
        <w:rPr>
          <w:rFonts w:ascii="Times New Roman" w:hAnsi="Times New Roman" w:cs="Times New Roman"/>
          <w:lang w:val="de-AT"/>
        </w:rPr>
      </w:pPr>
      <w:r w:rsidRPr="005430B1">
        <w:rPr>
          <w:rStyle w:val="FootnoteReference"/>
          <w:rFonts w:ascii="Times New Roman" w:hAnsi="Times New Roman" w:cs="Times New Roman"/>
        </w:rPr>
        <w:footnoteRef/>
      </w:r>
      <w:r w:rsidRPr="005430B1">
        <w:rPr>
          <w:rFonts w:ascii="Times New Roman" w:hAnsi="Times New Roman" w:cs="Times New Roman"/>
          <w:lang w:val="en-US"/>
        </w:rPr>
        <w:t xml:space="preserve"> </w:t>
      </w:r>
      <w:r w:rsidR="00120C66" w:rsidRPr="005430B1">
        <w:rPr>
          <w:rFonts w:ascii="Times New Roman" w:hAnsi="Times New Roman" w:cs="Times New Roman"/>
          <w:color w:val="000000"/>
          <w:lang w:val="en-US"/>
        </w:rPr>
        <w:t xml:space="preserve">Athanasius, </w:t>
      </w:r>
      <w:r w:rsidR="00120C66" w:rsidRPr="005430B1">
        <w:rPr>
          <w:rFonts w:ascii="Times New Roman" w:hAnsi="Times New Roman" w:cs="Times New Roman"/>
          <w:i/>
          <w:iCs/>
          <w:color w:val="000000"/>
          <w:lang w:val="en-US"/>
        </w:rPr>
        <w:t xml:space="preserve">Orationes contra Arianos </w:t>
      </w:r>
      <w:r w:rsidR="00120C66" w:rsidRPr="005430B1">
        <w:rPr>
          <w:rFonts w:ascii="Times New Roman" w:hAnsi="Times New Roman" w:cs="Times New Roman"/>
          <w:color w:val="000000"/>
          <w:lang w:val="en-US"/>
        </w:rPr>
        <w:t xml:space="preserve">1, 8 (MG 26, 25c); 3, 27–28 (380c–384b) </w:t>
      </w:r>
      <w:r w:rsidR="00120C66" w:rsidRPr="005430B1">
        <w:rPr>
          <w:rFonts w:ascii="Times New Roman" w:hAnsi="Times New Roman" w:cs="Times New Roman"/>
          <w:lang w:val="en-US"/>
        </w:rPr>
        <w:t xml:space="preserve">i inne. </w:t>
      </w:r>
      <w:r w:rsidR="00120C66" w:rsidRPr="005430B1">
        <w:rPr>
          <w:rFonts w:ascii="Times New Roman" w:hAnsi="Times New Roman" w:cs="Times New Roman"/>
        </w:rPr>
        <w:t>Już wcześniej Aleksander z Aleksandrii wysuwał zarzut judaizowania, por.</w:t>
      </w:r>
      <w:r w:rsidR="00766926">
        <w:rPr>
          <w:rFonts w:ascii="Times New Roman" w:hAnsi="Times New Roman" w:cs="Times New Roman"/>
        </w:rPr>
        <w:t xml:space="preserve"> </w:t>
      </w:r>
      <w:r w:rsidR="00766926" w:rsidRPr="00766926">
        <w:rPr>
          <w:rFonts w:ascii="Times New Roman" w:hAnsi="Times New Roman" w:cs="Times New Roman"/>
        </w:rPr>
        <w:t>H.G.</w:t>
      </w:r>
      <w:r w:rsidR="00120C66" w:rsidRPr="005430B1">
        <w:rPr>
          <w:rFonts w:ascii="Times New Roman" w:hAnsi="Times New Roman" w:cs="Times New Roman"/>
        </w:rPr>
        <w:t xml:space="preserve"> Opitz, </w:t>
      </w:r>
      <w:r w:rsidR="00120C66" w:rsidRPr="005430B1">
        <w:rPr>
          <w:rStyle w:val="Emphasis"/>
          <w:rFonts w:ascii="Times New Roman" w:hAnsi="Times New Roman" w:cs="Times New Roman"/>
        </w:rPr>
        <w:t>Dokument 14, 4</w:t>
      </w:r>
      <w:r w:rsidR="00120C66" w:rsidRPr="005430B1">
        <w:rPr>
          <w:rFonts w:ascii="Times New Roman" w:hAnsi="Times New Roman" w:cs="Times New Roman"/>
        </w:rPr>
        <w:t xml:space="preserve">. </w:t>
      </w:r>
      <w:r w:rsidR="005B1E57" w:rsidRPr="005430B1">
        <w:rPr>
          <w:rFonts w:ascii="Times New Roman" w:hAnsi="Times New Roman" w:cs="Times New Roman"/>
          <w:lang w:val="de-AT"/>
        </w:rPr>
        <w:t>Tłem jest praca R.</w:t>
      </w:r>
      <w:r w:rsidR="00120C66" w:rsidRPr="005430B1">
        <w:rPr>
          <w:rFonts w:ascii="Times New Roman" w:hAnsi="Times New Roman" w:cs="Times New Roman"/>
          <w:lang w:val="de-AT"/>
        </w:rPr>
        <w:t xml:space="preserve"> Lorenza, </w:t>
      </w:r>
      <w:r w:rsidR="00120C66" w:rsidRPr="005430B1">
        <w:rPr>
          <w:rFonts w:ascii="Times New Roman" w:hAnsi="Times New Roman" w:cs="Times New Roman"/>
          <w:i/>
          <w:iCs/>
          <w:color w:val="000000"/>
          <w:lang w:val="de-AT"/>
        </w:rPr>
        <w:t>Arius judaizans? Untersuchungen zur dogmengeschichtlichen Einordnung des Arius</w:t>
      </w:r>
      <w:r w:rsidR="00120C66" w:rsidRPr="005430B1">
        <w:rPr>
          <w:rFonts w:ascii="Times New Roman" w:hAnsi="Times New Roman" w:cs="Times New Roman"/>
          <w:color w:val="000000"/>
          <w:lang w:val="de-AT"/>
        </w:rPr>
        <w:t xml:space="preserve">, </w:t>
      </w:r>
      <w:r w:rsidR="005430B1" w:rsidRPr="005430B1">
        <w:rPr>
          <w:rFonts w:ascii="Times New Roman" w:hAnsi="Times New Roman" w:cs="Times New Roman"/>
          <w:lang w:val="de-AT"/>
        </w:rPr>
        <w:t>Göttingen</w:t>
      </w:r>
      <w:r w:rsidR="00120C66" w:rsidRPr="005430B1">
        <w:rPr>
          <w:rFonts w:ascii="Times New Roman" w:hAnsi="Times New Roman" w:cs="Times New Roman"/>
          <w:lang w:val="de-AT"/>
        </w:rPr>
        <w:t xml:space="preserve"> 1979.</w:t>
      </w:r>
    </w:p>
  </w:footnote>
  <w:footnote w:id="3">
    <w:p w14:paraId="7A564841" w14:textId="77777777" w:rsidR="000E45B6" w:rsidRPr="00BA1F4D" w:rsidRDefault="000E45B6" w:rsidP="004F599F">
      <w:pPr>
        <w:pStyle w:val="NormalWeb"/>
        <w:spacing w:before="0" w:beforeAutospacing="0" w:after="0" w:afterAutospacing="0"/>
        <w:jc w:val="both"/>
        <w:rPr>
          <w:sz w:val="20"/>
          <w:szCs w:val="20"/>
          <w:lang w:val="en-GB"/>
        </w:rPr>
      </w:pPr>
      <w:r w:rsidRPr="005430B1">
        <w:rPr>
          <w:rStyle w:val="FootnoteReference"/>
          <w:sz w:val="20"/>
          <w:szCs w:val="20"/>
        </w:rPr>
        <w:footnoteRef/>
      </w:r>
      <w:r w:rsidRPr="005430B1">
        <w:rPr>
          <w:sz w:val="20"/>
          <w:szCs w:val="20"/>
          <w:lang w:val="fr-FR"/>
        </w:rPr>
        <w:t xml:space="preserve"> </w:t>
      </w:r>
      <w:r w:rsidR="001350E0" w:rsidRPr="005430B1">
        <w:rPr>
          <w:sz w:val="20"/>
          <w:szCs w:val="20"/>
          <w:lang w:val="fr-FR"/>
        </w:rPr>
        <w:t xml:space="preserve">Euzebiusz, </w:t>
      </w:r>
      <w:r w:rsidR="001350E0" w:rsidRPr="005430B1">
        <w:rPr>
          <w:rStyle w:val="Emphasis"/>
          <w:sz w:val="20"/>
          <w:szCs w:val="20"/>
          <w:lang w:val="fr-FR"/>
        </w:rPr>
        <w:t>Vita Constantini</w:t>
      </w:r>
      <w:r w:rsidR="001350E0" w:rsidRPr="005430B1">
        <w:rPr>
          <w:sz w:val="20"/>
          <w:szCs w:val="20"/>
          <w:lang w:val="fr-FR"/>
        </w:rPr>
        <w:t xml:space="preserve"> 3, 5,1 (FC 83, wyd. </w:t>
      </w:r>
      <w:r w:rsidR="001350E0" w:rsidRPr="00BA1F4D">
        <w:rPr>
          <w:sz w:val="20"/>
          <w:szCs w:val="20"/>
          <w:lang w:val="en-GB"/>
        </w:rPr>
        <w:t>Horst Schneider, 2007, s. 315).</w:t>
      </w:r>
    </w:p>
  </w:footnote>
  <w:footnote w:id="4">
    <w:p w14:paraId="5B1EE8BD" w14:textId="77777777" w:rsidR="000A208A" w:rsidRPr="005430B1" w:rsidRDefault="000A208A" w:rsidP="00C04953">
      <w:pPr>
        <w:pStyle w:val="NormalWeb"/>
        <w:spacing w:before="0" w:beforeAutospacing="0" w:after="0" w:afterAutospacing="0"/>
        <w:jc w:val="both"/>
        <w:rPr>
          <w:sz w:val="20"/>
          <w:szCs w:val="20"/>
          <w:lang w:val="en-US"/>
        </w:rPr>
      </w:pPr>
      <w:r w:rsidRPr="005430B1">
        <w:rPr>
          <w:rStyle w:val="FootnoteReference"/>
          <w:sz w:val="20"/>
          <w:szCs w:val="20"/>
        </w:rPr>
        <w:footnoteRef/>
      </w:r>
      <w:r w:rsidRPr="00BA1F4D">
        <w:rPr>
          <w:sz w:val="20"/>
          <w:szCs w:val="20"/>
          <w:lang w:val="en-GB"/>
        </w:rPr>
        <w:t xml:space="preserve"> </w:t>
      </w:r>
      <w:r w:rsidR="004F599F" w:rsidRPr="00BA1F4D">
        <w:rPr>
          <w:sz w:val="20"/>
          <w:szCs w:val="20"/>
          <w:lang w:val="en-GB"/>
        </w:rPr>
        <w:t xml:space="preserve">Euzebiusz, </w:t>
      </w:r>
      <w:r w:rsidR="004F599F" w:rsidRPr="00BA1F4D">
        <w:rPr>
          <w:rStyle w:val="Emphasis"/>
          <w:sz w:val="20"/>
          <w:szCs w:val="20"/>
          <w:lang w:val="en-GB"/>
        </w:rPr>
        <w:t>Vita Constantini</w:t>
      </w:r>
      <w:r w:rsidR="004F599F" w:rsidRPr="00BA1F4D">
        <w:rPr>
          <w:sz w:val="20"/>
          <w:szCs w:val="20"/>
          <w:lang w:val="en-GB"/>
        </w:rPr>
        <w:t xml:space="preserve"> 3, 18, 2 (FC 83, s. 353). </w:t>
      </w:r>
      <w:r w:rsidR="004F599F" w:rsidRPr="005430B1">
        <w:rPr>
          <w:sz w:val="20"/>
          <w:szCs w:val="20"/>
        </w:rPr>
        <w:t>Dalej czytamy: „Ponieważ otrzymaliśmy od Zbawiciela inny sposób, droga do najświętszej re</w:t>
      </w:r>
      <w:r w:rsidR="00386667" w:rsidRPr="005430B1">
        <w:rPr>
          <w:sz w:val="20"/>
          <w:szCs w:val="20"/>
        </w:rPr>
        <w:t>ligii leży przed nami…”. Sobór N</w:t>
      </w:r>
      <w:r w:rsidR="004F599F" w:rsidRPr="005430B1">
        <w:rPr>
          <w:sz w:val="20"/>
          <w:szCs w:val="20"/>
        </w:rPr>
        <w:t xml:space="preserve">icejski ustalił niedzielną celebrację Wielkanocy zgodnie z tradycją rzymską dla całego Kościoła. </w:t>
      </w:r>
      <w:r w:rsidR="005B1E57" w:rsidRPr="005430B1">
        <w:rPr>
          <w:sz w:val="20"/>
          <w:szCs w:val="20"/>
          <w:lang w:val="en-US"/>
        </w:rPr>
        <w:t>Por. S.</w:t>
      </w:r>
      <w:r w:rsidR="004F599F" w:rsidRPr="005430B1">
        <w:rPr>
          <w:sz w:val="20"/>
          <w:szCs w:val="20"/>
          <w:lang w:val="en-US"/>
        </w:rPr>
        <w:t xml:space="preserve"> Stern, </w:t>
      </w:r>
      <w:r w:rsidR="004F599F" w:rsidRPr="005430B1">
        <w:rPr>
          <w:rStyle w:val="Emphasis"/>
          <w:sz w:val="20"/>
          <w:szCs w:val="20"/>
          <w:lang w:val="en-US"/>
        </w:rPr>
        <w:t>Calendar and Community. A History of the Jewish Calendar. Second Century BCE – Tenth Century CE</w:t>
      </w:r>
      <w:r w:rsidR="004F599F" w:rsidRPr="005430B1">
        <w:rPr>
          <w:sz w:val="20"/>
          <w:szCs w:val="20"/>
          <w:lang w:val="en-US"/>
        </w:rPr>
        <w:t>, Oxford 2001, s. 66–85.</w:t>
      </w:r>
    </w:p>
  </w:footnote>
  <w:footnote w:id="5">
    <w:p w14:paraId="4BD36FB4" w14:textId="77777777" w:rsidR="00923353" w:rsidRPr="005430B1" w:rsidRDefault="00923353" w:rsidP="005430B1">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C04953" w:rsidRPr="005430B1">
        <w:rPr>
          <w:sz w:val="20"/>
          <w:szCs w:val="20"/>
          <w:lang w:val="de-AT"/>
        </w:rPr>
        <w:t>C</w:t>
      </w:r>
      <w:r w:rsidR="005B1E57" w:rsidRPr="005430B1">
        <w:rPr>
          <w:sz w:val="20"/>
          <w:szCs w:val="20"/>
          <w:lang w:val="de-AT"/>
        </w:rPr>
        <w:t>.</w:t>
      </w:r>
      <w:r w:rsidR="00C04953" w:rsidRPr="005430B1">
        <w:rPr>
          <w:sz w:val="20"/>
          <w:szCs w:val="20"/>
          <w:lang w:val="de-AT"/>
        </w:rPr>
        <w:t xml:space="preserve"> Markschies, </w:t>
      </w:r>
      <w:r w:rsidR="00C04953" w:rsidRPr="005430B1">
        <w:rPr>
          <w:rStyle w:val="Emphasis"/>
          <w:sz w:val="20"/>
          <w:szCs w:val="20"/>
          <w:lang w:val="de-AT"/>
        </w:rPr>
        <w:t>Alta Trinità Beata. Gesammelte Studien zur altkirchlichen Trinitätstheologie</w:t>
      </w:r>
      <w:r w:rsidR="00C04953" w:rsidRPr="005430B1">
        <w:rPr>
          <w:sz w:val="20"/>
          <w:szCs w:val="20"/>
          <w:lang w:val="de-AT"/>
        </w:rPr>
        <w:t xml:space="preserve">, </w:t>
      </w:r>
      <w:r w:rsidR="005430B1" w:rsidRPr="005430B1">
        <w:rPr>
          <w:sz w:val="20"/>
          <w:szCs w:val="20"/>
          <w:lang w:val="de-AT"/>
        </w:rPr>
        <w:t xml:space="preserve">Tübingen </w:t>
      </w:r>
      <w:r w:rsidR="00C04953" w:rsidRPr="005430B1">
        <w:rPr>
          <w:sz w:val="20"/>
          <w:szCs w:val="20"/>
          <w:lang w:val="de-AT"/>
        </w:rPr>
        <w:t>2000, s. 163–164.</w:t>
      </w:r>
    </w:p>
  </w:footnote>
  <w:footnote w:id="6">
    <w:p w14:paraId="09712C74" w14:textId="77777777" w:rsidR="001070D9" w:rsidRPr="005430B1" w:rsidRDefault="001070D9" w:rsidP="006161B8">
      <w:pPr>
        <w:pStyle w:val="NormalWeb"/>
        <w:spacing w:before="0" w:beforeAutospacing="0" w:after="0" w:afterAutospacing="0"/>
        <w:jc w:val="both"/>
        <w:rPr>
          <w:sz w:val="20"/>
          <w:szCs w:val="20"/>
          <w:lang w:val="en-US"/>
        </w:rPr>
      </w:pPr>
      <w:r w:rsidRPr="005430B1">
        <w:rPr>
          <w:rStyle w:val="FootnoteReference"/>
          <w:sz w:val="20"/>
          <w:szCs w:val="20"/>
        </w:rPr>
        <w:footnoteRef/>
      </w:r>
      <w:r w:rsidRPr="005430B1">
        <w:rPr>
          <w:sz w:val="20"/>
          <w:szCs w:val="20"/>
        </w:rPr>
        <w:t xml:space="preserve"> </w:t>
      </w:r>
      <w:r w:rsidR="007311D8" w:rsidRPr="005430B1">
        <w:rPr>
          <w:sz w:val="20"/>
          <w:szCs w:val="20"/>
        </w:rPr>
        <w:t>Konstantyn nie</w:t>
      </w:r>
      <w:r w:rsidR="003F68AE" w:rsidRPr="005430B1">
        <w:rPr>
          <w:sz w:val="20"/>
          <w:szCs w:val="20"/>
        </w:rPr>
        <w:t xml:space="preserve"> </w:t>
      </w:r>
      <w:r w:rsidR="007311D8" w:rsidRPr="005430B1">
        <w:rPr>
          <w:sz w:val="20"/>
          <w:szCs w:val="20"/>
        </w:rPr>
        <w:t xml:space="preserve">docenił wagi sporu między Ariuszem a jego biskupem Aleksandrem z Aleksandrii. W swoim liście do obu kontrahentów pisze: „Ponieważ wy między sobą spieracie się o mało istotne i najzupełniej nieistotne sprawy, to jednak należy stwierdzić, że nie jest w porządku, ani w ogóle zgodne z boską ustawą, że tak wielki lud Boży, którym powinno kierować wasze rozumienie, jest podzielony.” </w:t>
      </w:r>
      <w:r w:rsidR="007311D8" w:rsidRPr="005430B1">
        <w:rPr>
          <w:sz w:val="20"/>
          <w:szCs w:val="20"/>
          <w:lang w:val="de-AT"/>
        </w:rPr>
        <w:t xml:space="preserve">Euzebiusz, </w:t>
      </w:r>
      <w:r w:rsidR="007311D8" w:rsidRPr="005430B1">
        <w:rPr>
          <w:rStyle w:val="Emphasis"/>
          <w:sz w:val="20"/>
          <w:szCs w:val="20"/>
          <w:lang w:val="de-AT"/>
        </w:rPr>
        <w:t>Vita Constantini</w:t>
      </w:r>
      <w:r w:rsidR="007311D8" w:rsidRPr="005430B1">
        <w:rPr>
          <w:sz w:val="20"/>
          <w:szCs w:val="20"/>
          <w:lang w:val="de-AT"/>
        </w:rPr>
        <w:t xml:space="preserve"> 2, 71</w:t>
      </w:r>
      <w:r w:rsidR="005B1E57" w:rsidRPr="005430B1">
        <w:rPr>
          <w:sz w:val="20"/>
          <w:szCs w:val="20"/>
          <w:lang w:val="de-AT"/>
        </w:rPr>
        <w:t>, 1 (FC 83, s. 299). Por. R.</w:t>
      </w:r>
      <w:r w:rsidR="007311D8" w:rsidRPr="005430B1">
        <w:rPr>
          <w:sz w:val="20"/>
          <w:szCs w:val="20"/>
          <w:lang w:val="de-AT"/>
        </w:rPr>
        <w:t xml:space="preserve"> Kany, </w:t>
      </w:r>
      <w:r w:rsidR="007311D8" w:rsidRPr="005430B1">
        <w:rPr>
          <w:i/>
          <w:iCs/>
          <w:color w:val="000000"/>
          <w:sz w:val="20"/>
          <w:szCs w:val="20"/>
          <w:lang w:val="de-AT"/>
        </w:rPr>
        <w:t>Kaiser Konstantin und das erste Konzil von Nizäa,</w:t>
      </w:r>
      <w:r w:rsidR="007311D8" w:rsidRPr="005430B1">
        <w:rPr>
          <w:sz w:val="20"/>
          <w:szCs w:val="20"/>
          <w:lang w:val="de-AT"/>
        </w:rPr>
        <w:t xml:space="preserve"> w: F</w:t>
      </w:r>
      <w:r w:rsidR="006161B8">
        <w:rPr>
          <w:sz w:val="20"/>
          <w:szCs w:val="20"/>
          <w:lang w:val="de-AT"/>
        </w:rPr>
        <w:t xml:space="preserve">. Schuller, </w:t>
      </w:r>
      <w:r w:rsidR="007311D8" w:rsidRPr="005430B1">
        <w:rPr>
          <w:sz w:val="20"/>
          <w:szCs w:val="20"/>
          <w:lang w:val="de-AT"/>
        </w:rPr>
        <w:t>H</w:t>
      </w:r>
      <w:r w:rsidR="006161B8">
        <w:rPr>
          <w:sz w:val="20"/>
          <w:szCs w:val="20"/>
          <w:lang w:val="de-AT"/>
        </w:rPr>
        <w:t xml:space="preserve">. </w:t>
      </w:r>
      <w:r w:rsidR="007311D8" w:rsidRPr="005430B1">
        <w:rPr>
          <w:sz w:val="20"/>
          <w:szCs w:val="20"/>
          <w:lang w:val="de-AT"/>
        </w:rPr>
        <w:t xml:space="preserve">Wolff, </w:t>
      </w:r>
      <w:r w:rsidR="007311D8" w:rsidRPr="005430B1">
        <w:rPr>
          <w:i/>
          <w:iCs/>
          <w:color w:val="000000"/>
          <w:sz w:val="20"/>
          <w:szCs w:val="20"/>
          <w:lang w:val="de-AT"/>
        </w:rPr>
        <w:t xml:space="preserve">Konstantin der Große. </w:t>
      </w:r>
      <w:r w:rsidR="007311D8" w:rsidRPr="005430B1">
        <w:rPr>
          <w:i/>
          <w:iCs/>
          <w:color w:val="000000"/>
          <w:sz w:val="20"/>
          <w:szCs w:val="20"/>
          <w:lang w:val="en-US"/>
        </w:rPr>
        <w:t>Kaiser einer Epochenwende</w:t>
      </w:r>
      <w:r w:rsidR="007311D8" w:rsidRPr="005430B1">
        <w:rPr>
          <w:sz w:val="20"/>
          <w:szCs w:val="20"/>
          <w:lang w:val="en-US"/>
        </w:rPr>
        <w:t>, Lindenberg 2007, s. 95–124.</w:t>
      </w:r>
    </w:p>
  </w:footnote>
  <w:footnote w:id="7">
    <w:p w14:paraId="55C30C5F" w14:textId="77777777" w:rsidR="001070D9" w:rsidRPr="005430B1" w:rsidRDefault="001070D9" w:rsidP="00826457">
      <w:pPr>
        <w:pStyle w:val="NormalWeb"/>
        <w:spacing w:before="0" w:beforeAutospacing="0" w:after="0" w:afterAutospacing="0"/>
        <w:jc w:val="both"/>
        <w:rPr>
          <w:sz w:val="20"/>
          <w:szCs w:val="20"/>
          <w:lang w:val="en-US"/>
        </w:rPr>
      </w:pPr>
      <w:r w:rsidRPr="005430B1">
        <w:rPr>
          <w:rStyle w:val="FootnoteReference"/>
          <w:sz w:val="20"/>
          <w:szCs w:val="20"/>
        </w:rPr>
        <w:footnoteRef/>
      </w:r>
      <w:r w:rsidRPr="005430B1">
        <w:rPr>
          <w:sz w:val="20"/>
          <w:szCs w:val="20"/>
          <w:lang w:val="en-US"/>
        </w:rPr>
        <w:t xml:space="preserve"> </w:t>
      </w:r>
      <w:r w:rsidR="005B1E57" w:rsidRPr="005430B1">
        <w:rPr>
          <w:sz w:val="20"/>
          <w:szCs w:val="20"/>
          <w:lang w:val="en-US"/>
        </w:rPr>
        <w:t>Por. M.</w:t>
      </w:r>
      <w:r w:rsidR="00165056" w:rsidRPr="005430B1">
        <w:rPr>
          <w:sz w:val="20"/>
          <w:szCs w:val="20"/>
          <w:lang w:val="en-US"/>
        </w:rPr>
        <w:t xml:space="preserve">S. Kinzer, </w:t>
      </w:r>
      <w:r w:rsidR="00165056" w:rsidRPr="005430B1">
        <w:rPr>
          <w:rStyle w:val="Emphasis"/>
          <w:sz w:val="20"/>
          <w:szCs w:val="20"/>
          <w:lang w:val="en-US"/>
        </w:rPr>
        <w:t>Finding our Way through Nicaea: The Deity of Yeshua, Bilateral Ecclesiology, and Redemptive Encounter with the Living God</w:t>
      </w:r>
      <w:r w:rsidR="00165056" w:rsidRPr="005430B1">
        <w:rPr>
          <w:sz w:val="20"/>
          <w:szCs w:val="20"/>
          <w:lang w:val="en-US"/>
        </w:rPr>
        <w:t xml:space="preserve">, w: </w:t>
      </w:r>
      <w:r w:rsidR="00165056" w:rsidRPr="005430B1">
        <w:rPr>
          <w:rStyle w:val="Emphasis"/>
          <w:sz w:val="20"/>
          <w:szCs w:val="20"/>
          <w:lang w:val="en-US"/>
        </w:rPr>
        <w:t>Kesher</w:t>
      </w:r>
      <w:r w:rsidR="00165056" w:rsidRPr="005430B1">
        <w:rPr>
          <w:sz w:val="20"/>
          <w:szCs w:val="20"/>
          <w:lang w:val="en-US"/>
        </w:rPr>
        <w:t xml:space="preserve"> 24 (2010), s. 29–52, tutaj s. 35.</w:t>
      </w:r>
    </w:p>
  </w:footnote>
  <w:footnote w:id="8">
    <w:p w14:paraId="36BE7520" w14:textId="77777777" w:rsidR="00850A9D" w:rsidRPr="005430B1" w:rsidRDefault="00850A9D" w:rsidP="005430B1">
      <w:pPr>
        <w:pStyle w:val="NormalWeb"/>
        <w:spacing w:before="0" w:beforeAutospacing="0" w:after="0" w:afterAutospacing="0"/>
        <w:jc w:val="both"/>
        <w:rPr>
          <w:sz w:val="20"/>
          <w:szCs w:val="20"/>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M.</w:t>
      </w:r>
      <w:r w:rsidR="00826457" w:rsidRPr="005430B1">
        <w:rPr>
          <w:sz w:val="20"/>
          <w:szCs w:val="20"/>
          <w:lang w:val="de-AT"/>
        </w:rPr>
        <w:t xml:space="preserve"> Hengel, </w:t>
      </w:r>
      <w:r w:rsidR="00826457" w:rsidRPr="005430B1">
        <w:rPr>
          <w:rStyle w:val="Emphasis"/>
          <w:sz w:val="20"/>
          <w:szCs w:val="20"/>
          <w:lang w:val="de-AT"/>
        </w:rPr>
        <w:t xml:space="preserve">Judentum und Hellenismus. Studien zur Begegnung unter besonderer Berücksichtigung Palästinas bis zur Mitte des 2. </w:t>
      </w:r>
      <w:r w:rsidR="00826457" w:rsidRPr="005430B1">
        <w:rPr>
          <w:rStyle w:val="Emphasis"/>
          <w:sz w:val="20"/>
          <w:szCs w:val="20"/>
        </w:rPr>
        <w:t>Jh.s. v. Chr.</w:t>
      </w:r>
      <w:r w:rsidR="00826457" w:rsidRPr="005430B1">
        <w:rPr>
          <w:sz w:val="20"/>
          <w:szCs w:val="20"/>
        </w:rPr>
        <w:t xml:space="preserve"> (WUNT 10), </w:t>
      </w:r>
      <w:r w:rsidR="005430B1" w:rsidRPr="005430B1">
        <w:rPr>
          <w:sz w:val="20"/>
          <w:szCs w:val="20"/>
          <w:lang w:val="de-AT"/>
        </w:rPr>
        <w:t>Tübingen</w:t>
      </w:r>
      <w:r w:rsidR="005430B1" w:rsidRPr="005430B1">
        <w:rPr>
          <w:sz w:val="20"/>
          <w:szCs w:val="20"/>
        </w:rPr>
        <w:t xml:space="preserve"> </w:t>
      </w:r>
      <w:r w:rsidR="00826457" w:rsidRPr="005430B1">
        <w:rPr>
          <w:sz w:val="20"/>
          <w:szCs w:val="20"/>
        </w:rPr>
        <w:t>1988. Założenie, że można wyraźnie rozróżnić między hellenizowanym, aleksandryjskim a niehellenizowanym, palestyńskim judaizmem, jest nowoczesną fikcją uczonych.</w:t>
      </w:r>
    </w:p>
  </w:footnote>
  <w:footnote w:id="9">
    <w:p w14:paraId="43A01395" w14:textId="77777777" w:rsidR="003D7C54" w:rsidRPr="005430B1" w:rsidRDefault="003D7C54" w:rsidP="004E5A10">
      <w:pPr>
        <w:pStyle w:val="NormalWeb"/>
        <w:spacing w:before="0" w:beforeAutospacing="0" w:after="0" w:afterAutospacing="0"/>
        <w:jc w:val="both"/>
        <w:rPr>
          <w:sz w:val="20"/>
          <w:szCs w:val="20"/>
        </w:rPr>
      </w:pPr>
      <w:r w:rsidRPr="005430B1">
        <w:rPr>
          <w:rStyle w:val="FootnoteReference"/>
          <w:sz w:val="20"/>
          <w:szCs w:val="20"/>
        </w:rPr>
        <w:footnoteRef/>
      </w:r>
      <w:r w:rsidRPr="005430B1">
        <w:rPr>
          <w:sz w:val="20"/>
          <w:szCs w:val="20"/>
        </w:rPr>
        <w:t xml:space="preserve"> </w:t>
      </w:r>
      <w:r w:rsidR="005B1E57" w:rsidRPr="005430B1">
        <w:rPr>
          <w:sz w:val="20"/>
          <w:szCs w:val="20"/>
        </w:rPr>
        <w:t>T.</w:t>
      </w:r>
      <w:r w:rsidR="003F68AE" w:rsidRPr="005430B1">
        <w:rPr>
          <w:sz w:val="20"/>
          <w:szCs w:val="20"/>
        </w:rPr>
        <w:t xml:space="preserve"> Böhm, </w:t>
      </w:r>
      <w:r w:rsidR="003F68AE" w:rsidRPr="005430B1">
        <w:rPr>
          <w:rStyle w:val="Emphasis"/>
          <w:sz w:val="20"/>
          <w:szCs w:val="20"/>
        </w:rPr>
        <w:t>Die Christologie des Arius</w:t>
      </w:r>
      <w:r w:rsidR="003F68AE" w:rsidRPr="005430B1">
        <w:rPr>
          <w:sz w:val="20"/>
          <w:szCs w:val="20"/>
        </w:rPr>
        <w:t>, St. Ottilien 1991, s. 198, 208, wychodzi z założenia, że myślenie Ariusza było pod wpływem Plotyna i Porfiriusza.</w:t>
      </w:r>
    </w:p>
  </w:footnote>
  <w:footnote w:id="10">
    <w:p w14:paraId="6F1C157D" w14:textId="77777777" w:rsidR="003D7C54" w:rsidRPr="005430B1" w:rsidRDefault="003D7C54" w:rsidP="006161B8">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9D4F12" w:rsidRPr="005430B1">
        <w:rPr>
          <w:sz w:val="20"/>
          <w:szCs w:val="20"/>
          <w:lang w:val="de-AT"/>
        </w:rPr>
        <w:t>H</w:t>
      </w:r>
      <w:r w:rsidR="005B1E57" w:rsidRPr="005430B1">
        <w:rPr>
          <w:sz w:val="20"/>
          <w:szCs w:val="20"/>
          <w:lang w:val="de-AT"/>
        </w:rPr>
        <w:t>.G.</w:t>
      </w:r>
      <w:r w:rsidR="009D4F12" w:rsidRPr="005430B1">
        <w:rPr>
          <w:sz w:val="20"/>
          <w:szCs w:val="20"/>
          <w:lang w:val="de-AT"/>
        </w:rPr>
        <w:t xml:space="preserve"> Opitz, </w:t>
      </w:r>
      <w:r w:rsidR="009D4F12" w:rsidRPr="005430B1">
        <w:rPr>
          <w:rStyle w:val="Emphasis"/>
          <w:sz w:val="20"/>
          <w:szCs w:val="20"/>
          <w:lang w:val="de-AT"/>
        </w:rPr>
        <w:t>Athanasius Werke</w:t>
      </w:r>
      <w:r w:rsidR="009D4F12" w:rsidRPr="005430B1">
        <w:rPr>
          <w:sz w:val="20"/>
          <w:szCs w:val="20"/>
          <w:lang w:val="de-AT"/>
        </w:rPr>
        <w:t xml:space="preserve">, t. II, Berlin – </w:t>
      </w:r>
      <w:r w:rsidR="005B1E57" w:rsidRPr="005430B1">
        <w:rPr>
          <w:sz w:val="20"/>
          <w:szCs w:val="20"/>
          <w:lang w:val="de-AT"/>
        </w:rPr>
        <w:t xml:space="preserve">Leipzig </w:t>
      </w:r>
      <w:r w:rsidR="009D4F12" w:rsidRPr="005430B1">
        <w:rPr>
          <w:sz w:val="20"/>
          <w:szCs w:val="20"/>
          <w:lang w:val="de-AT"/>
        </w:rPr>
        <w:t xml:space="preserve">1934, 1, 9 (s. 242, </w:t>
      </w:r>
      <w:r w:rsidR="005B1E57" w:rsidRPr="005430B1">
        <w:rPr>
          <w:sz w:val="20"/>
          <w:szCs w:val="20"/>
          <w:lang w:val="de-AT"/>
        </w:rPr>
        <w:t>s. 27–243, 1); A.</w:t>
      </w:r>
      <w:r w:rsidR="009D4F12" w:rsidRPr="005430B1">
        <w:rPr>
          <w:sz w:val="20"/>
          <w:szCs w:val="20"/>
          <w:lang w:val="de-AT"/>
        </w:rPr>
        <w:t xml:space="preserve"> Grillmeier, </w:t>
      </w:r>
      <w:r w:rsidR="009D4F12" w:rsidRPr="005430B1">
        <w:rPr>
          <w:rStyle w:val="Emphasis"/>
          <w:sz w:val="20"/>
          <w:szCs w:val="20"/>
          <w:lang w:val="de-AT"/>
        </w:rPr>
        <w:t>Jesus Christus im Glauben der Kirche</w:t>
      </w:r>
      <w:r w:rsidR="004E5A10" w:rsidRPr="005430B1">
        <w:rPr>
          <w:sz w:val="20"/>
          <w:szCs w:val="20"/>
          <w:lang w:val="de-AT"/>
        </w:rPr>
        <w:t xml:space="preserve">, </w:t>
      </w:r>
      <w:r w:rsidR="006161B8" w:rsidRPr="006161B8">
        <w:rPr>
          <w:sz w:val="20"/>
          <w:szCs w:val="20"/>
          <w:lang w:val="de-AT"/>
        </w:rPr>
        <w:t xml:space="preserve">Freiburg i. Br. </w:t>
      </w:r>
      <w:r w:rsidR="009D4F12" w:rsidRPr="005430B1">
        <w:rPr>
          <w:sz w:val="20"/>
          <w:szCs w:val="20"/>
          <w:lang w:val="de-AT"/>
        </w:rPr>
        <w:t>1990, t. I, s. 363.</w:t>
      </w:r>
    </w:p>
  </w:footnote>
  <w:footnote w:id="11">
    <w:p w14:paraId="23715EDD" w14:textId="77777777" w:rsidR="009831CA" w:rsidRPr="005430B1" w:rsidRDefault="009831CA" w:rsidP="00BC36A8">
      <w:pPr>
        <w:pStyle w:val="FootnoteText"/>
        <w:jc w:val="both"/>
        <w:rPr>
          <w:rFonts w:ascii="Times New Roman" w:hAnsi="Times New Roman" w:cs="Times New Roman"/>
        </w:rPr>
      </w:pPr>
      <w:r w:rsidRPr="005430B1">
        <w:rPr>
          <w:rStyle w:val="FootnoteReference"/>
          <w:rFonts w:ascii="Times New Roman" w:hAnsi="Times New Roman" w:cs="Times New Roman"/>
        </w:rPr>
        <w:footnoteRef/>
      </w:r>
      <w:r w:rsidRPr="005430B1">
        <w:rPr>
          <w:rFonts w:ascii="Times New Roman" w:hAnsi="Times New Roman" w:cs="Times New Roman"/>
        </w:rPr>
        <w:t xml:space="preserve"> </w:t>
      </w:r>
      <w:r w:rsidR="00BC36A8" w:rsidRPr="005430B1">
        <w:rPr>
          <w:rFonts w:ascii="Times New Roman" w:hAnsi="Times New Roman" w:cs="Times New Roman"/>
        </w:rPr>
        <w:t>Dz 2, 26: „Bóg uczynił go Panem i Mesjaszem, tego Jezusa, którego wy ukrzyżowaliście”. Kol 1, 15: „On jest obrazem Boga niewidzialnego, pierworodnym wszelkiego stworzenia”.</w:t>
      </w:r>
    </w:p>
  </w:footnote>
  <w:footnote w:id="12">
    <w:p w14:paraId="4F5100E7" w14:textId="77777777" w:rsidR="00CD3D59" w:rsidRPr="005430B1" w:rsidRDefault="00CD3D59" w:rsidP="00CB578F">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C.</w:t>
      </w:r>
      <w:r w:rsidR="00BC36A8" w:rsidRPr="005430B1">
        <w:rPr>
          <w:sz w:val="20"/>
          <w:szCs w:val="20"/>
          <w:lang w:val="de-AT"/>
        </w:rPr>
        <w:t xml:space="preserve"> Taylor, </w:t>
      </w:r>
      <w:r w:rsidR="00BC36A8" w:rsidRPr="005430B1">
        <w:rPr>
          <w:rStyle w:val="Emphasis"/>
          <w:sz w:val="20"/>
          <w:szCs w:val="20"/>
          <w:lang w:val="de-AT"/>
        </w:rPr>
        <w:t>Ein säkulares Zeitalter</w:t>
      </w:r>
      <w:r w:rsidR="00BC36A8" w:rsidRPr="005430B1">
        <w:rPr>
          <w:sz w:val="20"/>
          <w:szCs w:val="20"/>
          <w:lang w:val="de-AT"/>
        </w:rPr>
        <w:t>, Frankfurt/M. 2009, s. 474.</w:t>
      </w:r>
    </w:p>
  </w:footnote>
  <w:footnote w:id="13">
    <w:p w14:paraId="719C75BB" w14:textId="77777777" w:rsidR="000F3FA9" w:rsidRPr="005430B1" w:rsidRDefault="000F3FA9"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rPr>
        <w:t xml:space="preserve"> </w:t>
      </w:r>
      <w:r w:rsidR="00CB578F" w:rsidRPr="005430B1">
        <w:rPr>
          <w:sz w:val="20"/>
          <w:szCs w:val="20"/>
        </w:rPr>
        <w:t xml:space="preserve">Ariusz pisze: „Dla naszego dobra został [Syn] stworzony, aby Bóg stworzył nas przez niego, jak przez narzędzie; i nie istniałby, gdyby Bóg nie chciał nas stworzyć.” </w:t>
      </w:r>
      <w:r w:rsidR="005B1E57" w:rsidRPr="005430B1">
        <w:rPr>
          <w:sz w:val="20"/>
          <w:szCs w:val="20"/>
          <w:lang w:val="de-AT"/>
        </w:rPr>
        <w:t>Cytowane za: A.</w:t>
      </w:r>
      <w:r w:rsidR="00CB578F" w:rsidRPr="005430B1">
        <w:rPr>
          <w:sz w:val="20"/>
          <w:szCs w:val="20"/>
          <w:lang w:val="de-AT"/>
        </w:rPr>
        <w:t xml:space="preserve"> Grillmeier, </w:t>
      </w:r>
      <w:r w:rsidR="00CB578F" w:rsidRPr="005430B1">
        <w:rPr>
          <w:rStyle w:val="Emphasis"/>
          <w:sz w:val="20"/>
          <w:szCs w:val="20"/>
          <w:lang w:val="de-AT"/>
        </w:rPr>
        <w:t>Jesus Christus im Glauben der Kirche</w:t>
      </w:r>
      <w:r w:rsidR="005B1E57" w:rsidRPr="005430B1">
        <w:rPr>
          <w:rStyle w:val="Emphasis"/>
          <w:sz w:val="20"/>
          <w:szCs w:val="20"/>
          <w:lang w:val="de-AT"/>
        </w:rPr>
        <w:t>…</w:t>
      </w:r>
      <w:r w:rsidR="00CB578F" w:rsidRPr="005430B1">
        <w:rPr>
          <w:sz w:val="20"/>
          <w:szCs w:val="20"/>
          <w:lang w:val="de-AT"/>
        </w:rPr>
        <w:t>, t. 1, s. 370.</w:t>
      </w:r>
    </w:p>
  </w:footnote>
  <w:footnote w:id="14">
    <w:p w14:paraId="1A5D82A5" w14:textId="77777777" w:rsidR="0086537F" w:rsidRPr="005430B1" w:rsidRDefault="0086537F" w:rsidP="00386667">
      <w:pPr>
        <w:pStyle w:val="NormalWeb"/>
        <w:spacing w:before="0" w:beforeAutospacing="0" w:after="0" w:afterAutospacing="0"/>
        <w:jc w:val="both"/>
        <w:rPr>
          <w:sz w:val="20"/>
          <w:szCs w:val="20"/>
        </w:rPr>
      </w:pPr>
      <w:r w:rsidRPr="005430B1">
        <w:rPr>
          <w:rStyle w:val="FootnoteReference"/>
          <w:sz w:val="20"/>
          <w:szCs w:val="20"/>
        </w:rPr>
        <w:footnoteRef/>
      </w:r>
      <w:r w:rsidRPr="005430B1">
        <w:rPr>
          <w:sz w:val="20"/>
          <w:szCs w:val="20"/>
        </w:rPr>
        <w:t xml:space="preserve"> </w:t>
      </w:r>
      <w:r w:rsidR="0080273F" w:rsidRPr="005430B1">
        <w:rPr>
          <w:sz w:val="20"/>
          <w:szCs w:val="20"/>
        </w:rPr>
        <w:t>Odwołanie się do terminologii istoty zostało przez ojców soborowych uznane za wymagające</w:t>
      </w:r>
      <w:r w:rsidR="00803FA8" w:rsidRPr="005430B1">
        <w:rPr>
          <w:sz w:val="20"/>
          <w:szCs w:val="20"/>
        </w:rPr>
        <w:t xml:space="preserve"> wyjaśnienia. Według relacji z s</w:t>
      </w:r>
      <w:r w:rsidR="0080273F" w:rsidRPr="005430B1">
        <w:rPr>
          <w:sz w:val="20"/>
          <w:szCs w:val="20"/>
        </w:rPr>
        <w:t>oboru autorstwa Aleksandra z Aleksandrii, członkowie synodu początkowo szukali biblijnego wyrażenia, aby wyrazić boskość Syna. Kiedy nie znaleźli odpowiedniego terminu, przyjęli greckie pojęcie „ousia” (istota), aby odrzucić twierdzenie Ariusza, że Syn jest z istoty obcy Ojcu.</w:t>
      </w:r>
    </w:p>
  </w:footnote>
  <w:footnote w:id="15">
    <w:p w14:paraId="1069A339" w14:textId="77777777" w:rsidR="00D1169C" w:rsidRPr="005430B1" w:rsidRDefault="00D1169C"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80273F" w:rsidRPr="005430B1">
        <w:rPr>
          <w:sz w:val="20"/>
          <w:szCs w:val="20"/>
          <w:lang w:val="de-AT"/>
        </w:rPr>
        <w:t xml:space="preserve">Por. </w:t>
      </w:r>
      <w:r w:rsidR="005B1E57" w:rsidRPr="005430B1">
        <w:rPr>
          <w:sz w:val="20"/>
          <w:szCs w:val="20"/>
          <w:lang w:val="de-AT"/>
        </w:rPr>
        <w:t>K.H.</w:t>
      </w:r>
      <w:r w:rsidR="0080273F" w:rsidRPr="005430B1">
        <w:rPr>
          <w:sz w:val="20"/>
          <w:szCs w:val="20"/>
          <w:lang w:val="de-AT"/>
        </w:rPr>
        <w:t xml:space="preserve"> Menke, </w:t>
      </w:r>
      <w:r w:rsidR="0080273F" w:rsidRPr="005430B1">
        <w:rPr>
          <w:rStyle w:val="Emphasis"/>
          <w:sz w:val="20"/>
          <w:szCs w:val="20"/>
          <w:lang w:val="de-AT"/>
        </w:rPr>
        <w:t>Jesus ist Gott der Sohn. Denkformen und Brennpunkte der Christologie</w:t>
      </w:r>
      <w:r w:rsidR="0080273F" w:rsidRPr="005430B1">
        <w:rPr>
          <w:sz w:val="20"/>
          <w:szCs w:val="20"/>
          <w:lang w:val="de-AT"/>
        </w:rPr>
        <w:t>, Regensburg 2013, s. 234–235.</w:t>
      </w:r>
    </w:p>
  </w:footnote>
  <w:footnote w:id="16">
    <w:p w14:paraId="3FA78CC9" w14:textId="77777777" w:rsidR="00C17BC8" w:rsidRPr="005430B1" w:rsidRDefault="00C17BC8" w:rsidP="00171E30">
      <w:pPr>
        <w:pStyle w:val="NormalWeb"/>
        <w:spacing w:before="0" w:beforeAutospacing="0" w:after="0" w:afterAutospacing="0"/>
        <w:jc w:val="both"/>
        <w:rPr>
          <w:sz w:val="20"/>
          <w:szCs w:val="20"/>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C.</w:t>
      </w:r>
      <w:r w:rsidR="00171E30" w:rsidRPr="005430B1">
        <w:rPr>
          <w:sz w:val="20"/>
          <w:szCs w:val="20"/>
          <w:lang w:val="de-AT"/>
        </w:rPr>
        <w:t xml:space="preserve"> Schönborn, </w:t>
      </w:r>
      <w:r w:rsidR="00171E30" w:rsidRPr="005430B1">
        <w:rPr>
          <w:rStyle w:val="Emphasis"/>
          <w:sz w:val="20"/>
          <w:szCs w:val="20"/>
          <w:lang w:val="de-AT"/>
        </w:rPr>
        <w:t xml:space="preserve">Gott sandte seinen Sohn. </w:t>
      </w:r>
      <w:r w:rsidR="00171E30" w:rsidRPr="005430B1">
        <w:rPr>
          <w:rStyle w:val="Emphasis"/>
          <w:sz w:val="20"/>
          <w:szCs w:val="20"/>
        </w:rPr>
        <w:t>Christologie</w:t>
      </w:r>
      <w:r w:rsidR="00171E30" w:rsidRPr="005430B1">
        <w:rPr>
          <w:sz w:val="20"/>
          <w:szCs w:val="20"/>
        </w:rPr>
        <w:t>, Paderborn 2002, s. 75.</w:t>
      </w:r>
    </w:p>
  </w:footnote>
  <w:footnote w:id="17">
    <w:p w14:paraId="19D0D503" w14:textId="77777777" w:rsidR="007C0C38" w:rsidRPr="005430B1" w:rsidRDefault="007C0C38" w:rsidP="00171E30">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rPr>
        <w:t xml:space="preserve"> </w:t>
      </w:r>
      <w:r w:rsidR="00171E30" w:rsidRPr="005430B1">
        <w:rPr>
          <w:sz w:val="20"/>
          <w:szCs w:val="20"/>
        </w:rPr>
        <w:t xml:space="preserve">Już </w:t>
      </w:r>
      <w:r w:rsidR="00803FA8" w:rsidRPr="005430B1">
        <w:rPr>
          <w:sz w:val="20"/>
          <w:szCs w:val="20"/>
        </w:rPr>
        <w:t>Euzebiusz z Cezarei pisał: „Nie</w:t>
      </w:r>
      <w:r w:rsidR="00171E30" w:rsidRPr="005430B1">
        <w:rPr>
          <w:sz w:val="20"/>
          <w:szCs w:val="20"/>
        </w:rPr>
        <w:t xml:space="preserve">słuszne jest mówić, że Syn wyszedł z Ojca w sposób podobny do rodzenia istot żywych u nas, istota z istoty z cierpieniem i największym oddzieleniem. Ponieważ to, co Boskie, jest całkowicie niepodzielne, nie może być przecięte, rozdzielone, wycięte, złożone ani zmniejszone.” </w:t>
      </w:r>
      <w:r w:rsidR="00171E30" w:rsidRPr="005430B1">
        <w:rPr>
          <w:rStyle w:val="Emphasis"/>
          <w:sz w:val="20"/>
          <w:szCs w:val="20"/>
          <w:lang w:val="de-AT"/>
        </w:rPr>
        <w:t>Demonstratio Evangelica</w:t>
      </w:r>
      <w:r w:rsidR="00171E30" w:rsidRPr="005430B1">
        <w:rPr>
          <w:sz w:val="20"/>
          <w:szCs w:val="20"/>
          <w:lang w:val="de-AT"/>
        </w:rPr>
        <w:t xml:space="preserve">, V,1 (= Dzieła, t. 8.1, wyd. Karl Mras: </w:t>
      </w:r>
      <w:r w:rsidR="00171E30" w:rsidRPr="005430B1">
        <w:rPr>
          <w:rStyle w:val="Emphasis"/>
          <w:sz w:val="20"/>
          <w:szCs w:val="20"/>
          <w:lang w:val="de-AT"/>
        </w:rPr>
        <w:t>Die Praeparatio evangelica: Einleitung, die Bücher I–X</w:t>
      </w:r>
      <w:r w:rsidR="00171E30" w:rsidRPr="005430B1">
        <w:rPr>
          <w:sz w:val="20"/>
          <w:szCs w:val="20"/>
          <w:lang w:val="de-AT"/>
        </w:rPr>
        <w:t>, Berlin 1982, s. 219–220).</w:t>
      </w:r>
    </w:p>
  </w:footnote>
  <w:footnote w:id="18">
    <w:p w14:paraId="7B888D55" w14:textId="77777777" w:rsidR="007C0C38" w:rsidRPr="005430B1" w:rsidRDefault="007C0C38" w:rsidP="005430B1">
      <w:pPr>
        <w:pStyle w:val="NormalWeb"/>
        <w:spacing w:before="0" w:beforeAutospacing="0" w:after="0" w:afterAutospacing="0"/>
        <w:jc w:val="both"/>
        <w:rPr>
          <w:sz w:val="20"/>
          <w:szCs w:val="20"/>
          <w:lang w:val="fr-FR"/>
        </w:rPr>
      </w:pPr>
      <w:r w:rsidRPr="005430B1">
        <w:rPr>
          <w:rStyle w:val="FootnoteReference"/>
          <w:sz w:val="20"/>
          <w:szCs w:val="20"/>
        </w:rPr>
        <w:footnoteRef/>
      </w:r>
      <w:r w:rsidRPr="005430B1">
        <w:rPr>
          <w:sz w:val="20"/>
          <w:szCs w:val="20"/>
        </w:rPr>
        <w:t xml:space="preserve"> </w:t>
      </w:r>
      <w:r w:rsidR="005B1E57" w:rsidRPr="005430B1">
        <w:rPr>
          <w:sz w:val="20"/>
          <w:szCs w:val="20"/>
        </w:rPr>
        <w:t>Ori</w:t>
      </w:r>
      <w:r w:rsidR="00171E30" w:rsidRPr="005430B1">
        <w:rPr>
          <w:sz w:val="20"/>
          <w:szCs w:val="20"/>
        </w:rPr>
        <w:t xml:space="preserve">genes, </w:t>
      </w:r>
      <w:r w:rsidR="00171E30" w:rsidRPr="005430B1">
        <w:rPr>
          <w:rStyle w:val="Emphasis"/>
          <w:sz w:val="20"/>
          <w:szCs w:val="20"/>
        </w:rPr>
        <w:t>Tract. in Ioh. I, 29, 204</w:t>
      </w:r>
      <w:r w:rsidR="00171E30" w:rsidRPr="005430B1">
        <w:rPr>
          <w:sz w:val="20"/>
          <w:szCs w:val="20"/>
        </w:rPr>
        <w:t xml:space="preserve">: „Nie ma bowiem u Boga wieczora, a sądzę, że także nie ma poranka, lecz quasi-czas, który rozciąga się w Jego nienarodzonym i wiecznym życiu, jest dla Niego dzisiejszym dniem, w którym Syn jest poczęty [...], tak że początek Jego stawania się jest równie nieuchwytny jak Jego dzień.” Tłumaczenie nieznacznie zmodyfikowane na podstawie Hans-Georg Thümmel (red.), </w:t>
      </w:r>
      <w:r w:rsidR="00171E30" w:rsidRPr="005430B1">
        <w:rPr>
          <w:rStyle w:val="Emphasis"/>
          <w:sz w:val="20"/>
          <w:szCs w:val="20"/>
        </w:rPr>
        <w:t>Origenes Johanneskommentar</w:t>
      </w:r>
      <w:r w:rsidR="00171E30" w:rsidRPr="005430B1">
        <w:rPr>
          <w:sz w:val="20"/>
          <w:szCs w:val="20"/>
        </w:rPr>
        <w:t xml:space="preserve"> (STAC 63), </w:t>
      </w:r>
      <w:r w:rsidR="005430B1" w:rsidRPr="005430B1">
        <w:rPr>
          <w:sz w:val="20"/>
          <w:szCs w:val="20"/>
        </w:rPr>
        <w:t xml:space="preserve">Tübingen </w:t>
      </w:r>
      <w:r w:rsidR="00171E30" w:rsidRPr="005430B1">
        <w:rPr>
          <w:sz w:val="20"/>
          <w:szCs w:val="20"/>
        </w:rPr>
        <w:t xml:space="preserve">2001, s. 81. </w:t>
      </w:r>
      <w:r w:rsidR="00171E30" w:rsidRPr="005430B1">
        <w:rPr>
          <w:sz w:val="20"/>
          <w:szCs w:val="20"/>
          <w:lang w:val="fr-FR"/>
        </w:rPr>
        <w:t xml:space="preserve">Por. Orygenes, </w:t>
      </w:r>
      <w:r w:rsidR="00171E30" w:rsidRPr="005430B1">
        <w:rPr>
          <w:rStyle w:val="Emphasis"/>
          <w:sz w:val="20"/>
          <w:szCs w:val="20"/>
          <w:lang w:val="fr-FR"/>
        </w:rPr>
        <w:t xml:space="preserve">De princ. I, 2, </w:t>
      </w:r>
      <w:proofErr w:type="gramStart"/>
      <w:r w:rsidR="00171E30" w:rsidRPr="005430B1">
        <w:rPr>
          <w:rStyle w:val="Emphasis"/>
          <w:sz w:val="20"/>
          <w:szCs w:val="20"/>
          <w:lang w:val="fr-FR"/>
        </w:rPr>
        <w:t>2;</w:t>
      </w:r>
      <w:proofErr w:type="gramEnd"/>
      <w:r w:rsidR="00171E30" w:rsidRPr="005430B1">
        <w:rPr>
          <w:rStyle w:val="Emphasis"/>
          <w:sz w:val="20"/>
          <w:szCs w:val="20"/>
          <w:lang w:val="fr-FR"/>
        </w:rPr>
        <w:t xml:space="preserve"> III, 5, </w:t>
      </w:r>
      <w:proofErr w:type="gramStart"/>
      <w:r w:rsidR="00171E30" w:rsidRPr="005430B1">
        <w:rPr>
          <w:rStyle w:val="Emphasis"/>
          <w:sz w:val="20"/>
          <w:szCs w:val="20"/>
          <w:lang w:val="fr-FR"/>
        </w:rPr>
        <w:t>3;</w:t>
      </w:r>
      <w:proofErr w:type="gramEnd"/>
      <w:r w:rsidR="00171E30" w:rsidRPr="005430B1">
        <w:rPr>
          <w:rStyle w:val="Emphasis"/>
          <w:sz w:val="20"/>
          <w:szCs w:val="20"/>
          <w:lang w:val="fr-FR"/>
        </w:rPr>
        <w:t xml:space="preserve"> IV, 4, 1</w:t>
      </w:r>
      <w:r w:rsidR="00171E30" w:rsidRPr="005430B1">
        <w:rPr>
          <w:sz w:val="20"/>
          <w:szCs w:val="20"/>
          <w:lang w:val="fr-FR"/>
        </w:rPr>
        <w:t xml:space="preserve">. </w:t>
      </w:r>
      <w:proofErr w:type="gramStart"/>
      <w:r w:rsidR="00171E30" w:rsidRPr="005430B1">
        <w:rPr>
          <w:sz w:val="20"/>
          <w:szCs w:val="20"/>
          <w:lang w:val="fr-FR"/>
        </w:rPr>
        <w:t>Także:</w:t>
      </w:r>
      <w:proofErr w:type="gramEnd"/>
      <w:r w:rsidR="00171E30" w:rsidRPr="005430B1">
        <w:rPr>
          <w:sz w:val="20"/>
          <w:szCs w:val="20"/>
          <w:lang w:val="fr-FR"/>
        </w:rPr>
        <w:t xml:space="preserve"> Ambroży, </w:t>
      </w:r>
      <w:r w:rsidR="00171E30" w:rsidRPr="005430B1">
        <w:rPr>
          <w:rStyle w:val="Emphasis"/>
          <w:sz w:val="20"/>
          <w:szCs w:val="20"/>
          <w:lang w:val="fr-FR"/>
        </w:rPr>
        <w:t>De fide 5, 1, 25</w:t>
      </w:r>
      <w:r w:rsidR="00171E30" w:rsidRPr="005430B1">
        <w:rPr>
          <w:sz w:val="20"/>
          <w:szCs w:val="20"/>
          <w:lang w:val="fr-FR"/>
        </w:rPr>
        <w:t>.</w:t>
      </w:r>
    </w:p>
  </w:footnote>
  <w:footnote w:id="19">
    <w:p w14:paraId="40A2ED64" w14:textId="77777777" w:rsidR="009F14C3" w:rsidRPr="005430B1" w:rsidRDefault="009F14C3" w:rsidP="00766926">
      <w:pPr>
        <w:pStyle w:val="NormalWeb"/>
        <w:spacing w:before="0" w:beforeAutospacing="0" w:after="0" w:afterAutospacing="0"/>
        <w:jc w:val="both"/>
        <w:rPr>
          <w:sz w:val="20"/>
          <w:szCs w:val="20"/>
          <w:lang w:val="de-AT"/>
        </w:rPr>
      </w:pPr>
      <w:r w:rsidRPr="005430B1">
        <w:rPr>
          <w:rStyle w:val="FootnoteReference"/>
          <w:sz w:val="20"/>
          <w:szCs w:val="20"/>
        </w:rPr>
        <w:footnoteRef/>
      </w:r>
      <w:r w:rsidRPr="00766926">
        <w:rPr>
          <w:sz w:val="20"/>
          <w:szCs w:val="20"/>
          <w:lang w:val="de-AT"/>
        </w:rPr>
        <w:t xml:space="preserve"> </w:t>
      </w:r>
      <w:r w:rsidR="005B1E57" w:rsidRPr="00766926">
        <w:rPr>
          <w:sz w:val="20"/>
          <w:szCs w:val="20"/>
          <w:lang w:val="de-AT"/>
        </w:rPr>
        <w:t xml:space="preserve">H.G. </w:t>
      </w:r>
      <w:r w:rsidR="00C1724B" w:rsidRPr="00766926">
        <w:rPr>
          <w:sz w:val="20"/>
          <w:szCs w:val="20"/>
          <w:lang w:val="de-AT"/>
        </w:rPr>
        <w:t xml:space="preserve">Opitz, </w:t>
      </w:r>
      <w:r w:rsidR="00C1724B" w:rsidRPr="00766926">
        <w:rPr>
          <w:rStyle w:val="Emphasis"/>
          <w:sz w:val="20"/>
          <w:szCs w:val="20"/>
          <w:lang w:val="de-AT"/>
        </w:rPr>
        <w:t>Athanasius Werke II</w:t>
      </w:r>
      <w:r w:rsidR="00766926">
        <w:rPr>
          <w:rStyle w:val="Emphasis"/>
          <w:sz w:val="20"/>
          <w:szCs w:val="20"/>
          <w:lang w:val="de-AT"/>
        </w:rPr>
        <w:t>…</w:t>
      </w:r>
      <w:r w:rsidR="00C1724B" w:rsidRPr="00766926">
        <w:rPr>
          <w:sz w:val="20"/>
          <w:szCs w:val="20"/>
          <w:lang w:val="de-AT"/>
        </w:rPr>
        <w:t xml:space="preserve">, 1, 9 (s. 242, 16–17); por. </w:t>
      </w:r>
      <w:r w:rsidR="00C1724B" w:rsidRPr="005430B1">
        <w:rPr>
          <w:sz w:val="20"/>
          <w:szCs w:val="20"/>
          <w:lang w:val="de-AT"/>
        </w:rPr>
        <w:t xml:space="preserve">Grillmeier, </w:t>
      </w:r>
      <w:r w:rsidR="00C1724B" w:rsidRPr="005430B1">
        <w:rPr>
          <w:rStyle w:val="Emphasis"/>
          <w:sz w:val="20"/>
          <w:szCs w:val="20"/>
          <w:lang w:val="de-AT"/>
        </w:rPr>
        <w:t>Jesus Christus im Glauben der Kirche</w:t>
      </w:r>
      <w:r w:rsidR="005B1E57" w:rsidRPr="005430B1">
        <w:rPr>
          <w:rStyle w:val="Emphasis"/>
          <w:sz w:val="20"/>
          <w:szCs w:val="20"/>
          <w:lang w:val="de-AT"/>
        </w:rPr>
        <w:t>…</w:t>
      </w:r>
      <w:r w:rsidR="00C1724B" w:rsidRPr="005430B1">
        <w:rPr>
          <w:sz w:val="20"/>
          <w:szCs w:val="20"/>
          <w:lang w:val="de-AT"/>
        </w:rPr>
        <w:t xml:space="preserve">, t. I, s. 368, </w:t>
      </w:r>
      <w:r w:rsidR="005B1E57" w:rsidRPr="005430B1">
        <w:rPr>
          <w:sz w:val="20"/>
          <w:szCs w:val="20"/>
          <w:lang w:val="de-AT"/>
        </w:rPr>
        <w:t xml:space="preserve">s. </w:t>
      </w:r>
      <w:r w:rsidR="00C1724B" w:rsidRPr="005430B1">
        <w:rPr>
          <w:sz w:val="20"/>
          <w:szCs w:val="20"/>
          <w:lang w:val="de-AT"/>
        </w:rPr>
        <w:t>409.</w:t>
      </w:r>
    </w:p>
  </w:footnote>
  <w:footnote w:id="20">
    <w:p w14:paraId="4579E461" w14:textId="77777777" w:rsidR="009F14C3" w:rsidRPr="005430B1" w:rsidRDefault="009F14C3"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 xml:space="preserve">C. </w:t>
      </w:r>
      <w:r w:rsidR="00901D6D" w:rsidRPr="005430B1">
        <w:rPr>
          <w:sz w:val="20"/>
          <w:szCs w:val="20"/>
          <w:lang w:val="de-AT"/>
        </w:rPr>
        <w:t xml:space="preserve">Schönborn, </w:t>
      </w:r>
      <w:r w:rsidR="00901D6D" w:rsidRPr="005430B1">
        <w:rPr>
          <w:rStyle w:val="Emphasis"/>
          <w:sz w:val="20"/>
          <w:szCs w:val="20"/>
          <w:lang w:val="de-AT"/>
        </w:rPr>
        <w:t>Gott sandte seinen Sohn</w:t>
      </w:r>
      <w:r w:rsidR="005B1E57" w:rsidRPr="005430B1">
        <w:rPr>
          <w:rStyle w:val="Emphasis"/>
          <w:sz w:val="20"/>
          <w:szCs w:val="20"/>
          <w:lang w:val="de-AT"/>
        </w:rPr>
        <w:t>…</w:t>
      </w:r>
      <w:r w:rsidR="00901D6D" w:rsidRPr="005430B1">
        <w:rPr>
          <w:sz w:val="20"/>
          <w:szCs w:val="20"/>
          <w:lang w:val="de-AT"/>
        </w:rPr>
        <w:t>, s. 76.</w:t>
      </w:r>
    </w:p>
  </w:footnote>
  <w:footnote w:id="21">
    <w:p w14:paraId="703B28EA" w14:textId="77777777" w:rsidR="007449B0" w:rsidRPr="005430B1" w:rsidRDefault="007449B0"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Por. C.</w:t>
      </w:r>
      <w:r w:rsidR="00305F13" w:rsidRPr="005430B1">
        <w:rPr>
          <w:sz w:val="20"/>
          <w:szCs w:val="20"/>
          <w:lang w:val="de-AT"/>
        </w:rPr>
        <w:t xml:space="preserve"> Markschies, </w:t>
      </w:r>
      <w:r w:rsidR="00305F13" w:rsidRPr="005430B1">
        <w:rPr>
          <w:rStyle w:val="Emphasis"/>
          <w:sz w:val="20"/>
          <w:szCs w:val="20"/>
          <w:lang w:val="de-AT"/>
        </w:rPr>
        <w:t>Die Erforschung antiker christologischer Reflexion und der jüdisch-christliche Dialog – ein Prospekt</w:t>
      </w:r>
      <w:r w:rsidR="005B1E57" w:rsidRPr="005430B1">
        <w:rPr>
          <w:sz w:val="20"/>
          <w:szCs w:val="20"/>
          <w:lang w:val="de-AT"/>
        </w:rPr>
        <w:t>, w: C.</w:t>
      </w:r>
      <w:r w:rsidR="00305F13" w:rsidRPr="005430B1">
        <w:rPr>
          <w:sz w:val="20"/>
          <w:szCs w:val="20"/>
          <w:lang w:val="de-AT"/>
        </w:rPr>
        <w:t xml:space="preserve"> Danz i in., (red.), </w:t>
      </w:r>
      <w:r w:rsidR="00305F13" w:rsidRPr="005430B1">
        <w:rPr>
          <w:rStyle w:val="Emphasis"/>
          <w:sz w:val="20"/>
          <w:szCs w:val="20"/>
          <w:lang w:val="de-AT"/>
        </w:rPr>
        <w:t>Christologie zwischen Judentum und Christentum</w:t>
      </w:r>
      <w:r w:rsidR="00305F13" w:rsidRPr="005430B1">
        <w:rPr>
          <w:sz w:val="20"/>
          <w:szCs w:val="20"/>
          <w:lang w:val="de-AT"/>
        </w:rPr>
        <w:t xml:space="preserve">, </w:t>
      </w:r>
      <w:r w:rsidR="005B1E57" w:rsidRPr="005430B1">
        <w:rPr>
          <w:sz w:val="20"/>
          <w:szCs w:val="20"/>
          <w:lang w:val="de-AT"/>
        </w:rPr>
        <w:t>Tübingen</w:t>
      </w:r>
      <w:r w:rsidR="00305F13" w:rsidRPr="005430B1">
        <w:rPr>
          <w:sz w:val="20"/>
          <w:szCs w:val="20"/>
          <w:lang w:val="de-AT"/>
        </w:rPr>
        <w:t xml:space="preserve"> 2020, s. 247–269, szczególnie s. 263–264.</w:t>
      </w:r>
    </w:p>
  </w:footnote>
  <w:footnote w:id="22">
    <w:p w14:paraId="289D8462" w14:textId="77777777" w:rsidR="007449B0" w:rsidRPr="005430B1" w:rsidRDefault="007449B0"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C.</w:t>
      </w:r>
      <w:r w:rsidR="003234AE" w:rsidRPr="005430B1">
        <w:rPr>
          <w:sz w:val="20"/>
          <w:szCs w:val="20"/>
          <w:lang w:val="de-AT"/>
        </w:rPr>
        <w:t xml:space="preserve"> Markschies, „</w:t>
      </w:r>
      <w:r w:rsidR="003234AE" w:rsidRPr="005430B1">
        <w:rPr>
          <w:rStyle w:val="Emphasis"/>
          <w:sz w:val="20"/>
          <w:szCs w:val="20"/>
          <w:lang w:val="de-AT"/>
        </w:rPr>
        <w:t>Hellenisierung des Christentums</w:t>
      </w:r>
      <w:r w:rsidR="003234AE" w:rsidRPr="005430B1">
        <w:rPr>
          <w:sz w:val="20"/>
          <w:szCs w:val="20"/>
          <w:lang w:val="de-AT"/>
        </w:rPr>
        <w:t xml:space="preserve">? – </w:t>
      </w:r>
      <w:r w:rsidR="003234AE" w:rsidRPr="005430B1">
        <w:rPr>
          <w:i/>
          <w:iCs/>
          <w:sz w:val="20"/>
          <w:szCs w:val="20"/>
          <w:lang w:val="de-AT"/>
        </w:rPr>
        <w:t>die ersten Konzilien</w:t>
      </w:r>
      <w:r w:rsidR="003234AE" w:rsidRPr="005430B1">
        <w:rPr>
          <w:sz w:val="20"/>
          <w:szCs w:val="20"/>
          <w:lang w:val="de-AT"/>
        </w:rPr>
        <w:t>”, w: F</w:t>
      </w:r>
      <w:r w:rsidR="005B1E57" w:rsidRPr="005430B1">
        <w:rPr>
          <w:sz w:val="20"/>
          <w:szCs w:val="20"/>
          <w:lang w:val="de-AT"/>
        </w:rPr>
        <w:t>.W. Graf, K.</w:t>
      </w:r>
      <w:r w:rsidR="003234AE" w:rsidRPr="005430B1">
        <w:rPr>
          <w:sz w:val="20"/>
          <w:szCs w:val="20"/>
          <w:lang w:val="de-AT"/>
        </w:rPr>
        <w:t xml:space="preserve"> Wiegandt (red.), </w:t>
      </w:r>
      <w:r w:rsidR="003234AE" w:rsidRPr="005430B1">
        <w:rPr>
          <w:rStyle w:val="Emphasis"/>
          <w:sz w:val="20"/>
          <w:szCs w:val="20"/>
          <w:lang w:val="de-AT"/>
        </w:rPr>
        <w:t>Die Anfänge des Christentums</w:t>
      </w:r>
      <w:r w:rsidR="003234AE" w:rsidRPr="005430B1">
        <w:rPr>
          <w:sz w:val="20"/>
          <w:szCs w:val="20"/>
          <w:lang w:val="de-AT"/>
        </w:rPr>
        <w:t>, Frankfurt/M. 2009, s. 397–436.</w:t>
      </w:r>
    </w:p>
  </w:footnote>
  <w:footnote w:id="23">
    <w:p w14:paraId="3DEC6251" w14:textId="77777777" w:rsidR="007449B0" w:rsidRPr="005430B1" w:rsidRDefault="007449B0"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G.</w:t>
      </w:r>
      <w:r w:rsidR="003234AE" w:rsidRPr="005430B1">
        <w:rPr>
          <w:sz w:val="20"/>
          <w:szCs w:val="20"/>
          <w:lang w:val="de-AT"/>
        </w:rPr>
        <w:t xml:space="preserve"> Essen, </w:t>
      </w:r>
      <w:r w:rsidR="003234AE" w:rsidRPr="005430B1">
        <w:rPr>
          <w:rStyle w:val="Emphasis"/>
          <w:sz w:val="20"/>
          <w:szCs w:val="20"/>
          <w:lang w:val="de-AT"/>
        </w:rPr>
        <w:t>Hellenisierung des Christentums? Zur Problematik und Überwindung einer polarisierenden Deutungsfigur</w:t>
      </w:r>
      <w:r w:rsidR="003234AE" w:rsidRPr="005430B1">
        <w:rPr>
          <w:sz w:val="20"/>
          <w:szCs w:val="20"/>
          <w:lang w:val="de-AT"/>
        </w:rPr>
        <w:t xml:space="preserve">, w: </w:t>
      </w:r>
      <w:r w:rsidR="003234AE" w:rsidRPr="005430B1">
        <w:rPr>
          <w:rStyle w:val="Emphasis"/>
          <w:sz w:val="20"/>
          <w:szCs w:val="20"/>
          <w:lang w:val="de-AT"/>
        </w:rPr>
        <w:t>Theologie und Philosophie</w:t>
      </w:r>
      <w:r w:rsidR="003234AE" w:rsidRPr="005430B1">
        <w:rPr>
          <w:sz w:val="20"/>
          <w:szCs w:val="20"/>
          <w:lang w:val="de-AT"/>
        </w:rPr>
        <w:t xml:space="preserve"> 87 (2012), s. 1–17.</w:t>
      </w:r>
    </w:p>
  </w:footnote>
  <w:footnote w:id="24">
    <w:p w14:paraId="3084988A" w14:textId="77777777" w:rsidR="007B322A" w:rsidRPr="005430B1" w:rsidRDefault="007B322A"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FD6EDF" w:rsidRPr="005430B1">
        <w:rPr>
          <w:sz w:val="20"/>
          <w:szCs w:val="20"/>
          <w:lang w:val="de-AT"/>
        </w:rPr>
        <w:t>J</w:t>
      </w:r>
      <w:r w:rsidR="005B1E57" w:rsidRPr="005430B1">
        <w:rPr>
          <w:sz w:val="20"/>
          <w:szCs w:val="20"/>
          <w:lang w:val="de-AT"/>
        </w:rPr>
        <w:t>.H.</w:t>
      </w:r>
      <w:r w:rsidR="00FD6EDF" w:rsidRPr="005430B1">
        <w:rPr>
          <w:sz w:val="20"/>
          <w:szCs w:val="20"/>
          <w:lang w:val="de-AT"/>
        </w:rPr>
        <w:t xml:space="preserve"> Tück, </w:t>
      </w:r>
      <w:r w:rsidR="00FD6EDF" w:rsidRPr="005430B1">
        <w:rPr>
          <w:rStyle w:val="Emphasis"/>
          <w:sz w:val="20"/>
          <w:szCs w:val="20"/>
          <w:lang w:val="de-AT"/>
        </w:rPr>
        <w:t>Auch der Sohn gehört in das Evangelium. Joseph Ratzingers Jesus-Buch als Anti-These zu Adolf von Harnack</w:t>
      </w:r>
      <w:r w:rsidR="005B1E57" w:rsidRPr="005430B1">
        <w:rPr>
          <w:sz w:val="20"/>
          <w:szCs w:val="20"/>
          <w:lang w:val="de-AT"/>
        </w:rPr>
        <w:t>, w: J.H. Tück</w:t>
      </w:r>
      <w:r w:rsidR="00FD6EDF" w:rsidRPr="005430B1">
        <w:rPr>
          <w:sz w:val="20"/>
          <w:szCs w:val="20"/>
          <w:lang w:val="de-AT"/>
        </w:rPr>
        <w:t xml:space="preserve"> (red.), </w:t>
      </w:r>
      <w:r w:rsidR="00FD6EDF" w:rsidRPr="005430B1">
        <w:rPr>
          <w:rStyle w:val="Emphasis"/>
          <w:sz w:val="20"/>
          <w:szCs w:val="20"/>
          <w:lang w:val="de-AT"/>
        </w:rPr>
        <w:t>Annäherungen an Jesus von Nazareth. Das Jesus-Buch des Papstes in der Diskussion</w:t>
      </w:r>
      <w:r w:rsidR="00FD6EDF" w:rsidRPr="005430B1">
        <w:rPr>
          <w:sz w:val="20"/>
          <w:szCs w:val="20"/>
          <w:lang w:val="de-AT"/>
        </w:rPr>
        <w:t>, Ostfildern 2008, s. 155–181, tutaj s. 163.</w:t>
      </w:r>
    </w:p>
  </w:footnote>
  <w:footnote w:id="25">
    <w:p w14:paraId="69DCBB2D" w14:textId="77777777" w:rsidR="006A0F6F" w:rsidRPr="005430B1" w:rsidRDefault="006A0F6F" w:rsidP="004A78FC">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G.</w:t>
      </w:r>
      <w:r w:rsidR="00057624" w:rsidRPr="005430B1">
        <w:rPr>
          <w:sz w:val="20"/>
          <w:szCs w:val="20"/>
          <w:lang w:val="de-AT"/>
        </w:rPr>
        <w:t xml:space="preserve">L. Müller, </w:t>
      </w:r>
      <w:r w:rsidR="00057624" w:rsidRPr="005430B1">
        <w:rPr>
          <w:rStyle w:val="Emphasis"/>
          <w:sz w:val="20"/>
          <w:szCs w:val="20"/>
          <w:lang w:val="de-AT"/>
        </w:rPr>
        <w:t>Katholische Dogmatik</w:t>
      </w:r>
      <w:r w:rsidR="00057624" w:rsidRPr="005430B1">
        <w:rPr>
          <w:sz w:val="20"/>
          <w:szCs w:val="20"/>
          <w:lang w:val="de-AT"/>
        </w:rPr>
        <w:t>, Freiburg i.</w:t>
      </w:r>
      <w:r w:rsidR="005B1E57" w:rsidRPr="005430B1">
        <w:rPr>
          <w:sz w:val="20"/>
          <w:szCs w:val="20"/>
          <w:lang w:val="de-AT"/>
        </w:rPr>
        <w:t xml:space="preserve"> Br. 1998, s. 331–336; K.</w:t>
      </w:r>
      <w:r w:rsidR="00057624" w:rsidRPr="005430B1">
        <w:rPr>
          <w:sz w:val="20"/>
          <w:szCs w:val="20"/>
          <w:lang w:val="de-AT"/>
        </w:rPr>
        <w:t xml:space="preserve"> Ruhstorfer, </w:t>
      </w:r>
      <w:r w:rsidR="00057624" w:rsidRPr="005430B1">
        <w:rPr>
          <w:rStyle w:val="Emphasis"/>
          <w:sz w:val="20"/>
          <w:szCs w:val="20"/>
          <w:lang w:val="de-AT"/>
        </w:rPr>
        <w:t>Christologie</w:t>
      </w:r>
      <w:r w:rsidR="00057624" w:rsidRPr="005430B1">
        <w:rPr>
          <w:sz w:val="20"/>
          <w:szCs w:val="20"/>
          <w:lang w:val="de-AT"/>
        </w:rPr>
        <w:t>,</w:t>
      </w:r>
      <w:r w:rsidR="005B1E57" w:rsidRPr="005430B1">
        <w:rPr>
          <w:sz w:val="20"/>
          <w:szCs w:val="20"/>
          <w:lang w:val="de-AT"/>
        </w:rPr>
        <w:t xml:space="preserve"> Paderborn 2008, s. 205–208</w:t>
      </w:r>
      <w:r w:rsidR="00057624" w:rsidRPr="005430B1">
        <w:rPr>
          <w:sz w:val="20"/>
          <w:szCs w:val="20"/>
          <w:lang w:val="de-AT"/>
        </w:rPr>
        <w:t>.</w:t>
      </w:r>
    </w:p>
  </w:footnote>
  <w:footnote w:id="26">
    <w:p w14:paraId="54058D68" w14:textId="77777777" w:rsidR="00FC2375" w:rsidRPr="005430B1" w:rsidRDefault="00FC2375" w:rsidP="00F951E8">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J.</w:t>
      </w:r>
      <w:r w:rsidR="00B71989" w:rsidRPr="005430B1">
        <w:rPr>
          <w:sz w:val="20"/>
          <w:szCs w:val="20"/>
          <w:lang w:val="de-AT"/>
        </w:rPr>
        <w:t xml:space="preserve"> Ratzinger, </w:t>
      </w:r>
      <w:r w:rsidR="00B71989" w:rsidRPr="005430B1">
        <w:rPr>
          <w:rStyle w:val="Emphasis"/>
          <w:sz w:val="20"/>
          <w:szCs w:val="20"/>
          <w:lang w:val="de-AT"/>
        </w:rPr>
        <w:t>Einführung ins Christentum</w:t>
      </w:r>
      <w:r w:rsidR="00B71989" w:rsidRPr="005430B1">
        <w:rPr>
          <w:sz w:val="20"/>
          <w:szCs w:val="20"/>
          <w:lang w:val="de-AT"/>
        </w:rPr>
        <w:t>, Mü</w:t>
      </w:r>
      <w:r w:rsidR="005B1E57" w:rsidRPr="005430B1">
        <w:rPr>
          <w:sz w:val="20"/>
          <w:szCs w:val="20"/>
          <w:lang w:val="de-AT"/>
        </w:rPr>
        <w:t>nchen 2000, s. 168. Również G.</w:t>
      </w:r>
      <w:r w:rsidR="00B71989" w:rsidRPr="005430B1">
        <w:rPr>
          <w:sz w:val="20"/>
          <w:szCs w:val="20"/>
          <w:lang w:val="de-AT"/>
        </w:rPr>
        <w:t xml:space="preserve"> Vermes określa pojęcie Homoousie jako „rewolucyjnie nową formułę” (</w:t>
      </w:r>
      <w:r w:rsidR="00B71989" w:rsidRPr="005430B1">
        <w:rPr>
          <w:rStyle w:val="Emphasis"/>
          <w:sz w:val="20"/>
          <w:szCs w:val="20"/>
          <w:lang w:val="de-AT"/>
        </w:rPr>
        <w:t>Vom Jesus der Geschichte zum Christus des Dogmas</w:t>
      </w:r>
      <w:r w:rsidR="00B71989" w:rsidRPr="005430B1">
        <w:rPr>
          <w:sz w:val="20"/>
          <w:szCs w:val="20"/>
          <w:lang w:val="de-AT"/>
        </w:rPr>
        <w:t xml:space="preserve">, Berlin 2016, s. 319). </w:t>
      </w:r>
      <w:r w:rsidR="00B71989" w:rsidRPr="005430B1">
        <w:rPr>
          <w:sz w:val="20"/>
          <w:szCs w:val="20"/>
        </w:rPr>
        <w:t xml:space="preserve">Przeciwko </w:t>
      </w:r>
      <w:r w:rsidR="000A2CD6" w:rsidRPr="005430B1">
        <w:rPr>
          <w:sz w:val="20"/>
          <w:szCs w:val="20"/>
        </w:rPr>
        <w:t>narracji</w:t>
      </w:r>
      <w:r w:rsidR="00B71989" w:rsidRPr="005430B1">
        <w:rPr>
          <w:sz w:val="20"/>
          <w:szCs w:val="20"/>
        </w:rPr>
        <w:t>, że to dopiero poświąteczna wspólnota wymyśliła wysoką chrystologi</w:t>
      </w:r>
      <w:r w:rsidR="005B1E57" w:rsidRPr="005430B1">
        <w:rPr>
          <w:sz w:val="20"/>
          <w:szCs w:val="20"/>
        </w:rPr>
        <w:t>ę, sprzeciwia się również D.</w:t>
      </w:r>
      <w:r w:rsidR="00B71989" w:rsidRPr="005430B1">
        <w:rPr>
          <w:sz w:val="20"/>
          <w:szCs w:val="20"/>
        </w:rPr>
        <w:t xml:space="preserve"> Boyarin, </w:t>
      </w:r>
      <w:r w:rsidR="00B71989" w:rsidRPr="005430B1">
        <w:rPr>
          <w:rStyle w:val="Emphasis"/>
          <w:sz w:val="20"/>
          <w:szCs w:val="20"/>
        </w:rPr>
        <w:t xml:space="preserve">Die jüdischen Evangelien. </w:t>
      </w:r>
      <w:r w:rsidR="00B71989" w:rsidRPr="005430B1">
        <w:rPr>
          <w:rStyle w:val="Emphasis"/>
          <w:sz w:val="20"/>
          <w:szCs w:val="20"/>
          <w:lang w:val="de-AT"/>
        </w:rPr>
        <w:t>Die Geschichte des jüdischen Jesus</w:t>
      </w:r>
      <w:r w:rsidR="00B71989" w:rsidRPr="005430B1">
        <w:rPr>
          <w:sz w:val="20"/>
          <w:szCs w:val="20"/>
          <w:lang w:val="de-AT"/>
        </w:rPr>
        <w:t>, Baden-Baden 2015.</w:t>
      </w:r>
    </w:p>
  </w:footnote>
  <w:footnote w:id="27">
    <w:p w14:paraId="740EA35F" w14:textId="77777777" w:rsidR="007D72AD" w:rsidRPr="005430B1" w:rsidRDefault="007D72AD"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B1E57" w:rsidRPr="005430B1">
        <w:rPr>
          <w:sz w:val="20"/>
          <w:szCs w:val="20"/>
          <w:lang w:val="de-AT"/>
        </w:rPr>
        <w:t>Por. P.</w:t>
      </w:r>
      <w:r w:rsidR="00F951E8" w:rsidRPr="005430B1">
        <w:rPr>
          <w:sz w:val="20"/>
          <w:szCs w:val="20"/>
          <w:lang w:val="de-AT"/>
        </w:rPr>
        <w:t xml:space="preserve"> Schäfer, </w:t>
      </w:r>
      <w:r w:rsidR="00F951E8" w:rsidRPr="005430B1">
        <w:rPr>
          <w:rStyle w:val="Emphasis"/>
          <w:sz w:val="20"/>
          <w:szCs w:val="20"/>
          <w:lang w:val="de-AT"/>
        </w:rPr>
        <w:t>Zwei Götter im Himmel. Gottesvorstellungen in der jüdischen Antike</w:t>
      </w:r>
      <w:r w:rsidR="00F951E8" w:rsidRPr="005430B1">
        <w:rPr>
          <w:sz w:val="20"/>
          <w:szCs w:val="20"/>
          <w:lang w:val="de-AT"/>
        </w:rPr>
        <w:t xml:space="preserve">, </w:t>
      </w:r>
      <w:r w:rsidR="005B1E57" w:rsidRPr="005430B1">
        <w:rPr>
          <w:sz w:val="20"/>
          <w:szCs w:val="20"/>
          <w:lang w:val="de-AT"/>
        </w:rPr>
        <w:t xml:space="preserve">München </w:t>
      </w:r>
      <w:r w:rsidR="00F951E8" w:rsidRPr="005430B1">
        <w:rPr>
          <w:sz w:val="20"/>
          <w:szCs w:val="20"/>
          <w:lang w:val="de-AT"/>
        </w:rPr>
        <w:t>2017.</w:t>
      </w:r>
    </w:p>
  </w:footnote>
  <w:footnote w:id="28">
    <w:p w14:paraId="709E767C" w14:textId="77777777" w:rsidR="00910AC1" w:rsidRPr="005430B1" w:rsidRDefault="00910AC1" w:rsidP="005B1E57">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F951E8" w:rsidRPr="005430B1">
        <w:rPr>
          <w:sz w:val="20"/>
          <w:szCs w:val="20"/>
          <w:lang w:val="de-AT"/>
        </w:rPr>
        <w:t xml:space="preserve">Vermes, </w:t>
      </w:r>
      <w:r w:rsidR="00F951E8" w:rsidRPr="005430B1">
        <w:rPr>
          <w:rStyle w:val="Emphasis"/>
          <w:sz w:val="20"/>
          <w:szCs w:val="20"/>
          <w:lang w:val="de-AT"/>
        </w:rPr>
        <w:t>Vom Jesus der Geschichte zum Christus des Dogmas</w:t>
      </w:r>
      <w:r w:rsidR="005B1E57" w:rsidRPr="005430B1">
        <w:rPr>
          <w:rStyle w:val="Emphasis"/>
          <w:sz w:val="20"/>
          <w:szCs w:val="20"/>
          <w:lang w:val="de-AT"/>
        </w:rPr>
        <w:t>.</w:t>
      </w:r>
    </w:p>
  </w:footnote>
  <w:footnote w:id="29">
    <w:p w14:paraId="0A34605F" w14:textId="77777777" w:rsidR="000301FA" w:rsidRPr="005430B1" w:rsidRDefault="000301FA" w:rsidP="005430B1">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F951E8" w:rsidRPr="005430B1">
        <w:rPr>
          <w:sz w:val="20"/>
          <w:szCs w:val="20"/>
          <w:lang w:val="de-AT"/>
        </w:rPr>
        <w:t xml:space="preserve">Judaizm Jezusa został podkreślony przez Helmuta Hopinga w jego chrystologii: </w:t>
      </w:r>
      <w:r w:rsidR="005430B1" w:rsidRPr="005430B1">
        <w:rPr>
          <w:i/>
          <w:iCs/>
          <w:sz w:val="20"/>
          <w:szCs w:val="20"/>
          <w:lang w:val="de-AT"/>
        </w:rPr>
        <w:t>Jesus aus Galiläa – Messias und Gottes Sohn</w:t>
      </w:r>
      <w:r w:rsidR="005430B1" w:rsidRPr="005430B1">
        <w:rPr>
          <w:sz w:val="20"/>
          <w:szCs w:val="20"/>
          <w:lang w:val="de-AT"/>
        </w:rPr>
        <w:t xml:space="preserve">, Freiburg i. Br. </w:t>
      </w:r>
      <w:r w:rsidR="00F951E8" w:rsidRPr="005430B1">
        <w:rPr>
          <w:sz w:val="20"/>
          <w:szCs w:val="20"/>
          <w:lang w:val="de-AT"/>
        </w:rPr>
        <w:t>2021. Zobacz także</w:t>
      </w:r>
      <w:r w:rsidR="005430B1" w:rsidRPr="005430B1">
        <w:rPr>
          <w:sz w:val="20"/>
          <w:szCs w:val="20"/>
          <w:lang w:val="de-AT"/>
        </w:rPr>
        <w:t>:</w:t>
      </w:r>
      <w:r w:rsidR="00F951E8" w:rsidRPr="005430B1">
        <w:rPr>
          <w:sz w:val="20"/>
          <w:szCs w:val="20"/>
          <w:lang w:val="de-AT"/>
        </w:rPr>
        <w:t xml:space="preserve"> J</w:t>
      </w:r>
      <w:r w:rsidR="005430B1" w:rsidRPr="005430B1">
        <w:rPr>
          <w:sz w:val="20"/>
          <w:szCs w:val="20"/>
          <w:lang w:val="de-AT"/>
        </w:rPr>
        <w:t>.H.</w:t>
      </w:r>
      <w:r w:rsidR="00F951E8" w:rsidRPr="005430B1">
        <w:rPr>
          <w:sz w:val="20"/>
          <w:szCs w:val="20"/>
          <w:lang w:val="de-AT"/>
        </w:rPr>
        <w:t xml:space="preserve"> Tück, </w:t>
      </w:r>
      <w:r w:rsidR="005430B1" w:rsidRPr="00766926">
        <w:rPr>
          <w:i/>
          <w:iCs/>
          <w:sz w:val="20"/>
          <w:szCs w:val="20"/>
          <w:lang w:val="de-AT"/>
        </w:rPr>
        <w:t>Beschneidung Jesu. Was sie Juden und Christen heute bedeutet</w:t>
      </w:r>
      <w:r w:rsidR="005430B1" w:rsidRPr="005430B1">
        <w:rPr>
          <w:sz w:val="20"/>
          <w:szCs w:val="20"/>
          <w:lang w:val="de-AT"/>
        </w:rPr>
        <w:t xml:space="preserve">, </w:t>
      </w:r>
      <w:r w:rsidR="00F951E8" w:rsidRPr="005430B1">
        <w:rPr>
          <w:sz w:val="20"/>
          <w:szCs w:val="20"/>
          <w:lang w:val="de-AT"/>
        </w:rPr>
        <w:t>z</w:t>
      </w:r>
      <w:r w:rsidR="005430B1" w:rsidRPr="005430B1">
        <w:rPr>
          <w:sz w:val="20"/>
          <w:szCs w:val="20"/>
          <w:lang w:val="de-AT"/>
        </w:rPr>
        <w:t xml:space="preserve">e </w:t>
      </w:r>
      <w:r w:rsidR="005430B1" w:rsidRPr="005430B1">
        <w:rPr>
          <w:i/>
          <w:iCs/>
          <w:sz w:val="20"/>
          <w:szCs w:val="20"/>
          <w:lang w:val="de-AT"/>
        </w:rPr>
        <w:t>W</w:t>
      </w:r>
      <w:r w:rsidR="00F951E8" w:rsidRPr="005430B1">
        <w:rPr>
          <w:i/>
          <w:iCs/>
          <w:sz w:val="20"/>
          <w:szCs w:val="20"/>
          <w:lang w:val="de-AT"/>
        </w:rPr>
        <w:t>stępem</w:t>
      </w:r>
      <w:r w:rsidR="00F951E8" w:rsidRPr="005430B1">
        <w:rPr>
          <w:sz w:val="20"/>
          <w:szCs w:val="20"/>
          <w:lang w:val="de-AT"/>
        </w:rPr>
        <w:t xml:space="preserve"> kardynała Waltera Kaspera, </w:t>
      </w:r>
      <w:r w:rsidR="005430B1" w:rsidRPr="005430B1">
        <w:rPr>
          <w:sz w:val="20"/>
          <w:szCs w:val="20"/>
          <w:lang w:val="de-AT"/>
        </w:rPr>
        <w:t xml:space="preserve">Freiburg i. Br. </w:t>
      </w:r>
      <w:r w:rsidR="00F951E8" w:rsidRPr="005430B1">
        <w:rPr>
          <w:sz w:val="20"/>
          <w:szCs w:val="20"/>
          <w:lang w:val="de-AT"/>
        </w:rPr>
        <w:t>2020.</w:t>
      </w:r>
    </w:p>
  </w:footnote>
  <w:footnote w:id="30">
    <w:p w14:paraId="1661D097" w14:textId="77777777" w:rsidR="00F33293" w:rsidRPr="005430B1" w:rsidRDefault="00F33293" w:rsidP="005430B1">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430B1" w:rsidRPr="005430B1">
        <w:rPr>
          <w:sz w:val="20"/>
          <w:szCs w:val="20"/>
          <w:lang w:val="de-AT"/>
        </w:rPr>
        <w:t xml:space="preserve">D. </w:t>
      </w:r>
      <w:r w:rsidR="0021684A" w:rsidRPr="005430B1">
        <w:rPr>
          <w:sz w:val="20"/>
          <w:szCs w:val="20"/>
          <w:lang w:val="de-AT"/>
        </w:rPr>
        <w:t xml:space="preserve">Boyarin, </w:t>
      </w:r>
      <w:r w:rsidR="0021684A" w:rsidRPr="005430B1">
        <w:rPr>
          <w:rStyle w:val="Emphasis"/>
          <w:sz w:val="20"/>
          <w:szCs w:val="20"/>
          <w:lang w:val="de-AT"/>
        </w:rPr>
        <w:t>Die jüdischen Evangelien</w:t>
      </w:r>
      <w:r w:rsidR="005430B1" w:rsidRPr="005430B1">
        <w:rPr>
          <w:rStyle w:val="Emphasis"/>
          <w:sz w:val="20"/>
          <w:szCs w:val="20"/>
          <w:lang w:val="de-AT"/>
        </w:rPr>
        <w:t>…</w:t>
      </w:r>
      <w:r w:rsidR="0021684A" w:rsidRPr="005430B1">
        <w:rPr>
          <w:sz w:val="20"/>
          <w:szCs w:val="20"/>
          <w:lang w:val="de-AT"/>
        </w:rPr>
        <w:t>, s. 64.</w:t>
      </w:r>
    </w:p>
  </w:footnote>
  <w:footnote w:id="31">
    <w:p w14:paraId="418BED8C" w14:textId="77777777" w:rsidR="00A86D13" w:rsidRPr="005430B1" w:rsidRDefault="00A86D13" w:rsidP="0021684A">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21684A" w:rsidRPr="005430B1">
        <w:rPr>
          <w:sz w:val="20"/>
          <w:szCs w:val="20"/>
          <w:lang w:val="de-AT"/>
        </w:rPr>
        <w:t xml:space="preserve">Por. mój artykuł: </w:t>
      </w:r>
      <w:r w:rsidR="0021684A" w:rsidRPr="005430B1">
        <w:rPr>
          <w:rStyle w:val="Emphasis"/>
          <w:sz w:val="20"/>
          <w:szCs w:val="20"/>
          <w:lang w:val="de-AT"/>
        </w:rPr>
        <w:t>Gottes Wohnen unter uns. Jüdische Theologie der Einwohnung und christliche Inkarnationstheologie im Gespräch</w:t>
      </w:r>
      <w:r w:rsidR="0021684A" w:rsidRPr="005430B1">
        <w:rPr>
          <w:sz w:val="20"/>
          <w:szCs w:val="20"/>
          <w:lang w:val="de-AT"/>
        </w:rPr>
        <w:t xml:space="preserve">, w: </w:t>
      </w:r>
      <w:r w:rsidR="0021684A" w:rsidRPr="005430B1">
        <w:rPr>
          <w:rStyle w:val="Emphasis"/>
          <w:sz w:val="20"/>
          <w:szCs w:val="20"/>
          <w:lang w:val="de-AT"/>
        </w:rPr>
        <w:t>Kirche und Israel</w:t>
      </w:r>
      <w:r w:rsidR="0021684A" w:rsidRPr="005430B1">
        <w:rPr>
          <w:sz w:val="20"/>
          <w:szCs w:val="20"/>
          <w:lang w:val="de-AT"/>
        </w:rPr>
        <w:t xml:space="preserve"> 47 (2022), s. 42–59.</w:t>
      </w:r>
    </w:p>
  </w:footnote>
  <w:footnote w:id="32">
    <w:p w14:paraId="3024F2A5" w14:textId="77777777" w:rsidR="00A85B71" w:rsidRPr="005430B1" w:rsidRDefault="00A85B71" w:rsidP="00953E69">
      <w:pPr>
        <w:pStyle w:val="NormalWeb"/>
        <w:spacing w:before="0" w:beforeAutospacing="0" w:after="0" w:afterAutospacing="0"/>
        <w:jc w:val="both"/>
        <w:rPr>
          <w:sz w:val="20"/>
          <w:szCs w:val="20"/>
          <w:lang w:val="de-AT"/>
        </w:rPr>
      </w:pPr>
      <w:r w:rsidRPr="005430B1">
        <w:rPr>
          <w:rStyle w:val="FootnoteReference"/>
          <w:sz w:val="20"/>
          <w:szCs w:val="20"/>
        </w:rPr>
        <w:footnoteRef/>
      </w:r>
      <w:r w:rsidRPr="005430B1">
        <w:rPr>
          <w:sz w:val="20"/>
          <w:szCs w:val="20"/>
          <w:lang w:val="de-AT"/>
        </w:rPr>
        <w:t xml:space="preserve"> </w:t>
      </w:r>
      <w:r w:rsidR="005430B1" w:rsidRPr="005430B1">
        <w:rPr>
          <w:sz w:val="20"/>
          <w:szCs w:val="20"/>
          <w:lang w:val="de-AT"/>
        </w:rPr>
        <w:t>Por. C.</w:t>
      </w:r>
      <w:r w:rsidR="0021684A" w:rsidRPr="005430B1">
        <w:rPr>
          <w:sz w:val="20"/>
          <w:szCs w:val="20"/>
          <w:lang w:val="de-AT"/>
        </w:rPr>
        <w:t xml:space="preserve"> Stoll, </w:t>
      </w:r>
      <w:r w:rsidR="0021684A" w:rsidRPr="005430B1">
        <w:rPr>
          <w:rStyle w:val="Emphasis"/>
          <w:sz w:val="20"/>
          <w:szCs w:val="20"/>
          <w:lang w:val="de-AT"/>
        </w:rPr>
        <w:t>Die Öffentlichkeit der Christus-Krise: Erik Petersons eschatologischer Kirchenbegriff im Kontext der Moderne</w:t>
      </w:r>
      <w:r w:rsidR="005430B1" w:rsidRPr="005430B1">
        <w:rPr>
          <w:sz w:val="20"/>
          <w:szCs w:val="20"/>
          <w:lang w:val="de-AT"/>
        </w:rPr>
        <w:t>, Paderborn 2017; G.</w:t>
      </w:r>
      <w:r w:rsidR="0021684A" w:rsidRPr="005430B1">
        <w:rPr>
          <w:sz w:val="20"/>
          <w:szCs w:val="20"/>
          <w:lang w:val="de-AT"/>
        </w:rPr>
        <w:t xml:space="preserve"> Agamben, </w:t>
      </w:r>
      <w:r w:rsidR="0021684A" w:rsidRPr="005430B1">
        <w:rPr>
          <w:rStyle w:val="Emphasis"/>
          <w:sz w:val="20"/>
          <w:szCs w:val="20"/>
          <w:lang w:val="de-AT"/>
        </w:rPr>
        <w:t>Herrschaft und Herrlichkeit. Zur theologischen Genealogie von Ökonomie und Regierung</w:t>
      </w:r>
      <w:r w:rsidR="0021684A" w:rsidRPr="005430B1">
        <w:rPr>
          <w:sz w:val="20"/>
          <w:szCs w:val="20"/>
          <w:lang w:val="de-AT"/>
        </w:rPr>
        <w:t xml:space="preserve"> (Homo sacer II.2), Berlin 2010.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744"/>
    <w:rsid w:val="00025EC0"/>
    <w:rsid w:val="000301FA"/>
    <w:rsid w:val="00034E32"/>
    <w:rsid w:val="00047E3B"/>
    <w:rsid w:val="00054B8A"/>
    <w:rsid w:val="00057624"/>
    <w:rsid w:val="000A208A"/>
    <w:rsid w:val="000A2CD6"/>
    <w:rsid w:val="000A4566"/>
    <w:rsid w:val="000D0F13"/>
    <w:rsid w:val="000D4EFE"/>
    <w:rsid w:val="000E300C"/>
    <w:rsid w:val="000E45B6"/>
    <w:rsid w:val="000F1F35"/>
    <w:rsid w:val="000F3FA9"/>
    <w:rsid w:val="001070D9"/>
    <w:rsid w:val="00107A40"/>
    <w:rsid w:val="00114FC9"/>
    <w:rsid w:val="00120C66"/>
    <w:rsid w:val="001350E0"/>
    <w:rsid w:val="001625DE"/>
    <w:rsid w:val="00165056"/>
    <w:rsid w:val="00171E30"/>
    <w:rsid w:val="00196AA6"/>
    <w:rsid w:val="001C1A69"/>
    <w:rsid w:val="001C21EE"/>
    <w:rsid w:val="0021684A"/>
    <w:rsid w:val="0023383B"/>
    <w:rsid w:val="00271744"/>
    <w:rsid w:val="002A4143"/>
    <w:rsid w:val="002B031D"/>
    <w:rsid w:val="002B3DCB"/>
    <w:rsid w:val="002B5956"/>
    <w:rsid w:val="002C4BD5"/>
    <w:rsid w:val="00305F13"/>
    <w:rsid w:val="003234A8"/>
    <w:rsid w:val="003234AE"/>
    <w:rsid w:val="00342C9B"/>
    <w:rsid w:val="00363D96"/>
    <w:rsid w:val="00386667"/>
    <w:rsid w:val="003917E6"/>
    <w:rsid w:val="003B66DC"/>
    <w:rsid w:val="003D23BE"/>
    <w:rsid w:val="003D7C54"/>
    <w:rsid w:val="003E0735"/>
    <w:rsid w:val="003F4C00"/>
    <w:rsid w:val="003F53CB"/>
    <w:rsid w:val="003F68AE"/>
    <w:rsid w:val="00445C3C"/>
    <w:rsid w:val="004764FA"/>
    <w:rsid w:val="004A733A"/>
    <w:rsid w:val="004A78FC"/>
    <w:rsid w:val="004E5A10"/>
    <w:rsid w:val="004E7AA4"/>
    <w:rsid w:val="004F5993"/>
    <w:rsid w:val="004F599F"/>
    <w:rsid w:val="00511A18"/>
    <w:rsid w:val="00511EF8"/>
    <w:rsid w:val="00516F36"/>
    <w:rsid w:val="005430B1"/>
    <w:rsid w:val="005978C8"/>
    <w:rsid w:val="005B1E57"/>
    <w:rsid w:val="00605C54"/>
    <w:rsid w:val="006161B8"/>
    <w:rsid w:val="0062451F"/>
    <w:rsid w:val="006426B4"/>
    <w:rsid w:val="006733D6"/>
    <w:rsid w:val="006756F7"/>
    <w:rsid w:val="00682364"/>
    <w:rsid w:val="006A0F6F"/>
    <w:rsid w:val="006F3C95"/>
    <w:rsid w:val="006F6598"/>
    <w:rsid w:val="00700177"/>
    <w:rsid w:val="007311D8"/>
    <w:rsid w:val="007449B0"/>
    <w:rsid w:val="007458AD"/>
    <w:rsid w:val="00757A09"/>
    <w:rsid w:val="00766926"/>
    <w:rsid w:val="007B322A"/>
    <w:rsid w:val="007C0C38"/>
    <w:rsid w:val="007D72AD"/>
    <w:rsid w:val="007E3F78"/>
    <w:rsid w:val="0080273F"/>
    <w:rsid w:val="00803FA8"/>
    <w:rsid w:val="00826457"/>
    <w:rsid w:val="00850A9D"/>
    <w:rsid w:val="00850B8A"/>
    <w:rsid w:val="00860AD1"/>
    <w:rsid w:val="0086537F"/>
    <w:rsid w:val="00876156"/>
    <w:rsid w:val="008B05DF"/>
    <w:rsid w:val="008B243E"/>
    <w:rsid w:val="008E49A7"/>
    <w:rsid w:val="00901D6D"/>
    <w:rsid w:val="00903FFB"/>
    <w:rsid w:val="00910AC1"/>
    <w:rsid w:val="009134CE"/>
    <w:rsid w:val="00923353"/>
    <w:rsid w:val="009332C6"/>
    <w:rsid w:val="00953E69"/>
    <w:rsid w:val="009831CA"/>
    <w:rsid w:val="009B1EEA"/>
    <w:rsid w:val="009D4F12"/>
    <w:rsid w:val="009D7A0B"/>
    <w:rsid w:val="009F14C3"/>
    <w:rsid w:val="00A309FD"/>
    <w:rsid w:val="00A3294F"/>
    <w:rsid w:val="00A45820"/>
    <w:rsid w:val="00A46F35"/>
    <w:rsid w:val="00A85B71"/>
    <w:rsid w:val="00A86D13"/>
    <w:rsid w:val="00A872F2"/>
    <w:rsid w:val="00A95005"/>
    <w:rsid w:val="00AB1730"/>
    <w:rsid w:val="00AB19EC"/>
    <w:rsid w:val="00AC6A9E"/>
    <w:rsid w:val="00B1428E"/>
    <w:rsid w:val="00B646D5"/>
    <w:rsid w:val="00B71989"/>
    <w:rsid w:val="00B76727"/>
    <w:rsid w:val="00BA1F4D"/>
    <w:rsid w:val="00BC36A8"/>
    <w:rsid w:val="00BF1496"/>
    <w:rsid w:val="00C00A8A"/>
    <w:rsid w:val="00C04953"/>
    <w:rsid w:val="00C1724B"/>
    <w:rsid w:val="00C17BC8"/>
    <w:rsid w:val="00C34DEC"/>
    <w:rsid w:val="00C43779"/>
    <w:rsid w:val="00C716E6"/>
    <w:rsid w:val="00CB578F"/>
    <w:rsid w:val="00CC5BF2"/>
    <w:rsid w:val="00CD3D59"/>
    <w:rsid w:val="00D1169C"/>
    <w:rsid w:val="00D13ECC"/>
    <w:rsid w:val="00D25AEA"/>
    <w:rsid w:val="00D3792B"/>
    <w:rsid w:val="00D42E36"/>
    <w:rsid w:val="00D83799"/>
    <w:rsid w:val="00D84126"/>
    <w:rsid w:val="00DB7D4D"/>
    <w:rsid w:val="00DC4221"/>
    <w:rsid w:val="00E60E5A"/>
    <w:rsid w:val="00E61706"/>
    <w:rsid w:val="00EC7641"/>
    <w:rsid w:val="00F02171"/>
    <w:rsid w:val="00F06770"/>
    <w:rsid w:val="00F33293"/>
    <w:rsid w:val="00F6690E"/>
    <w:rsid w:val="00F9202C"/>
    <w:rsid w:val="00F951E8"/>
    <w:rsid w:val="00F955A6"/>
    <w:rsid w:val="00FC2375"/>
    <w:rsid w:val="00FD6EDF"/>
    <w:rsid w:val="00FE5071"/>
    <w:rsid w:val="00FF6858"/>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657B"/>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7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8">
    <w:name w:val="A18"/>
    <w:uiPriority w:val="99"/>
    <w:rsid w:val="00271744"/>
    <w:rPr>
      <w:rFonts w:ascii="Lato Light" w:hAnsi="Lato Light" w:cs="Lato Light" w:hint="default"/>
      <w:color w:val="000000"/>
    </w:rPr>
  </w:style>
  <w:style w:type="character" w:styleId="Strong">
    <w:name w:val="Strong"/>
    <w:basedOn w:val="DefaultParagraphFont"/>
    <w:uiPriority w:val="22"/>
    <w:qFormat/>
    <w:rsid w:val="00271744"/>
    <w:rPr>
      <w:b/>
      <w:bCs/>
    </w:rPr>
  </w:style>
  <w:style w:type="character" w:customStyle="1" w:styleId="A13">
    <w:name w:val="A13"/>
    <w:uiPriority w:val="99"/>
    <w:rsid w:val="004764FA"/>
    <w:rPr>
      <w:rFonts w:cs="Bembo Std"/>
      <w:color w:val="000000"/>
      <w:sz w:val="20"/>
      <w:szCs w:val="20"/>
    </w:rPr>
  </w:style>
  <w:style w:type="paragraph" w:styleId="FootnoteText">
    <w:name w:val="footnote text"/>
    <w:basedOn w:val="Normal"/>
    <w:link w:val="FootnoteTextChar"/>
    <w:uiPriority w:val="99"/>
    <w:unhideWhenUsed/>
    <w:rsid w:val="004764FA"/>
    <w:pPr>
      <w:spacing w:after="0" w:line="240" w:lineRule="auto"/>
    </w:pPr>
    <w:rPr>
      <w:sz w:val="20"/>
      <w:szCs w:val="20"/>
    </w:rPr>
  </w:style>
  <w:style w:type="character" w:customStyle="1" w:styleId="FootnoteTextChar">
    <w:name w:val="Footnote Text Char"/>
    <w:basedOn w:val="DefaultParagraphFont"/>
    <w:link w:val="FootnoteText"/>
    <w:uiPriority w:val="99"/>
    <w:rsid w:val="004764FA"/>
    <w:rPr>
      <w:sz w:val="20"/>
      <w:szCs w:val="20"/>
    </w:rPr>
  </w:style>
  <w:style w:type="character" w:styleId="FootnoteReference">
    <w:name w:val="footnote reference"/>
    <w:basedOn w:val="DefaultParagraphFont"/>
    <w:uiPriority w:val="99"/>
    <w:semiHidden/>
    <w:unhideWhenUsed/>
    <w:rsid w:val="004764FA"/>
    <w:rPr>
      <w:vertAlign w:val="superscript"/>
    </w:rPr>
  </w:style>
  <w:style w:type="character" w:styleId="Emphasis">
    <w:name w:val="Emphasis"/>
    <w:basedOn w:val="DefaultParagraphFont"/>
    <w:uiPriority w:val="20"/>
    <w:qFormat/>
    <w:rsid w:val="009831CA"/>
    <w:rPr>
      <w:i/>
      <w:iCs/>
    </w:rPr>
  </w:style>
  <w:style w:type="paragraph" w:styleId="NoSpacing">
    <w:name w:val="No Spacing"/>
    <w:uiPriority w:val="1"/>
    <w:qFormat/>
    <w:rsid w:val="005978C8"/>
    <w:pPr>
      <w:spacing w:after="0" w:line="240" w:lineRule="auto"/>
    </w:pPr>
  </w:style>
  <w:style w:type="character" w:styleId="Hyperlink">
    <w:name w:val="Hyperlink"/>
    <w:basedOn w:val="DefaultParagraphFont"/>
    <w:uiPriority w:val="99"/>
    <w:semiHidden/>
    <w:unhideWhenUsed/>
    <w:rsid w:val="00386667"/>
    <w:rPr>
      <w:rFonts w:cs="Times New Roman"/>
      <w:color w:val="0000FF"/>
      <w:u w:val="single"/>
    </w:rPr>
  </w:style>
  <w:style w:type="character" w:customStyle="1" w:styleId="st">
    <w:name w:val="st"/>
    <w:basedOn w:val="DefaultParagraphFont"/>
    <w:rsid w:val="003866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627">
      <w:bodyDiv w:val="1"/>
      <w:marLeft w:val="0"/>
      <w:marRight w:val="0"/>
      <w:marTop w:val="0"/>
      <w:marBottom w:val="0"/>
      <w:divBdr>
        <w:top w:val="none" w:sz="0" w:space="0" w:color="auto"/>
        <w:left w:val="none" w:sz="0" w:space="0" w:color="auto"/>
        <w:bottom w:val="none" w:sz="0" w:space="0" w:color="auto"/>
        <w:right w:val="none" w:sz="0" w:space="0" w:color="auto"/>
      </w:divBdr>
    </w:div>
    <w:div w:id="68695260">
      <w:bodyDiv w:val="1"/>
      <w:marLeft w:val="0"/>
      <w:marRight w:val="0"/>
      <w:marTop w:val="0"/>
      <w:marBottom w:val="0"/>
      <w:divBdr>
        <w:top w:val="none" w:sz="0" w:space="0" w:color="auto"/>
        <w:left w:val="none" w:sz="0" w:space="0" w:color="auto"/>
        <w:bottom w:val="none" w:sz="0" w:space="0" w:color="auto"/>
        <w:right w:val="none" w:sz="0" w:space="0" w:color="auto"/>
      </w:divBdr>
    </w:div>
    <w:div w:id="89744911">
      <w:bodyDiv w:val="1"/>
      <w:marLeft w:val="0"/>
      <w:marRight w:val="0"/>
      <w:marTop w:val="0"/>
      <w:marBottom w:val="0"/>
      <w:divBdr>
        <w:top w:val="none" w:sz="0" w:space="0" w:color="auto"/>
        <w:left w:val="none" w:sz="0" w:space="0" w:color="auto"/>
        <w:bottom w:val="none" w:sz="0" w:space="0" w:color="auto"/>
        <w:right w:val="none" w:sz="0" w:space="0" w:color="auto"/>
      </w:divBdr>
    </w:div>
    <w:div w:id="133181608">
      <w:bodyDiv w:val="1"/>
      <w:marLeft w:val="0"/>
      <w:marRight w:val="0"/>
      <w:marTop w:val="0"/>
      <w:marBottom w:val="0"/>
      <w:divBdr>
        <w:top w:val="none" w:sz="0" w:space="0" w:color="auto"/>
        <w:left w:val="none" w:sz="0" w:space="0" w:color="auto"/>
        <w:bottom w:val="none" w:sz="0" w:space="0" w:color="auto"/>
        <w:right w:val="none" w:sz="0" w:space="0" w:color="auto"/>
      </w:divBdr>
    </w:div>
    <w:div w:id="162820412">
      <w:bodyDiv w:val="1"/>
      <w:marLeft w:val="0"/>
      <w:marRight w:val="0"/>
      <w:marTop w:val="0"/>
      <w:marBottom w:val="0"/>
      <w:divBdr>
        <w:top w:val="none" w:sz="0" w:space="0" w:color="auto"/>
        <w:left w:val="none" w:sz="0" w:space="0" w:color="auto"/>
        <w:bottom w:val="none" w:sz="0" w:space="0" w:color="auto"/>
        <w:right w:val="none" w:sz="0" w:space="0" w:color="auto"/>
      </w:divBdr>
    </w:div>
    <w:div w:id="175383749">
      <w:bodyDiv w:val="1"/>
      <w:marLeft w:val="0"/>
      <w:marRight w:val="0"/>
      <w:marTop w:val="0"/>
      <w:marBottom w:val="0"/>
      <w:divBdr>
        <w:top w:val="none" w:sz="0" w:space="0" w:color="auto"/>
        <w:left w:val="none" w:sz="0" w:space="0" w:color="auto"/>
        <w:bottom w:val="none" w:sz="0" w:space="0" w:color="auto"/>
        <w:right w:val="none" w:sz="0" w:space="0" w:color="auto"/>
      </w:divBdr>
    </w:div>
    <w:div w:id="185995188">
      <w:bodyDiv w:val="1"/>
      <w:marLeft w:val="0"/>
      <w:marRight w:val="0"/>
      <w:marTop w:val="0"/>
      <w:marBottom w:val="0"/>
      <w:divBdr>
        <w:top w:val="none" w:sz="0" w:space="0" w:color="auto"/>
        <w:left w:val="none" w:sz="0" w:space="0" w:color="auto"/>
        <w:bottom w:val="none" w:sz="0" w:space="0" w:color="auto"/>
        <w:right w:val="none" w:sz="0" w:space="0" w:color="auto"/>
      </w:divBdr>
    </w:div>
    <w:div w:id="189343778">
      <w:bodyDiv w:val="1"/>
      <w:marLeft w:val="0"/>
      <w:marRight w:val="0"/>
      <w:marTop w:val="0"/>
      <w:marBottom w:val="0"/>
      <w:divBdr>
        <w:top w:val="none" w:sz="0" w:space="0" w:color="auto"/>
        <w:left w:val="none" w:sz="0" w:space="0" w:color="auto"/>
        <w:bottom w:val="none" w:sz="0" w:space="0" w:color="auto"/>
        <w:right w:val="none" w:sz="0" w:space="0" w:color="auto"/>
      </w:divBdr>
    </w:div>
    <w:div w:id="192496482">
      <w:bodyDiv w:val="1"/>
      <w:marLeft w:val="0"/>
      <w:marRight w:val="0"/>
      <w:marTop w:val="0"/>
      <w:marBottom w:val="0"/>
      <w:divBdr>
        <w:top w:val="none" w:sz="0" w:space="0" w:color="auto"/>
        <w:left w:val="none" w:sz="0" w:space="0" w:color="auto"/>
        <w:bottom w:val="none" w:sz="0" w:space="0" w:color="auto"/>
        <w:right w:val="none" w:sz="0" w:space="0" w:color="auto"/>
      </w:divBdr>
    </w:div>
    <w:div w:id="208953552">
      <w:bodyDiv w:val="1"/>
      <w:marLeft w:val="0"/>
      <w:marRight w:val="0"/>
      <w:marTop w:val="0"/>
      <w:marBottom w:val="0"/>
      <w:divBdr>
        <w:top w:val="none" w:sz="0" w:space="0" w:color="auto"/>
        <w:left w:val="none" w:sz="0" w:space="0" w:color="auto"/>
        <w:bottom w:val="none" w:sz="0" w:space="0" w:color="auto"/>
        <w:right w:val="none" w:sz="0" w:space="0" w:color="auto"/>
      </w:divBdr>
    </w:div>
    <w:div w:id="257059473">
      <w:bodyDiv w:val="1"/>
      <w:marLeft w:val="0"/>
      <w:marRight w:val="0"/>
      <w:marTop w:val="0"/>
      <w:marBottom w:val="0"/>
      <w:divBdr>
        <w:top w:val="none" w:sz="0" w:space="0" w:color="auto"/>
        <w:left w:val="none" w:sz="0" w:space="0" w:color="auto"/>
        <w:bottom w:val="none" w:sz="0" w:space="0" w:color="auto"/>
        <w:right w:val="none" w:sz="0" w:space="0" w:color="auto"/>
      </w:divBdr>
    </w:div>
    <w:div w:id="268203710">
      <w:bodyDiv w:val="1"/>
      <w:marLeft w:val="0"/>
      <w:marRight w:val="0"/>
      <w:marTop w:val="0"/>
      <w:marBottom w:val="0"/>
      <w:divBdr>
        <w:top w:val="none" w:sz="0" w:space="0" w:color="auto"/>
        <w:left w:val="none" w:sz="0" w:space="0" w:color="auto"/>
        <w:bottom w:val="none" w:sz="0" w:space="0" w:color="auto"/>
        <w:right w:val="none" w:sz="0" w:space="0" w:color="auto"/>
      </w:divBdr>
    </w:div>
    <w:div w:id="276908243">
      <w:bodyDiv w:val="1"/>
      <w:marLeft w:val="0"/>
      <w:marRight w:val="0"/>
      <w:marTop w:val="0"/>
      <w:marBottom w:val="0"/>
      <w:divBdr>
        <w:top w:val="none" w:sz="0" w:space="0" w:color="auto"/>
        <w:left w:val="none" w:sz="0" w:space="0" w:color="auto"/>
        <w:bottom w:val="none" w:sz="0" w:space="0" w:color="auto"/>
        <w:right w:val="none" w:sz="0" w:space="0" w:color="auto"/>
      </w:divBdr>
    </w:div>
    <w:div w:id="289946554">
      <w:bodyDiv w:val="1"/>
      <w:marLeft w:val="0"/>
      <w:marRight w:val="0"/>
      <w:marTop w:val="0"/>
      <w:marBottom w:val="0"/>
      <w:divBdr>
        <w:top w:val="none" w:sz="0" w:space="0" w:color="auto"/>
        <w:left w:val="none" w:sz="0" w:space="0" w:color="auto"/>
        <w:bottom w:val="none" w:sz="0" w:space="0" w:color="auto"/>
        <w:right w:val="none" w:sz="0" w:space="0" w:color="auto"/>
      </w:divBdr>
    </w:div>
    <w:div w:id="336428386">
      <w:bodyDiv w:val="1"/>
      <w:marLeft w:val="0"/>
      <w:marRight w:val="0"/>
      <w:marTop w:val="0"/>
      <w:marBottom w:val="0"/>
      <w:divBdr>
        <w:top w:val="none" w:sz="0" w:space="0" w:color="auto"/>
        <w:left w:val="none" w:sz="0" w:space="0" w:color="auto"/>
        <w:bottom w:val="none" w:sz="0" w:space="0" w:color="auto"/>
        <w:right w:val="none" w:sz="0" w:space="0" w:color="auto"/>
      </w:divBdr>
    </w:div>
    <w:div w:id="344134061">
      <w:bodyDiv w:val="1"/>
      <w:marLeft w:val="0"/>
      <w:marRight w:val="0"/>
      <w:marTop w:val="0"/>
      <w:marBottom w:val="0"/>
      <w:divBdr>
        <w:top w:val="none" w:sz="0" w:space="0" w:color="auto"/>
        <w:left w:val="none" w:sz="0" w:space="0" w:color="auto"/>
        <w:bottom w:val="none" w:sz="0" w:space="0" w:color="auto"/>
        <w:right w:val="none" w:sz="0" w:space="0" w:color="auto"/>
      </w:divBdr>
    </w:div>
    <w:div w:id="355499013">
      <w:bodyDiv w:val="1"/>
      <w:marLeft w:val="0"/>
      <w:marRight w:val="0"/>
      <w:marTop w:val="0"/>
      <w:marBottom w:val="0"/>
      <w:divBdr>
        <w:top w:val="none" w:sz="0" w:space="0" w:color="auto"/>
        <w:left w:val="none" w:sz="0" w:space="0" w:color="auto"/>
        <w:bottom w:val="none" w:sz="0" w:space="0" w:color="auto"/>
        <w:right w:val="none" w:sz="0" w:space="0" w:color="auto"/>
      </w:divBdr>
    </w:div>
    <w:div w:id="391201935">
      <w:bodyDiv w:val="1"/>
      <w:marLeft w:val="0"/>
      <w:marRight w:val="0"/>
      <w:marTop w:val="0"/>
      <w:marBottom w:val="0"/>
      <w:divBdr>
        <w:top w:val="none" w:sz="0" w:space="0" w:color="auto"/>
        <w:left w:val="none" w:sz="0" w:space="0" w:color="auto"/>
        <w:bottom w:val="none" w:sz="0" w:space="0" w:color="auto"/>
        <w:right w:val="none" w:sz="0" w:space="0" w:color="auto"/>
      </w:divBdr>
    </w:div>
    <w:div w:id="413823055">
      <w:bodyDiv w:val="1"/>
      <w:marLeft w:val="0"/>
      <w:marRight w:val="0"/>
      <w:marTop w:val="0"/>
      <w:marBottom w:val="0"/>
      <w:divBdr>
        <w:top w:val="none" w:sz="0" w:space="0" w:color="auto"/>
        <w:left w:val="none" w:sz="0" w:space="0" w:color="auto"/>
        <w:bottom w:val="none" w:sz="0" w:space="0" w:color="auto"/>
        <w:right w:val="none" w:sz="0" w:space="0" w:color="auto"/>
      </w:divBdr>
    </w:div>
    <w:div w:id="414522382">
      <w:bodyDiv w:val="1"/>
      <w:marLeft w:val="0"/>
      <w:marRight w:val="0"/>
      <w:marTop w:val="0"/>
      <w:marBottom w:val="0"/>
      <w:divBdr>
        <w:top w:val="none" w:sz="0" w:space="0" w:color="auto"/>
        <w:left w:val="none" w:sz="0" w:space="0" w:color="auto"/>
        <w:bottom w:val="none" w:sz="0" w:space="0" w:color="auto"/>
        <w:right w:val="none" w:sz="0" w:space="0" w:color="auto"/>
      </w:divBdr>
    </w:div>
    <w:div w:id="437679634">
      <w:bodyDiv w:val="1"/>
      <w:marLeft w:val="0"/>
      <w:marRight w:val="0"/>
      <w:marTop w:val="0"/>
      <w:marBottom w:val="0"/>
      <w:divBdr>
        <w:top w:val="none" w:sz="0" w:space="0" w:color="auto"/>
        <w:left w:val="none" w:sz="0" w:space="0" w:color="auto"/>
        <w:bottom w:val="none" w:sz="0" w:space="0" w:color="auto"/>
        <w:right w:val="none" w:sz="0" w:space="0" w:color="auto"/>
      </w:divBdr>
    </w:div>
    <w:div w:id="451677030">
      <w:bodyDiv w:val="1"/>
      <w:marLeft w:val="0"/>
      <w:marRight w:val="0"/>
      <w:marTop w:val="0"/>
      <w:marBottom w:val="0"/>
      <w:divBdr>
        <w:top w:val="none" w:sz="0" w:space="0" w:color="auto"/>
        <w:left w:val="none" w:sz="0" w:space="0" w:color="auto"/>
        <w:bottom w:val="none" w:sz="0" w:space="0" w:color="auto"/>
        <w:right w:val="none" w:sz="0" w:space="0" w:color="auto"/>
      </w:divBdr>
    </w:div>
    <w:div w:id="528840044">
      <w:bodyDiv w:val="1"/>
      <w:marLeft w:val="0"/>
      <w:marRight w:val="0"/>
      <w:marTop w:val="0"/>
      <w:marBottom w:val="0"/>
      <w:divBdr>
        <w:top w:val="none" w:sz="0" w:space="0" w:color="auto"/>
        <w:left w:val="none" w:sz="0" w:space="0" w:color="auto"/>
        <w:bottom w:val="none" w:sz="0" w:space="0" w:color="auto"/>
        <w:right w:val="none" w:sz="0" w:space="0" w:color="auto"/>
      </w:divBdr>
    </w:div>
    <w:div w:id="535852009">
      <w:bodyDiv w:val="1"/>
      <w:marLeft w:val="0"/>
      <w:marRight w:val="0"/>
      <w:marTop w:val="0"/>
      <w:marBottom w:val="0"/>
      <w:divBdr>
        <w:top w:val="none" w:sz="0" w:space="0" w:color="auto"/>
        <w:left w:val="none" w:sz="0" w:space="0" w:color="auto"/>
        <w:bottom w:val="none" w:sz="0" w:space="0" w:color="auto"/>
        <w:right w:val="none" w:sz="0" w:space="0" w:color="auto"/>
      </w:divBdr>
    </w:div>
    <w:div w:id="560749632">
      <w:bodyDiv w:val="1"/>
      <w:marLeft w:val="0"/>
      <w:marRight w:val="0"/>
      <w:marTop w:val="0"/>
      <w:marBottom w:val="0"/>
      <w:divBdr>
        <w:top w:val="none" w:sz="0" w:space="0" w:color="auto"/>
        <w:left w:val="none" w:sz="0" w:space="0" w:color="auto"/>
        <w:bottom w:val="none" w:sz="0" w:space="0" w:color="auto"/>
        <w:right w:val="none" w:sz="0" w:space="0" w:color="auto"/>
      </w:divBdr>
    </w:div>
    <w:div w:id="639531608">
      <w:bodyDiv w:val="1"/>
      <w:marLeft w:val="0"/>
      <w:marRight w:val="0"/>
      <w:marTop w:val="0"/>
      <w:marBottom w:val="0"/>
      <w:divBdr>
        <w:top w:val="none" w:sz="0" w:space="0" w:color="auto"/>
        <w:left w:val="none" w:sz="0" w:space="0" w:color="auto"/>
        <w:bottom w:val="none" w:sz="0" w:space="0" w:color="auto"/>
        <w:right w:val="none" w:sz="0" w:space="0" w:color="auto"/>
      </w:divBdr>
    </w:div>
    <w:div w:id="698093658">
      <w:bodyDiv w:val="1"/>
      <w:marLeft w:val="0"/>
      <w:marRight w:val="0"/>
      <w:marTop w:val="0"/>
      <w:marBottom w:val="0"/>
      <w:divBdr>
        <w:top w:val="none" w:sz="0" w:space="0" w:color="auto"/>
        <w:left w:val="none" w:sz="0" w:space="0" w:color="auto"/>
        <w:bottom w:val="none" w:sz="0" w:space="0" w:color="auto"/>
        <w:right w:val="none" w:sz="0" w:space="0" w:color="auto"/>
      </w:divBdr>
    </w:div>
    <w:div w:id="753165081">
      <w:bodyDiv w:val="1"/>
      <w:marLeft w:val="0"/>
      <w:marRight w:val="0"/>
      <w:marTop w:val="0"/>
      <w:marBottom w:val="0"/>
      <w:divBdr>
        <w:top w:val="none" w:sz="0" w:space="0" w:color="auto"/>
        <w:left w:val="none" w:sz="0" w:space="0" w:color="auto"/>
        <w:bottom w:val="none" w:sz="0" w:space="0" w:color="auto"/>
        <w:right w:val="none" w:sz="0" w:space="0" w:color="auto"/>
      </w:divBdr>
    </w:div>
    <w:div w:id="774330717">
      <w:bodyDiv w:val="1"/>
      <w:marLeft w:val="0"/>
      <w:marRight w:val="0"/>
      <w:marTop w:val="0"/>
      <w:marBottom w:val="0"/>
      <w:divBdr>
        <w:top w:val="none" w:sz="0" w:space="0" w:color="auto"/>
        <w:left w:val="none" w:sz="0" w:space="0" w:color="auto"/>
        <w:bottom w:val="none" w:sz="0" w:space="0" w:color="auto"/>
        <w:right w:val="none" w:sz="0" w:space="0" w:color="auto"/>
      </w:divBdr>
    </w:div>
    <w:div w:id="806237501">
      <w:bodyDiv w:val="1"/>
      <w:marLeft w:val="0"/>
      <w:marRight w:val="0"/>
      <w:marTop w:val="0"/>
      <w:marBottom w:val="0"/>
      <w:divBdr>
        <w:top w:val="none" w:sz="0" w:space="0" w:color="auto"/>
        <w:left w:val="none" w:sz="0" w:space="0" w:color="auto"/>
        <w:bottom w:val="none" w:sz="0" w:space="0" w:color="auto"/>
        <w:right w:val="none" w:sz="0" w:space="0" w:color="auto"/>
      </w:divBdr>
    </w:div>
    <w:div w:id="881018944">
      <w:bodyDiv w:val="1"/>
      <w:marLeft w:val="0"/>
      <w:marRight w:val="0"/>
      <w:marTop w:val="0"/>
      <w:marBottom w:val="0"/>
      <w:divBdr>
        <w:top w:val="none" w:sz="0" w:space="0" w:color="auto"/>
        <w:left w:val="none" w:sz="0" w:space="0" w:color="auto"/>
        <w:bottom w:val="none" w:sz="0" w:space="0" w:color="auto"/>
        <w:right w:val="none" w:sz="0" w:space="0" w:color="auto"/>
      </w:divBdr>
    </w:div>
    <w:div w:id="891499223">
      <w:bodyDiv w:val="1"/>
      <w:marLeft w:val="0"/>
      <w:marRight w:val="0"/>
      <w:marTop w:val="0"/>
      <w:marBottom w:val="0"/>
      <w:divBdr>
        <w:top w:val="none" w:sz="0" w:space="0" w:color="auto"/>
        <w:left w:val="none" w:sz="0" w:space="0" w:color="auto"/>
        <w:bottom w:val="none" w:sz="0" w:space="0" w:color="auto"/>
        <w:right w:val="none" w:sz="0" w:space="0" w:color="auto"/>
      </w:divBdr>
    </w:div>
    <w:div w:id="920599831">
      <w:bodyDiv w:val="1"/>
      <w:marLeft w:val="0"/>
      <w:marRight w:val="0"/>
      <w:marTop w:val="0"/>
      <w:marBottom w:val="0"/>
      <w:divBdr>
        <w:top w:val="none" w:sz="0" w:space="0" w:color="auto"/>
        <w:left w:val="none" w:sz="0" w:space="0" w:color="auto"/>
        <w:bottom w:val="none" w:sz="0" w:space="0" w:color="auto"/>
        <w:right w:val="none" w:sz="0" w:space="0" w:color="auto"/>
      </w:divBdr>
    </w:div>
    <w:div w:id="930968308">
      <w:bodyDiv w:val="1"/>
      <w:marLeft w:val="0"/>
      <w:marRight w:val="0"/>
      <w:marTop w:val="0"/>
      <w:marBottom w:val="0"/>
      <w:divBdr>
        <w:top w:val="none" w:sz="0" w:space="0" w:color="auto"/>
        <w:left w:val="none" w:sz="0" w:space="0" w:color="auto"/>
        <w:bottom w:val="none" w:sz="0" w:space="0" w:color="auto"/>
        <w:right w:val="none" w:sz="0" w:space="0" w:color="auto"/>
      </w:divBdr>
    </w:div>
    <w:div w:id="1014303361">
      <w:bodyDiv w:val="1"/>
      <w:marLeft w:val="0"/>
      <w:marRight w:val="0"/>
      <w:marTop w:val="0"/>
      <w:marBottom w:val="0"/>
      <w:divBdr>
        <w:top w:val="none" w:sz="0" w:space="0" w:color="auto"/>
        <w:left w:val="none" w:sz="0" w:space="0" w:color="auto"/>
        <w:bottom w:val="none" w:sz="0" w:space="0" w:color="auto"/>
        <w:right w:val="none" w:sz="0" w:space="0" w:color="auto"/>
      </w:divBdr>
    </w:div>
    <w:div w:id="1031151358">
      <w:bodyDiv w:val="1"/>
      <w:marLeft w:val="0"/>
      <w:marRight w:val="0"/>
      <w:marTop w:val="0"/>
      <w:marBottom w:val="0"/>
      <w:divBdr>
        <w:top w:val="none" w:sz="0" w:space="0" w:color="auto"/>
        <w:left w:val="none" w:sz="0" w:space="0" w:color="auto"/>
        <w:bottom w:val="none" w:sz="0" w:space="0" w:color="auto"/>
        <w:right w:val="none" w:sz="0" w:space="0" w:color="auto"/>
      </w:divBdr>
    </w:div>
    <w:div w:id="1075587785">
      <w:bodyDiv w:val="1"/>
      <w:marLeft w:val="0"/>
      <w:marRight w:val="0"/>
      <w:marTop w:val="0"/>
      <w:marBottom w:val="0"/>
      <w:divBdr>
        <w:top w:val="none" w:sz="0" w:space="0" w:color="auto"/>
        <w:left w:val="none" w:sz="0" w:space="0" w:color="auto"/>
        <w:bottom w:val="none" w:sz="0" w:space="0" w:color="auto"/>
        <w:right w:val="none" w:sz="0" w:space="0" w:color="auto"/>
      </w:divBdr>
    </w:div>
    <w:div w:id="1096705928">
      <w:bodyDiv w:val="1"/>
      <w:marLeft w:val="0"/>
      <w:marRight w:val="0"/>
      <w:marTop w:val="0"/>
      <w:marBottom w:val="0"/>
      <w:divBdr>
        <w:top w:val="none" w:sz="0" w:space="0" w:color="auto"/>
        <w:left w:val="none" w:sz="0" w:space="0" w:color="auto"/>
        <w:bottom w:val="none" w:sz="0" w:space="0" w:color="auto"/>
        <w:right w:val="none" w:sz="0" w:space="0" w:color="auto"/>
      </w:divBdr>
    </w:div>
    <w:div w:id="1140030522">
      <w:bodyDiv w:val="1"/>
      <w:marLeft w:val="0"/>
      <w:marRight w:val="0"/>
      <w:marTop w:val="0"/>
      <w:marBottom w:val="0"/>
      <w:divBdr>
        <w:top w:val="none" w:sz="0" w:space="0" w:color="auto"/>
        <w:left w:val="none" w:sz="0" w:space="0" w:color="auto"/>
        <w:bottom w:val="none" w:sz="0" w:space="0" w:color="auto"/>
        <w:right w:val="none" w:sz="0" w:space="0" w:color="auto"/>
      </w:divBdr>
    </w:div>
    <w:div w:id="1154180576">
      <w:bodyDiv w:val="1"/>
      <w:marLeft w:val="0"/>
      <w:marRight w:val="0"/>
      <w:marTop w:val="0"/>
      <w:marBottom w:val="0"/>
      <w:divBdr>
        <w:top w:val="none" w:sz="0" w:space="0" w:color="auto"/>
        <w:left w:val="none" w:sz="0" w:space="0" w:color="auto"/>
        <w:bottom w:val="none" w:sz="0" w:space="0" w:color="auto"/>
        <w:right w:val="none" w:sz="0" w:space="0" w:color="auto"/>
      </w:divBdr>
    </w:div>
    <w:div w:id="1181318585">
      <w:bodyDiv w:val="1"/>
      <w:marLeft w:val="0"/>
      <w:marRight w:val="0"/>
      <w:marTop w:val="0"/>
      <w:marBottom w:val="0"/>
      <w:divBdr>
        <w:top w:val="none" w:sz="0" w:space="0" w:color="auto"/>
        <w:left w:val="none" w:sz="0" w:space="0" w:color="auto"/>
        <w:bottom w:val="none" w:sz="0" w:space="0" w:color="auto"/>
        <w:right w:val="none" w:sz="0" w:space="0" w:color="auto"/>
      </w:divBdr>
    </w:div>
    <w:div w:id="1192232297">
      <w:bodyDiv w:val="1"/>
      <w:marLeft w:val="0"/>
      <w:marRight w:val="0"/>
      <w:marTop w:val="0"/>
      <w:marBottom w:val="0"/>
      <w:divBdr>
        <w:top w:val="none" w:sz="0" w:space="0" w:color="auto"/>
        <w:left w:val="none" w:sz="0" w:space="0" w:color="auto"/>
        <w:bottom w:val="none" w:sz="0" w:space="0" w:color="auto"/>
        <w:right w:val="none" w:sz="0" w:space="0" w:color="auto"/>
      </w:divBdr>
    </w:div>
    <w:div w:id="1239636233">
      <w:bodyDiv w:val="1"/>
      <w:marLeft w:val="0"/>
      <w:marRight w:val="0"/>
      <w:marTop w:val="0"/>
      <w:marBottom w:val="0"/>
      <w:divBdr>
        <w:top w:val="none" w:sz="0" w:space="0" w:color="auto"/>
        <w:left w:val="none" w:sz="0" w:space="0" w:color="auto"/>
        <w:bottom w:val="none" w:sz="0" w:space="0" w:color="auto"/>
        <w:right w:val="none" w:sz="0" w:space="0" w:color="auto"/>
      </w:divBdr>
    </w:div>
    <w:div w:id="1250195861">
      <w:bodyDiv w:val="1"/>
      <w:marLeft w:val="0"/>
      <w:marRight w:val="0"/>
      <w:marTop w:val="0"/>
      <w:marBottom w:val="0"/>
      <w:divBdr>
        <w:top w:val="none" w:sz="0" w:space="0" w:color="auto"/>
        <w:left w:val="none" w:sz="0" w:space="0" w:color="auto"/>
        <w:bottom w:val="none" w:sz="0" w:space="0" w:color="auto"/>
        <w:right w:val="none" w:sz="0" w:space="0" w:color="auto"/>
      </w:divBdr>
    </w:div>
    <w:div w:id="1289704713">
      <w:bodyDiv w:val="1"/>
      <w:marLeft w:val="0"/>
      <w:marRight w:val="0"/>
      <w:marTop w:val="0"/>
      <w:marBottom w:val="0"/>
      <w:divBdr>
        <w:top w:val="none" w:sz="0" w:space="0" w:color="auto"/>
        <w:left w:val="none" w:sz="0" w:space="0" w:color="auto"/>
        <w:bottom w:val="none" w:sz="0" w:space="0" w:color="auto"/>
        <w:right w:val="none" w:sz="0" w:space="0" w:color="auto"/>
      </w:divBdr>
    </w:div>
    <w:div w:id="1317104148">
      <w:bodyDiv w:val="1"/>
      <w:marLeft w:val="0"/>
      <w:marRight w:val="0"/>
      <w:marTop w:val="0"/>
      <w:marBottom w:val="0"/>
      <w:divBdr>
        <w:top w:val="none" w:sz="0" w:space="0" w:color="auto"/>
        <w:left w:val="none" w:sz="0" w:space="0" w:color="auto"/>
        <w:bottom w:val="none" w:sz="0" w:space="0" w:color="auto"/>
        <w:right w:val="none" w:sz="0" w:space="0" w:color="auto"/>
      </w:divBdr>
    </w:div>
    <w:div w:id="1384477907">
      <w:bodyDiv w:val="1"/>
      <w:marLeft w:val="0"/>
      <w:marRight w:val="0"/>
      <w:marTop w:val="0"/>
      <w:marBottom w:val="0"/>
      <w:divBdr>
        <w:top w:val="none" w:sz="0" w:space="0" w:color="auto"/>
        <w:left w:val="none" w:sz="0" w:space="0" w:color="auto"/>
        <w:bottom w:val="none" w:sz="0" w:space="0" w:color="auto"/>
        <w:right w:val="none" w:sz="0" w:space="0" w:color="auto"/>
      </w:divBdr>
    </w:div>
    <w:div w:id="1410733186">
      <w:bodyDiv w:val="1"/>
      <w:marLeft w:val="0"/>
      <w:marRight w:val="0"/>
      <w:marTop w:val="0"/>
      <w:marBottom w:val="0"/>
      <w:divBdr>
        <w:top w:val="none" w:sz="0" w:space="0" w:color="auto"/>
        <w:left w:val="none" w:sz="0" w:space="0" w:color="auto"/>
        <w:bottom w:val="none" w:sz="0" w:space="0" w:color="auto"/>
        <w:right w:val="none" w:sz="0" w:space="0" w:color="auto"/>
      </w:divBdr>
    </w:div>
    <w:div w:id="1413315659">
      <w:bodyDiv w:val="1"/>
      <w:marLeft w:val="0"/>
      <w:marRight w:val="0"/>
      <w:marTop w:val="0"/>
      <w:marBottom w:val="0"/>
      <w:divBdr>
        <w:top w:val="none" w:sz="0" w:space="0" w:color="auto"/>
        <w:left w:val="none" w:sz="0" w:space="0" w:color="auto"/>
        <w:bottom w:val="none" w:sz="0" w:space="0" w:color="auto"/>
        <w:right w:val="none" w:sz="0" w:space="0" w:color="auto"/>
      </w:divBdr>
    </w:div>
    <w:div w:id="1413966586">
      <w:bodyDiv w:val="1"/>
      <w:marLeft w:val="0"/>
      <w:marRight w:val="0"/>
      <w:marTop w:val="0"/>
      <w:marBottom w:val="0"/>
      <w:divBdr>
        <w:top w:val="none" w:sz="0" w:space="0" w:color="auto"/>
        <w:left w:val="none" w:sz="0" w:space="0" w:color="auto"/>
        <w:bottom w:val="none" w:sz="0" w:space="0" w:color="auto"/>
        <w:right w:val="none" w:sz="0" w:space="0" w:color="auto"/>
      </w:divBdr>
    </w:div>
    <w:div w:id="1459757798">
      <w:bodyDiv w:val="1"/>
      <w:marLeft w:val="0"/>
      <w:marRight w:val="0"/>
      <w:marTop w:val="0"/>
      <w:marBottom w:val="0"/>
      <w:divBdr>
        <w:top w:val="none" w:sz="0" w:space="0" w:color="auto"/>
        <w:left w:val="none" w:sz="0" w:space="0" w:color="auto"/>
        <w:bottom w:val="none" w:sz="0" w:space="0" w:color="auto"/>
        <w:right w:val="none" w:sz="0" w:space="0" w:color="auto"/>
      </w:divBdr>
    </w:div>
    <w:div w:id="1491290474">
      <w:bodyDiv w:val="1"/>
      <w:marLeft w:val="0"/>
      <w:marRight w:val="0"/>
      <w:marTop w:val="0"/>
      <w:marBottom w:val="0"/>
      <w:divBdr>
        <w:top w:val="none" w:sz="0" w:space="0" w:color="auto"/>
        <w:left w:val="none" w:sz="0" w:space="0" w:color="auto"/>
        <w:bottom w:val="none" w:sz="0" w:space="0" w:color="auto"/>
        <w:right w:val="none" w:sz="0" w:space="0" w:color="auto"/>
      </w:divBdr>
    </w:div>
    <w:div w:id="1502424686">
      <w:bodyDiv w:val="1"/>
      <w:marLeft w:val="0"/>
      <w:marRight w:val="0"/>
      <w:marTop w:val="0"/>
      <w:marBottom w:val="0"/>
      <w:divBdr>
        <w:top w:val="none" w:sz="0" w:space="0" w:color="auto"/>
        <w:left w:val="none" w:sz="0" w:space="0" w:color="auto"/>
        <w:bottom w:val="none" w:sz="0" w:space="0" w:color="auto"/>
        <w:right w:val="none" w:sz="0" w:space="0" w:color="auto"/>
      </w:divBdr>
    </w:div>
    <w:div w:id="1549687168">
      <w:bodyDiv w:val="1"/>
      <w:marLeft w:val="0"/>
      <w:marRight w:val="0"/>
      <w:marTop w:val="0"/>
      <w:marBottom w:val="0"/>
      <w:divBdr>
        <w:top w:val="none" w:sz="0" w:space="0" w:color="auto"/>
        <w:left w:val="none" w:sz="0" w:space="0" w:color="auto"/>
        <w:bottom w:val="none" w:sz="0" w:space="0" w:color="auto"/>
        <w:right w:val="none" w:sz="0" w:space="0" w:color="auto"/>
      </w:divBdr>
    </w:div>
    <w:div w:id="1555044283">
      <w:bodyDiv w:val="1"/>
      <w:marLeft w:val="0"/>
      <w:marRight w:val="0"/>
      <w:marTop w:val="0"/>
      <w:marBottom w:val="0"/>
      <w:divBdr>
        <w:top w:val="none" w:sz="0" w:space="0" w:color="auto"/>
        <w:left w:val="none" w:sz="0" w:space="0" w:color="auto"/>
        <w:bottom w:val="none" w:sz="0" w:space="0" w:color="auto"/>
        <w:right w:val="none" w:sz="0" w:space="0" w:color="auto"/>
      </w:divBdr>
    </w:div>
    <w:div w:id="1558662896">
      <w:bodyDiv w:val="1"/>
      <w:marLeft w:val="0"/>
      <w:marRight w:val="0"/>
      <w:marTop w:val="0"/>
      <w:marBottom w:val="0"/>
      <w:divBdr>
        <w:top w:val="none" w:sz="0" w:space="0" w:color="auto"/>
        <w:left w:val="none" w:sz="0" w:space="0" w:color="auto"/>
        <w:bottom w:val="none" w:sz="0" w:space="0" w:color="auto"/>
        <w:right w:val="none" w:sz="0" w:space="0" w:color="auto"/>
      </w:divBdr>
    </w:div>
    <w:div w:id="1575700330">
      <w:bodyDiv w:val="1"/>
      <w:marLeft w:val="0"/>
      <w:marRight w:val="0"/>
      <w:marTop w:val="0"/>
      <w:marBottom w:val="0"/>
      <w:divBdr>
        <w:top w:val="none" w:sz="0" w:space="0" w:color="auto"/>
        <w:left w:val="none" w:sz="0" w:space="0" w:color="auto"/>
        <w:bottom w:val="none" w:sz="0" w:space="0" w:color="auto"/>
        <w:right w:val="none" w:sz="0" w:space="0" w:color="auto"/>
      </w:divBdr>
    </w:div>
    <w:div w:id="1595043320">
      <w:bodyDiv w:val="1"/>
      <w:marLeft w:val="0"/>
      <w:marRight w:val="0"/>
      <w:marTop w:val="0"/>
      <w:marBottom w:val="0"/>
      <w:divBdr>
        <w:top w:val="none" w:sz="0" w:space="0" w:color="auto"/>
        <w:left w:val="none" w:sz="0" w:space="0" w:color="auto"/>
        <w:bottom w:val="none" w:sz="0" w:space="0" w:color="auto"/>
        <w:right w:val="none" w:sz="0" w:space="0" w:color="auto"/>
      </w:divBdr>
    </w:div>
    <w:div w:id="1642423696">
      <w:bodyDiv w:val="1"/>
      <w:marLeft w:val="0"/>
      <w:marRight w:val="0"/>
      <w:marTop w:val="0"/>
      <w:marBottom w:val="0"/>
      <w:divBdr>
        <w:top w:val="none" w:sz="0" w:space="0" w:color="auto"/>
        <w:left w:val="none" w:sz="0" w:space="0" w:color="auto"/>
        <w:bottom w:val="none" w:sz="0" w:space="0" w:color="auto"/>
        <w:right w:val="none" w:sz="0" w:space="0" w:color="auto"/>
      </w:divBdr>
    </w:div>
    <w:div w:id="1644700240">
      <w:bodyDiv w:val="1"/>
      <w:marLeft w:val="0"/>
      <w:marRight w:val="0"/>
      <w:marTop w:val="0"/>
      <w:marBottom w:val="0"/>
      <w:divBdr>
        <w:top w:val="none" w:sz="0" w:space="0" w:color="auto"/>
        <w:left w:val="none" w:sz="0" w:space="0" w:color="auto"/>
        <w:bottom w:val="none" w:sz="0" w:space="0" w:color="auto"/>
        <w:right w:val="none" w:sz="0" w:space="0" w:color="auto"/>
      </w:divBdr>
    </w:div>
    <w:div w:id="1651589986">
      <w:bodyDiv w:val="1"/>
      <w:marLeft w:val="0"/>
      <w:marRight w:val="0"/>
      <w:marTop w:val="0"/>
      <w:marBottom w:val="0"/>
      <w:divBdr>
        <w:top w:val="none" w:sz="0" w:space="0" w:color="auto"/>
        <w:left w:val="none" w:sz="0" w:space="0" w:color="auto"/>
        <w:bottom w:val="none" w:sz="0" w:space="0" w:color="auto"/>
        <w:right w:val="none" w:sz="0" w:space="0" w:color="auto"/>
      </w:divBdr>
    </w:div>
    <w:div w:id="1665815284">
      <w:bodyDiv w:val="1"/>
      <w:marLeft w:val="0"/>
      <w:marRight w:val="0"/>
      <w:marTop w:val="0"/>
      <w:marBottom w:val="0"/>
      <w:divBdr>
        <w:top w:val="none" w:sz="0" w:space="0" w:color="auto"/>
        <w:left w:val="none" w:sz="0" w:space="0" w:color="auto"/>
        <w:bottom w:val="none" w:sz="0" w:space="0" w:color="auto"/>
        <w:right w:val="none" w:sz="0" w:space="0" w:color="auto"/>
      </w:divBdr>
    </w:div>
    <w:div w:id="1668896079">
      <w:bodyDiv w:val="1"/>
      <w:marLeft w:val="0"/>
      <w:marRight w:val="0"/>
      <w:marTop w:val="0"/>
      <w:marBottom w:val="0"/>
      <w:divBdr>
        <w:top w:val="none" w:sz="0" w:space="0" w:color="auto"/>
        <w:left w:val="none" w:sz="0" w:space="0" w:color="auto"/>
        <w:bottom w:val="none" w:sz="0" w:space="0" w:color="auto"/>
        <w:right w:val="none" w:sz="0" w:space="0" w:color="auto"/>
      </w:divBdr>
    </w:div>
    <w:div w:id="1715083599">
      <w:bodyDiv w:val="1"/>
      <w:marLeft w:val="0"/>
      <w:marRight w:val="0"/>
      <w:marTop w:val="0"/>
      <w:marBottom w:val="0"/>
      <w:divBdr>
        <w:top w:val="none" w:sz="0" w:space="0" w:color="auto"/>
        <w:left w:val="none" w:sz="0" w:space="0" w:color="auto"/>
        <w:bottom w:val="none" w:sz="0" w:space="0" w:color="auto"/>
        <w:right w:val="none" w:sz="0" w:space="0" w:color="auto"/>
      </w:divBdr>
    </w:div>
    <w:div w:id="1719164820">
      <w:bodyDiv w:val="1"/>
      <w:marLeft w:val="0"/>
      <w:marRight w:val="0"/>
      <w:marTop w:val="0"/>
      <w:marBottom w:val="0"/>
      <w:divBdr>
        <w:top w:val="none" w:sz="0" w:space="0" w:color="auto"/>
        <w:left w:val="none" w:sz="0" w:space="0" w:color="auto"/>
        <w:bottom w:val="none" w:sz="0" w:space="0" w:color="auto"/>
        <w:right w:val="none" w:sz="0" w:space="0" w:color="auto"/>
      </w:divBdr>
    </w:div>
    <w:div w:id="1747219622">
      <w:bodyDiv w:val="1"/>
      <w:marLeft w:val="0"/>
      <w:marRight w:val="0"/>
      <w:marTop w:val="0"/>
      <w:marBottom w:val="0"/>
      <w:divBdr>
        <w:top w:val="none" w:sz="0" w:space="0" w:color="auto"/>
        <w:left w:val="none" w:sz="0" w:space="0" w:color="auto"/>
        <w:bottom w:val="none" w:sz="0" w:space="0" w:color="auto"/>
        <w:right w:val="none" w:sz="0" w:space="0" w:color="auto"/>
      </w:divBdr>
    </w:div>
    <w:div w:id="1759715826">
      <w:bodyDiv w:val="1"/>
      <w:marLeft w:val="0"/>
      <w:marRight w:val="0"/>
      <w:marTop w:val="0"/>
      <w:marBottom w:val="0"/>
      <w:divBdr>
        <w:top w:val="none" w:sz="0" w:space="0" w:color="auto"/>
        <w:left w:val="none" w:sz="0" w:space="0" w:color="auto"/>
        <w:bottom w:val="none" w:sz="0" w:space="0" w:color="auto"/>
        <w:right w:val="none" w:sz="0" w:space="0" w:color="auto"/>
      </w:divBdr>
    </w:div>
    <w:div w:id="1773818134">
      <w:bodyDiv w:val="1"/>
      <w:marLeft w:val="0"/>
      <w:marRight w:val="0"/>
      <w:marTop w:val="0"/>
      <w:marBottom w:val="0"/>
      <w:divBdr>
        <w:top w:val="none" w:sz="0" w:space="0" w:color="auto"/>
        <w:left w:val="none" w:sz="0" w:space="0" w:color="auto"/>
        <w:bottom w:val="none" w:sz="0" w:space="0" w:color="auto"/>
        <w:right w:val="none" w:sz="0" w:space="0" w:color="auto"/>
      </w:divBdr>
    </w:div>
    <w:div w:id="1782844774">
      <w:bodyDiv w:val="1"/>
      <w:marLeft w:val="0"/>
      <w:marRight w:val="0"/>
      <w:marTop w:val="0"/>
      <w:marBottom w:val="0"/>
      <w:divBdr>
        <w:top w:val="none" w:sz="0" w:space="0" w:color="auto"/>
        <w:left w:val="none" w:sz="0" w:space="0" w:color="auto"/>
        <w:bottom w:val="none" w:sz="0" w:space="0" w:color="auto"/>
        <w:right w:val="none" w:sz="0" w:space="0" w:color="auto"/>
      </w:divBdr>
    </w:div>
    <w:div w:id="1787456804">
      <w:bodyDiv w:val="1"/>
      <w:marLeft w:val="0"/>
      <w:marRight w:val="0"/>
      <w:marTop w:val="0"/>
      <w:marBottom w:val="0"/>
      <w:divBdr>
        <w:top w:val="none" w:sz="0" w:space="0" w:color="auto"/>
        <w:left w:val="none" w:sz="0" w:space="0" w:color="auto"/>
        <w:bottom w:val="none" w:sz="0" w:space="0" w:color="auto"/>
        <w:right w:val="none" w:sz="0" w:space="0" w:color="auto"/>
      </w:divBdr>
    </w:div>
    <w:div w:id="1791513321">
      <w:bodyDiv w:val="1"/>
      <w:marLeft w:val="0"/>
      <w:marRight w:val="0"/>
      <w:marTop w:val="0"/>
      <w:marBottom w:val="0"/>
      <w:divBdr>
        <w:top w:val="none" w:sz="0" w:space="0" w:color="auto"/>
        <w:left w:val="none" w:sz="0" w:space="0" w:color="auto"/>
        <w:bottom w:val="none" w:sz="0" w:space="0" w:color="auto"/>
        <w:right w:val="none" w:sz="0" w:space="0" w:color="auto"/>
      </w:divBdr>
    </w:div>
    <w:div w:id="1850560451">
      <w:bodyDiv w:val="1"/>
      <w:marLeft w:val="0"/>
      <w:marRight w:val="0"/>
      <w:marTop w:val="0"/>
      <w:marBottom w:val="0"/>
      <w:divBdr>
        <w:top w:val="none" w:sz="0" w:space="0" w:color="auto"/>
        <w:left w:val="none" w:sz="0" w:space="0" w:color="auto"/>
        <w:bottom w:val="none" w:sz="0" w:space="0" w:color="auto"/>
        <w:right w:val="none" w:sz="0" w:space="0" w:color="auto"/>
      </w:divBdr>
    </w:div>
    <w:div w:id="1861312884">
      <w:bodyDiv w:val="1"/>
      <w:marLeft w:val="0"/>
      <w:marRight w:val="0"/>
      <w:marTop w:val="0"/>
      <w:marBottom w:val="0"/>
      <w:divBdr>
        <w:top w:val="none" w:sz="0" w:space="0" w:color="auto"/>
        <w:left w:val="none" w:sz="0" w:space="0" w:color="auto"/>
        <w:bottom w:val="none" w:sz="0" w:space="0" w:color="auto"/>
        <w:right w:val="none" w:sz="0" w:space="0" w:color="auto"/>
      </w:divBdr>
    </w:div>
    <w:div w:id="1875341382">
      <w:bodyDiv w:val="1"/>
      <w:marLeft w:val="0"/>
      <w:marRight w:val="0"/>
      <w:marTop w:val="0"/>
      <w:marBottom w:val="0"/>
      <w:divBdr>
        <w:top w:val="none" w:sz="0" w:space="0" w:color="auto"/>
        <w:left w:val="none" w:sz="0" w:space="0" w:color="auto"/>
        <w:bottom w:val="none" w:sz="0" w:space="0" w:color="auto"/>
        <w:right w:val="none" w:sz="0" w:space="0" w:color="auto"/>
      </w:divBdr>
    </w:div>
    <w:div w:id="1880700446">
      <w:bodyDiv w:val="1"/>
      <w:marLeft w:val="0"/>
      <w:marRight w:val="0"/>
      <w:marTop w:val="0"/>
      <w:marBottom w:val="0"/>
      <w:divBdr>
        <w:top w:val="none" w:sz="0" w:space="0" w:color="auto"/>
        <w:left w:val="none" w:sz="0" w:space="0" w:color="auto"/>
        <w:bottom w:val="none" w:sz="0" w:space="0" w:color="auto"/>
        <w:right w:val="none" w:sz="0" w:space="0" w:color="auto"/>
      </w:divBdr>
    </w:div>
    <w:div w:id="1898588888">
      <w:bodyDiv w:val="1"/>
      <w:marLeft w:val="0"/>
      <w:marRight w:val="0"/>
      <w:marTop w:val="0"/>
      <w:marBottom w:val="0"/>
      <w:divBdr>
        <w:top w:val="none" w:sz="0" w:space="0" w:color="auto"/>
        <w:left w:val="none" w:sz="0" w:space="0" w:color="auto"/>
        <w:bottom w:val="none" w:sz="0" w:space="0" w:color="auto"/>
        <w:right w:val="none" w:sz="0" w:space="0" w:color="auto"/>
      </w:divBdr>
    </w:div>
    <w:div w:id="1958366096">
      <w:bodyDiv w:val="1"/>
      <w:marLeft w:val="0"/>
      <w:marRight w:val="0"/>
      <w:marTop w:val="0"/>
      <w:marBottom w:val="0"/>
      <w:divBdr>
        <w:top w:val="none" w:sz="0" w:space="0" w:color="auto"/>
        <w:left w:val="none" w:sz="0" w:space="0" w:color="auto"/>
        <w:bottom w:val="none" w:sz="0" w:space="0" w:color="auto"/>
        <w:right w:val="none" w:sz="0" w:space="0" w:color="auto"/>
      </w:divBdr>
    </w:div>
    <w:div w:id="1959146155">
      <w:bodyDiv w:val="1"/>
      <w:marLeft w:val="0"/>
      <w:marRight w:val="0"/>
      <w:marTop w:val="0"/>
      <w:marBottom w:val="0"/>
      <w:divBdr>
        <w:top w:val="none" w:sz="0" w:space="0" w:color="auto"/>
        <w:left w:val="none" w:sz="0" w:space="0" w:color="auto"/>
        <w:bottom w:val="none" w:sz="0" w:space="0" w:color="auto"/>
        <w:right w:val="none" w:sz="0" w:space="0" w:color="auto"/>
      </w:divBdr>
    </w:div>
    <w:div w:id="2017657450">
      <w:bodyDiv w:val="1"/>
      <w:marLeft w:val="0"/>
      <w:marRight w:val="0"/>
      <w:marTop w:val="0"/>
      <w:marBottom w:val="0"/>
      <w:divBdr>
        <w:top w:val="none" w:sz="0" w:space="0" w:color="auto"/>
        <w:left w:val="none" w:sz="0" w:space="0" w:color="auto"/>
        <w:bottom w:val="none" w:sz="0" w:space="0" w:color="auto"/>
        <w:right w:val="none" w:sz="0" w:space="0" w:color="auto"/>
      </w:divBdr>
    </w:div>
    <w:div w:id="2020036324">
      <w:bodyDiv w:val="1"/>
      <w:marLeft w:val="0"/>
      <w:marRight w:val="0"/>
      <w:marTop w:val="0"/>
      <w:marBottom w:val="0"/>
      <w:divBdr>
        <w:top w:val="none" w:sz="0" w:space="0" w:color="auto"/>
        <w:left w:val="none" w:sz="0" w:space="0" w:color="auto"/>
        <w:bottom w:val="none" w:sz="0" w:space="0" w:color="auto"/>
        <w:right w:val="none" w:sz="0" w:space="0" w:color="auto"/>
      </w:divBdr>
    </w:div>
    <w:div w:id="2061859709">
      <w:bodyDiv w:val="1"/>
      <w:marLeft w:val="0"/>
      <w:marRight w:val="0"/>
      <w:marTop w:val="0"/>
      <w:marBottom w:val="0"/>
      <w:divBdr>
        <w:top w:val="none" w:sz="0" w:space="0" w:color="auto"/>
        <w:left w:val="none" w:sz="0" w:space="0" w:color="auto"/>
        <w:bottom w:val="none" w:sz="0" w:space="0" w:color="auto"/>
        <w:right w:val="none" w:sz="0" w:space="0" w:color="auto"/>
      </w:divBdr>
    </w:div>
    <w:div w:id="2062090990">
      <w:bodyDiv w:val="1"/>
      <w:marLeft w:val="0"/>
      <w:marRight w:val="0"/>
      <w:marTop w:val="0"/>
      <w:marBottom w:val="0"/>
      <w:divBdr>
        <w:top w:val="none" w:sz="0" w:space="0" w:color="auto"/>
        <w:left w:val="none" w:sz="0" w:space="0" w:color="auto"/>
        <w:bottom w:val="none" w:sz="0" w:space="0" w:color="auto"/>
        <w:right w:val="none" w:sz="0" w:space="0" w:color="auto"/>
      </w:divBdr>
    </w:div>
    <w:div w:id="2063285252">
      <w:bodyDiv w:val="1"/>
      <w:marLeft w:val="0"/>
      <w:marRight w:val="0"/>
      <w:marTop w:val="0"/>
      <w:marBottom w:val="0"/>
      <w:divBdr>
        <w:top w:val="none" w:sz="0" w:space="0" w:color="auto"/>
        <w:left w:val="none" w:sz="0" w:space="0" w:color="auto"/>
        <w:bottom w:val="none" w:sz="0" w:space="0" w:color="auto"/>
        <w:right w:val="none" w:sz="0" w:space="0" w:color="auto"/>
      </w:divBdr>
    </w:div>
    <w:div w:id="2115594699">
      <w:bodyDiv w:val="1"/>
      <w:marLeft w:val="0"/>
      <w:marRight w:val="0"/>
      <w:marTop w:val="0"/>
      <w:marBottom w:val="0"/>
      <w:divBdr>
        <w:top w:val="none" w:sz="0" w:space="0" w:color="auto"/>
        <w:left w:val="none" w:sz="0" w:space="0" w:color="auto"/>
        <w:bottom w:val="none" w:sz="0" w:space="0" w:color="auto"/>
        <w:right w:val="none" w:sz="0" w:space="0" w:color="auto"/>
      </w:divBdr>
    </w:div>
    <w:div w:id="21335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FBC4-9C75-4AA6-B48D-9BEF8D19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12</Pages>
  <Words>5531</Words>
  <Characters>31533</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8</cp:revision>
  <dcterms:created xsi:type="dcterms:W3CDTF">2026-03-25T20:09:00Z</dcterms:created>
  <dcterms:modified xsi:type="dcterms:W3CDTF">2026-07-07T12:05:00Z</dcterms:modified>
</cp:coreProperties>
</file>