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E07BD" w14:textId="1A5C5D1B" w:rsidR="00FA2E41" w:rsidRPr="006B78C3" w:rsidRDefault="0009248F" w:rsidP="004F4B6B">
      <w:pPr>
        <w:spacing w:line="240" w:lineRule="auto"/>
        <w:rPr>
          <w:rFonts w:ascii="Times New Roman" w:hAnsi="Times New Roman" w:cs="Times New Roman"/>
          <w:sz w:val="24"/>
          <w:szCs w:val="24"/>
          <w:lang w:val="en-US"/>
        </w:rPr>
      </w:pPr>
      <w:r w:rsidRPr="0009248F">
        <w:rPr>
          <w:rFonts w:ascii="Times New Roman" w:hAnsi="Times New Roman" w:cs="Times New Roman"/>
          <w:sz w:val="24"/>
          <w:szCs w:val="24"/>
          <w:u w:val="single"/>
          <w:lang w:val="en-US"/>
        </w:rPr>
        <w:t xml:space="preserve">KS. BERNHARD KÖRNER </w:t>
      </w:r>
      <w:r w:rsidRPr="0009248F">
        <w:rPr>
          <w:rFonts w:ascii="Times New Roman" w:hAnsi="Times New Roman" w:cs="Times New Roman"/>
          <w:sz w:val="24"/>
          <w:szCs w:val="24"/>
          <w:u w:val="single"/>
          <w:lang w:val="en-US"/>
        </w:rPr>
        <w:br/>
      </w:r>
      <w:r w:rsidR="006B78C3" w:rsidRPr="006B78C3">
        <w:rPr>
          <w:rStyle w:val="Emphasis"/>
          <w:rFonts w:ascii="Times New Roman" w:hAnsi="Times New Roman" w:cs="Times New Roman"/>
          <w:i w:val="0"/>
          <w:iCs w:val="0"/>
          <w:sz w:val="24"/>
          <w:szCs w:val="24"/>
          <w:shd w:val="clear" w:color="auto" w:fill="FFFFFF"/>
          <w:lang w:val="en-US"/>
        </w:rPr>
        <w:t>University</w:t>
      </w:r>
      <w:r w:rsidR="006B78C3" w:rsidRPr="006B78C3">
        <w:rPr>
          <w:rFonts w:ascii="Times New Roman" w:hAnsi="Times New Roman" w:cs="Times New Roman"/>
          <w:sz w:val="24"/>
          <w:szCs w:val="24"/>
          <w:shd w:val="clear" w:color="auto" w:fill="FFFFFF"/>
          <w:lang w:val="en-US"/>
        </w:rPr>
        <w:t> of </w:t>
      </w:r>
      <w:r w:rsidR="006B78C3" w:rsidRPr="006B78C3">
        <w:rPr>
          <w:rStyle w:val="Emphasis"/>
          <w:rFonts w:ascii="Times New Roman" w:hAnsi="Times New Roman" w:cs="Times New Roman"/>
          <w:i w:val="0"/>
          <w:iCs w:val="0"/>
          <w:sz w:val="24"/>
          <w:szCs w:val="24"/>
          <w:shd w:val="clear" w:color="auto" w:fill="FFFFFF"/>
          <w:lang w:val="en-US"/>
        </w:rPr>
        <w:t>Graz, Austria</w:t>
      </w:r>
      <w:r w:rsidR="006B78C3" w:rsidRPr="006B78C3">
        <w:rPr>
          <w:rFonts w:ascii="Times New Roman" w:hAnsi="Times New Roman" w:cs="Times New Roman"/>
          <w:sz w:val="24"/>
          <w:szCs w:val="24"/>
          <w:shd w:val="clear" w:color="auto" w:fill="FFFFFF"/>
          <w:lang w:val="en-US"/>
        </w:rPr>
        <w:t> </w:t>
      </w:r>
      <w:r w:rsidR="006B78C3" w:rsidRPr="006B78C3">
        <w:rPr>
          <w:rFonts w:ascii="Times New Roman" w:hAnsi="Times New Roman" w:cs="Times New Roman"/>
          <w:sz w:val="24"/>
          <w:szCs w:val="24"/>
          <w:shd w:val="clear" w:color="auto" w:fill="FFFFFF"/>
          <w:lang w:val="en-US"/>
        </w:rPr>
        <w:br/>
        <w:t xml:space="preserve">e-mail: </w:t>
      </w:r>
      <w:r w:rsidR="006B78C3" w:rsidRPr="006B78C3">
        <w:rPr>
          <w:rStyle w:val="Emphasis"/>
          <w:rFonts w:ascii="Times New Roman" w:hAnsi="Times New Roman" w:cs="Times New Roman"/>
          <w:i w:val="0"/>
          <w:iCs w:val="0"/>
          <w:sz w:val="24"/>
          <w:szCs w:val="24"/>
          <w:shd w:val="clear" w:color="auto" w:fill="FFFFFF"/>
          <w:lang w:val="en-US"/>
        </w:rPr>
        <w:t>bernhard.koerner@kontaktstelle-missbrauch.com</w:t>
      </w:r>
      <w:r w:rsidR="006B78C3" w:rsidRPr="006B78C3">
        <w:rPr>
          <w:rFonts w:ascii="Times New Roman" w:hAnsi="Times New Roman" w:cs="Times New Roman"/>
          <w:sz w:val="24"/>
          <w:szCs w:val="24"/>
          <w:shd w:val="clear" w:color="auto" w:fill="FFFFFF"/>
          <w:lang w:val="en-US"/>
        </w:rPr>
        <w:br/>
      </w:r>
      <w:r w:rsidR="006B78C3">
        <w:rPr>
          <w:rFonts w:ascii="Times New Roman" w:hAnsi="Times New Roman" w:cs="Times New Roman"/>
          <w:sz w:val="24"/>
          <w:szCs w:val="24"/>
          <w:lang w:val="en-US"/>
        </w:rPr>
        <w:t>DOI:</w:t>
      </w:r>
      <w:r w:rsidR="00A23AC1">
        <w:rPr>
          <w:rFonts w:ascii="Times New Roman" w:hAnsi="Times New Roman" w:cs="Times New Roman"/>
          <w:sz w:val="24"/>
          <w:szCs w:val="24"/>
          <w:lang w:val="en-US"/>
        </w:rPr>
        <w:t xml:space="preserve"> </w:t>
      </w:r>
      <w:r w:rsidR="00A23AC1" w:rsidRPr="00A23AC1">
        <w:rPr>
          <w:rFonts w:ascii="Times New Roman" w:hAnsi="Times New Roman" w:cs="Times New Roman"/>
          <w:sz w:val="24"/>
          <w:szCs w:val="24"/>
          <w:lang w:val="en-US"/>
        </w:rPr>
        <w:t>10.48224/COM-230-2025-54</w:t>
      </w:r>
    </w:p>
    <w:p w14:paraId="39EB9508" w14:textId="77777777" w:rsidR="008D0CF0" w:rsidRPr="00B26F1F" w:rsidRDefault="008D0CF0" w:rsidP="008D0CF0">
      <w:pPr>
        <w:pStyle w:val="NoSpacing"/>
        <w:jc w:val="both"/>
        <w:rPr>
          <w:lang w:val="en-U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tblGrid>
      <w:tr w:rsidR="008D0CF0" w:rsidRPr="00B26F1F" w14:paraId="185ADAAC" w14:textId="77777777" w:rsidTr="00B573FE">
        <w:trPr>
          <w:trHeight w:val="724"/>
          <w:jc w:val="right"/>
        </w:trPr>
        <w:tc>
          <w:tcPr>
            <w:tcW w:w="3685" w:type="dxa"/>
            <w:tcBorders>
              <w:top w:val="single" w:sz="4" w:space="0" w:color="auto"/>
              <w:left w:val="single" w:sz="4" w:space="0" w:color="auto"/>
              <w:bottom w:val="single" w:sz="4" w:space="0" w:color="auto"/>
              <w:right w:val="single" w:sz="4" w:space="0" w:color="auto"/>
            </w:tcBorders>
            <w:hideMark/>
          </w:tcPr>
          <w:p w14:paraId="1DC136AA" w14:textId="77777777" w:rsidR="008D0CF0" w:rsidRPr="008D0CF0" w:rsidRDefault="008D0CF0" w:rsidP="00B573FE">
            <w:pPr>
              <w:pStyle w:val="NoSpacing"/>
              <w:jc w:val="center"/>
              <w:rPr>
                <w:rFonts w:ascii="Times New Roman" w:hAnsi="Times New Roman" w:cs="Times New Roman"/>
                <w:sz w:val="20"/>
                <w:szCs w:val="20"/>
              </w:rPr>
            </w:pPr>
            <w:r w:rsidRPr="00B26F1F">
              <w:rPr>
                <w:sz w:val="20"/>
                <w:szCs w:val="20"/>
                <w:lang w:val="en-US"/>
              </w:rPr>
              <w:br/>
            </w:r>
            <w:r>
              <w:rPr>
                <w:rFonts w:ascii="Times New Roman" w:hAnsi="Times New Roman" w:cs="Times New Roman"/>
                <w:sz w:val="20"/>
                <w:szCs w:val="20"/>
              </w:rPr>
              <w:t>Communio 45(2025)2</w:t>
            </w:r>
            <w:r w:rsidRPr="008D0CF0">
              <w:rPr>
                <w:rFonts w:ascii="Times New Roman" w:hAnsi="Times New Roman" w:cs="Times New Roman"/>
                <w:sz w:val="20"/>
                <w:szCs w:val="20"/>
              </w:rPr>
              <w:t>, s. 2-2</w:t>
            </w:r>
          </w:p>
        </w:tc>
      </w:tr>
    </w:tbl>
    <w:p w14:paraId="7083B3D3" w14:textId="77777777" w:rsidR="008D0CF0" w:rsidRPr="00B26F1F" w:rsidRDefault="008D0CF0" w:rsidP="008D0CF0">
      <w:pPr>
        <w:pStyle w:val="NoSpacing"/>
        <w:jc w:val="both"/>
        <w:rPr>
          <w:b/>
        </w:rPr>
      </w:pPr>
    </w:p>
    <w:p w14:paraId="0796A077" w14:textId="77777777" w:rsidR="000943B0" w:rsidRPr="0009248F" w:rsidRDefault="00760AED" w:rsidP="004F4B6B">
      <w:pPr>
        <w:pStyle w:val="NormalWeb"/>
        <w:jc w:val="center"/>
        <w:rPr>
          <w:b/>
          <w:bCs/>
          <w:sz w:val="28"/>
          <w:szCs w:val="28"/>
          <w:lang w:val="en-US"/>
        </w:rPr>
      </w:pPr>
      <w:r w:rsidRPr="0009248F">
        <w:rPr>
          <w:b/>
          <w:bCs/>
          <w:sz w:val="28"/>
          <w:szCs w:val="28"/>
          <w:lang w:val="en-US"/>
        </w:rPr>
        <w:t>Autorytet</w:t>
      </w:r>
      <w:r w:rsidR="006B78C3" w:rsidRPr="0009248F">
        <w:rPr>
          <w:b/>
          <w:bCs/>
          <w:sz w:val="28"/>
          <w:szCs w:val="28"/>
          <w:lang w:val="en-US"/>
        </w:rPr>
        <w:t xml:space="preserve"> w teologii</w:t>
      </w:r>
    </w:p>
    <w:p w14:paraId="38969D9E" w14:textId="77777777" w:rsidR="00760AED" w:rsidRPr="0009248F" w:rsidRDefault="00760AED" w:rsidP="004F4B6B">
      <w:pPr>
        <w:spacing w:after="0" w:line="240" w:lineRule="auto"/>
        <w:jc w:val="center"/>
        <w:rPr>
          <w:rFonts w:ascii="Times New Roman" w:hAnsi="Times New Roman" w:cs="Times New Roman"/>
          <w:b/>
          <w:bCs/>
          <w:sz w:val="28"/>
          <w:szCs w:val="28"/>
          <w:lang w:val="en-US"/>
        </w:rPr>
      </w:pPr>
      <w:r w:rsidRPr="0009248F">
        <w:rPr>
          <w:rFonts w:ascii="Times New Roman" w:hAnsi="Times New Roman" w:cs="Times New Roman"/>
          <w:b/>
          <w:bCs/>
          <w:sz w:val="28"/>
          <w:szCs w:val="28"/>
          <w:lang w:val="en-US"/>
        </w:rPr>
        <w:t>Authority in Theology</w:t>
      </w:r>
    </w:p>
    <w:p w14:paraId="05298C92" w14:textId="77777777" w:rsidR="00760AED" w:rsidRPr="00760AED" w:rsidRDefault="00760AED" w:rsidP="004F4B6B">
      <w:pPr>
        <w:spacing w:after="0" w:line="240" w:lineRule="auto"/>
        <w:jc w:val="center"/>
        <w:rPr>
          <w:rFonts w:ascii="Times New Roman" w:hAnsi="Times New Roman" w:cs="Times New Roman"/>
          <w:b/>
          <w:bCs/>
          <w:sz w:val="24"/>
          <w:szCs w:val="24"/>
          <w:lang w:val="en-US"/>
        </w:rPr>
      </w:pPr>
    </w:p>
    <w:p w14:paraId="26026C2C" w14:textId="77777777" w:rsidR="00760AED" w:rsidRPr="00760AED" w:rsidRDefault="00760AED" w:rsidP="004F4B6B">
      <w:pPr>
        <w:pStyle w:val="NoSpacing"/>
        <w:jc w:val="center"/>
        <w:rPr>
          <w:rFonts w:ascii="Times New Roman" w:hAnsi="Times New Roman" w:cs="Times New Roman"/>
          <w:b/>
          <w:bCs/>
          <w:sz w:val="20"/>
          <w:szCs w:val="20"/>
          <w:lang w:val="en-US"/>
        </w:rPr>
      </w:pPr>
      <w:r w:rsidRPr="00760AED">
        <w:rPr>
          <w:rFonts w:ascii="Times New Roman" w:hAnsi="Times New Roman" w:cs="Times New Roman"/>
          <w:b/>
          <w:bCs/>
          <w:sz w:val="20"/>
          <w:szCs w:val="20"/>
          <w:lang w:val="en-US"/>
        </w:rPr>
        <w:t>Abstract</w:t>
      </w:r>
    </w:p>
    <w:p w14:paraId="45FC9120" w14:textId="77777777" w:rsidR="00760AED" w:rsidRPr="00760AED" w:rsidRDefault="00760AED" w:rsidP="004F4B6B">
      <w:pPr>
        <w:pStyle w:val="NoSpacing"/>
        <w:rPr>
          <w:rFonts w:ascii="Times New Roman" w:hAnsi="Times New Roman" w:cs="Times New Roman"/>
          <w:sz w:val="20"/>
          <w:szCs w:val="20"/>
          <w:lang w:val="en-US"/>
        </w:rPr>
      </w:pPr>
      <w:r w:rsidRPr="00760AED">
        <w:rPr>
          <w:rFonts w:ascii="Times New Roman" w:hAnsi="Times New Roman" w:cs="Times New Roman"/>
          <w:sz w:val="20"/>
          <w:szCs w:val="20"/>
          <w:lang w:val="en-US"/>
        </w:rPr>
        <w:t>There is no denying that authority plays an important role in religion and faith. It can be effective, for example, in a specific environment of believers. However, it can also present a problem and challenge when confronted with trends that oppose faith, which are largely accepted in society. It is easy to notice that social networks play a significant role in this regard. Yet, the argument from authority cannot be seen solely as a problem—neither in theology nor in life in general. Sometimes it serves an unavoidable function. This is especially true regarding the transmission and assimilation of knowledge. In this context, appealing to authority is essential. Church life without authority is unimaginable for both institutional and theological reasons. Authority in today’s theology requires more than just historical interest.</w:t>
      </w:r>
    </w:p>
    <w:p w14:paraId="05585ADC" w14:textId="77777777" w:rsidR="00760AED" w:rsidRPr="00760AED" w:rsidRDefault="00760AED" w:rsidP="004F4B6B">
      <w:pPr>
        <w:spacing w:after="0" w:line="240" w:lineRule="auto"/>
        <w:jc w:val="center"/>
        <w:rPr>
          <w:rFonts w:ascii="Times New Roman" w:hAnsi="Times New Roman" w:cs="Times New Roman"/>
          <w:b/>
          <w:bCs/>
          <w:sz w:val="20"/>
          <w:szCs w:val="20"/>
          <w:lang w:val="en-US"/>
        </w:rPr>
      </w:pPr>
    </w:p>
    <w:p w14:paraId="29A2626B" w14:textId="77777777" w:rsidR="00760AED" w:rsidRPr="00760AED" w:rsidRDefault="00760AED" w:rsidP="004F4B6B">
      <w:pPr>
        <w:spacing w:after="0" w:line="240" w:lineRule="auto"/>
        <w:rPr>
          <w:rFonts w:ascii="Times New Roman" w:hAnsi="Times New Roman" w:cs="Times New Roman"/>
          <w:b/>
          <w:bCs/>
          <w:sz w:val="20"/>
          <w:szCs w:val="20"/>
          <w:lang w:val="en-US"/>
        </w:rPr>
      </w:pPr>
      <w:r w:rsidRPr="00760AED">
        <w:rPr>
          <w:rFonts w:ascii="Times New Roman" w:hAnsi="Times New Roman" w:cs="Times New Roman"/>
          <w:b/>
          <w:bCs/>
          <w:sz w:val="20"/>
          <w:szCs w:val="20"/>
          <w:lang w:val="en-US"/>
        </w:rPr>
        <w:t xml:space="preserve">Keywords: </w:t>
      </w:r>
      <w:r w:rsidRPr="00760AED">
        <w:rPr>
          <w:rFonts w:ascii="Times New Roman" w:hAnsi="Times New Roman" w:cs="Times New Roman"/>
          <w:sz w:val="20"/>
          <w:szCs w:val="20"/>
          <w:lang w:val="en-US"/>
        </w:rPr>
        <w:t>Authority – Church – theology – faith</w:t>
      </w:r>
    </w:p>
    <w:p w14:paraId="55A67B10" w14:textId="77777777" w:rsidR="00760AED" w:rsidRPr="00760AED" w:rsidRDefault="00760AED" w:rsidP="004F4B6B">
      <w:pPr>
        <w:spacing w:after="0" w:line="240" w:lineRule="auto"/>
        <w:jc w:val="center"/>
        <w:rPr>
          <w:rFonts w:ascii="Times New Roman" w:hAnsi="Times New Roman" w:cs="Times New Roman"/>
          <w:b/>
          <w:bCs/>
          <w:sz w:val="20"/>
          <w:szCs w:val="20"/>
          <w:lang w:val="en-US"/>
        </w:rPr>
      </w:pPr>
      <w:r w:rsidRPr="00760AED">
        <w:rPr>
          <w:rFonts w:ascii="Times New Roman" w:hAnsi="Times New Roman" w:cs="Times New Roman"/>
          <w:b/>
          <w:bCs/>
          <w:sz w:val="20"/>
          <w:szCs w:val="20"/>
          <w:lang w:val="en-US"/>
        </w:rPr>
        <w:t>Streszczenie</w:t>
      </w:r>
    </w:p>
    <w:p w14:paraId="6ECBE6A2" w14:textId="77777777" w:rsidR="00760AED" w:rsidRPr="00760AED" w:rsidRDefault="00760AED" w:rsidP="004F4B6B">
      <w:pPr>
        <w:spacing w:after="0" w:line="240" w:lineRule="auto"/>
        <w:jc w:val="both"/>
        <w:rPr>
          <w:rFonts w:ascii="Times New Roman" w:hAnsi="Times New Roman" w:cs="Times New Roman"/>
          <w:sz w:val="20"/>
          <w:szCs w:val="20"/>
        </w:rPr>
      </w:pPr>
      <w:r w:rsidRPr="00760AED">
        <w:rPr>
          <w:rFonts w:ascii="Times New Roman" w:hAnsi="Times New Roman" w:cs="Times New Roman"/>
          <w:sz w:val="20"/>
          <w:szCs w:val="20"/>
        </w:rPr>
        <w:t>Nie da się zaprzeczyć, że autorytet odgrywa ważną rolę w religii i w wierze. Może być skuteczny np. w określonym środowisku wierzących. Może jednak także stanowić problem i wyzwanie w konfrontacji z nurtami przeciwnymi wierze, które w społeczeństwie są w dużej mierze akceptowane. I łatwo zauważyć, że tzw. sieci społeczne odgrywają w tym przypadku dużą rolę. Jednak nie można postrzegać argumentu z autorytetu wyłącznie jako problemu – ani w teologii, ani w życiu w ogóle. Czasami pełni on funkcję nieuniknioną. Dotyczy to przede wszystkim przekazywania i przyswajania wiedzy. W tym kontekście odwołanie się do autorytetu jest niezbędne. Życie kościelne bez autorytetu jest nie do pomyślenia zarówno z powodów instytucjonalnych, jak i teologicznych. Autorytet w dzisiejszej teologii wymaga więcej niż tylko historycznego zainteresowania.</w:t>
      </w:r>
    </w:p>
    <w:p w14:paraId="1F5BBC2E" w14:textId="77777777" w:rsidR="00760AED" w:rsidRPr="00760AED" w:rsidRDefault="00760AED" w:rsidP="004F4B6B">
      <w:pPr>
        <w:spacing w:after="0" w:line="240" w:lineRule="auto"/>
        <w:jc w:val="both"/>
        <w:rPr>
          <w:rFonts w:ascii="Times New Roman" w:hAnsi="Times New Roman" w:cs="Times New Roman"/>
          <w:sz w:val="20"/>
          <w:szCs w:val="20"/>
        </w:rPr>
      </w:pPr>
    </w:p>
    <w:p w14:paraId="1D4EF6C5" w14:textId="77777777" w:rsidR="00760AED" w:rsidRPr="00760AED" w:rsidRDefault="00760AED" w:rsidP="004F4B6B">
      <w:pPr>
        <w:spacing w:after="0" w:line="240" w:lineRule="auto"/>
        <w:jc w:val="both"/>
        <w:rPr>
          <w:rFonts w:ascii="Times New Roman" w:hAnsi="Times New Roman" w:cs="Times New Roman"/>
          <w:sz w:val="20"/>
          <w:szCs w:val="20"/>
        </w:rPr>
      </w:pPr>
      <w:r w:rsidRPr="00760AED">
        <w:rPr>
          <w:rFonts w:ascii="Times New Roman" w:hAnsi="Times New Roman" w:cs="Times New Roman"/>
          <w:b/>
          <w:bCs/>
          <w:sz w:val="20"/>
          <w:szCs w:val="20"/>
        </w:rPr>
        <w:t>Słowa kluczowe:</w:t>
      </w:r>
      <w:r w:rsidRPr="00760AED">
        <w:rPr>
          <w:rFonts w:ascii="Times New Roman" w:hAnsi="Times New Roman" w:cs="Times New Roman"/>
          <w:sz w:val="20"/>
          <w:szCs w:val="20"/>
        </w:rPr>
        <w:t xml:space="preserve"> Autorytet – Kościół – teologia – wiara</w:t>
      </w:r>
    </w:p>
    <w:p w14:paraId="795DB709" w14:textId="77777777" w:rsidR="00760AED" w:rsidRDefault="00760AED" w:rsidP="004F4B6B">
      <w:pPr>
        <w:pStyle w:val="NormalWeb"/>
        <w:spacing w:before="0" w:beforeAutospacing="0" w:after="0" w:afterAutospacing="0"/>
        <w:ind w:firstLine="708"/>
        <w:jc w:val="both"/>
      </w:pPr>
    </w:p>
    <w:p w14:paraId="1B43BB73" w14:textId="77777777" w:rsidR="00760AED" w:rsidRDefault="00760AED" w:rsidP="004F4B6B">
      <w:pPr>
        <w:pStyle w:val="NormalWeb"/>
        <w:spacing w:before="0" w:beforeAutospacing="0" w:after="0" w:afterAutospacing="0"/>
        <w:ind w:firstLine="708"/>
        <w:jc w:val="both"/>
      </w:pPr>
    </w:p>
    <w:p w14:paraId="107AE2E7" w14:textId="77777777" w:rsidR="00B74113" w:rsidRDefault="00825A1F" w:rsidP="004F4B6B">
      <w:pPr>
        <w:pStyle w:val="NormalWeb"/>
        <w:spacing w:before="0" w:beforeAutospacing="0" w:after="0" w:afterAutospacing="0"/>
        <w:ind w:firstLine="708"/>
        <w:jc w:val="both"/>
      </w:pPr>
      <w:r>
        <w:t xml:space="preserve"> </w:t>
      </w:r>
      <w:r w:rsidR="000943B0">
        <w:t>„Albowiem przekazałem wam przede wszystkim to, co i ja otrzyma</w:t>
      </w:r>
      <w:r w:rsidR="00E23319">
        <w:t>łem […]” (1 Kor 15, 3). Dla Paw</w:t>
      </w:r>
      <w:r w:rsidR="000943B0">
        <w:t>ła z Tarsu zdanie to w jego Pierwszym Liście do wspólnoty w Koryncie  mogło być jedynie przejściem do dalszego wywodu. Równocześnie jednak wyraża ono pewność, która od początku kształtowała nie tylko Apostoła, lecz także chrześcijan: wiara chrześcijańska opiera się na tradycji, na świadkach uznawanych za autorytety  i w sposób wiążący odpowiadają za wiarę.</w:t>
      </w:r>
      <w:r>
        <w:t xml:space="preserve"> </w:t>
      </w:r>
      <w:r w:rsidR="000943B0">
        <w:t xml:space="preserve">Sposób, w jaki Ojcowie Kościoła odwołują się do wypowiedzi </w:t>
      </w:r>
      <w:r w:rsidR="00060A9C">
        <w:t xml:space="preserve">zawartych w </w:t>
      </w:r>
      <w:r w:rsidR="000943B0">
        <w:t xml:space="preserve">Biblii, pokazuje to wystarczająco jasno. Właściwą podstawą obowiązywalności twierdzeń biblijnych nie była ich wiarygodność czy przekonująca siła argumentacji, lecz fakt, że były one uznawane za objawione przez Boga. Tym samym kategoria autorytetu od samego początku znalazła swoje miejsce </w:t>
      </w:r>
      <w:r>
        <w:t>w teologii i głoszeniu Słowa Bożego, zarówno pod względem merytorycznym, jak i z czasem również pod względem pojęciowym.</w:t>
      </w:r>
    </w:p>
    <w:p w14:paraId="555F6D44" w14:textId="77777777" w:rsidR="00B74113" w:rsidRDefault="00B74113" w:rsidP="004F4B6B">
      <w:pPr>
        <w:pStyle w:val="NormalWeb"/>
        <w:spacing w:before="0" w:beforeAutospacing="0" w:after="0" w:afterAutospacing="0"/>
        <w:ind w:firstLine="708"/>
        <w:jc w:val="both"/>
      </w:pPr>
      <w:r>
        <w:t xml:space="preserve">Już w sporze z gnozą teologowie tacy jak Ireneusz z Lyonu, Tertulian, Orygenes i Augustyn z Hippony jasno ukazywali, że teologia, podobnie jak głoszenie wiary, jest </w:t>
      </w:r>
      <w:r>
        <w:lastRenderedPageBreak/>
        <w:t>związana z Tradycją i na niej się opiera</w:t>
      </w:r>
      <w:r w:rsidR="00C42319">
        <w:rPr>
          <w:rStyle w:val="FootnoteReference"/>
        </w:rPr>
        <w:footnoteReference w:id="1"/>
      </w:r>
      <w:r>
        <w:t>. Jak wpływa to na fundamenty teologii, stało się szczególnie wyraźne w średniowieczu, gdy starano się wykazać, że teologii można przyznać miejsce w „domu nauk”, czyli na uniwersytecie. Znanym przykładem jest Tomasz z Akwinu.</w:t>
      </w:r>
    </w:p>
    <w:p w14:paraId="48EFB021" w14:textId="77777777" w:rsidR="000943B0" w:rsidRDefault="000943B0" w:rsidP="004F4B6B">
      <w:pPr>
        <w:spacing w:line="240" w:lineRule="auto"/>
        <w:jc w:val="both"/>
      </w:pPr>
    </w:p>
    <w:p w14:paraId="2E44C771" w14:textId="77777777" w:rsidR="00B74113" w:rsidRPr="00E23319" w:rsidRDefault="00B74113" w:rsidP="004F4B6B">
      <w:pPr>
        <w:pStyle w:val="NormalWeb"/>
        <w:numPr>
          <w:ilvl w:val="0"/>
          <w:numId w:val="2"/>
        </w:numPr>
        <w:ind w:hanging="11"/>
        <w:rPr>
          <w:b/>
          <w:bCs/>
          <w:iCs/>
        </w:rPr>
      </w:pPr>
      <w:r w:rsidRPr="00E23319">
        <w:rPr>
          <w:b/>
          <w:bCs/>
          <w:iCs/>
        </w:rPr>
        <w:t xml:space="preserve">Tomasz z Akwinu i argumentowanie </w:t>
      </w:r>
      <w:r w:rsidRPr="00E23319">
        <w:rPr>
          <w:rStyle w:val="Emphasis"/>
          <w:b/>
          <w:bCs/>
          <w:iCs w:val="0"/>
        </w:rPr>
        <w:t>ex auctoritate</w:t>
      </w:r>
    </w:p>
    <w:p w14:paraId="1FA411A5" w14:textId="77777777" w:rsidR="00A02BEE" w:rsidRDefault="0006044C" w:rsidP="004F4B6B">
      <w:pPr>
        <w:pStyle w:val="NormalWeb"/>
        <w:spacing w:before="0" w:beforeAutospacing="0" w:after="0" w:afterAutospacing="0"/>
        <w:ind w:firstLine="708"/>
        <w:jc w:val="both"/>
      </w:pPr>
      <w:r>
        <w:t xml:space="preserve">Dla dalszego rozwoju teologii szczególnie doniosłe okazały się jego wstępne rozważania w </w:t>
      </w:r>
      <w:r w:rsidRPr="007F651D">
        <w:rPr>
          <w:i/>
          <w:iCs/>
        </w:rPr>
        <w:t>Summa Theologiae</w:t>
      </w:r>
      <w:r>
        <w:t>. St</w:t>
      </w:r>
      <w:r w:rsidR="005E0216">
        <w:t xml:space="preserve">awia tam pytanie, czy teologia, </w:t>
      </w:r>
      <w:r>
        <w:t xml:space="preserve"> którą na podstawie arystotelesowskiej t</w:t>
      </w:r>
      <w:r w:rsidR="005E0216">
        <w:t xml:space="preserve">eorii nauki rozumie jako naukę, </w:t>
      </w:r>
      <w:r>
        <w:t xml:space="preserve"> ma charakter argumentacyjny, a więc czy zna procedurę dowodzenia</w:t>
      </w:r>
      <w:r w:rsidR="00C42319">
        <w:rPr>
          <w:rStyle w:val="FootnoteReference"/>
        </w:rPr>
        <w:footnoteReference w:id="2"/>
      </w:r>
      <w:r>
        <w:t>. Tomasz z Akwinu odpowiada na to pytanie twierdząco. Musi przy tym zmierzyć się z zarzutem, że istotny dla teologii dowód z autorytetu nie przystoi jej godności. Do tych argumentów Tomasz odnosi się</w:t>
      </w:r>
      <w:r w:rsidR="005E0216">
        <w:t xml:space="preserve">,  zgodnie ze swoją metodą, </w:t>
      </w:r>
      <w:r>
        <w:t xml:space="preserve"> na końcu swojego artykułu.</w:t>
      </w:r>
      <w:r w:rsidR="00EE2AFD">
        <w:t xml:space="preserve"> </w:t>
      </w:r>
    </w:p>
    <w:p w14:paraId="7445A760" w14:textId="77777777" w:rsidR="009B3C5E" w:rsidRDefault="00EE2AFD" w:rsidP="004F4B6B">
      <w:pPr>
        <w:pStyle w:val="NormalWeb"/>
        <w:spacing w:before="0" w:beforeAutospacing="0" w:after="0" w:afterAutospacing="0"/>
        <w:ind w:firstLine="708"/>
        <w:jc w:val="both"/>
      </w:pPr>
      <w:r>
        <w:t xml:space="preserve">Najpierw podkreśla, że dla teologii czymś najbardziej właściwym jest argumentowanie </w:t>
      </w:r>
      <w:r>
        <w:rPr>
          <w:rStyle w:val="Emphasis"/>
        </w:rPr>
        <w:t>ex auctoritate</w:t>
      </w:r>
      <w:r>
        <w:t>, ponieważ swoje zasady, a więc podstawowe twierdzenia, czerpie ona z Objawienia. Dowód z autorytetu, który nie zyskuje swej mocy obowiązującej dzięki racjom merytorycznym, lecz dzięki instancji ręczącej za treść, jest wprawdzie najsłabszym ze wszystkich dowodów, niemniej jednak nie sprzeciwia się godności teologii. Autorytet bowiem, który może oprzeć się na Bożym Objawieniu, odznacza się najwyższą mocą dowodową.</w:t>
      </w:r>
    </w:p>
    <w:p w14:paraId="2F33162C" w14:textId="77777777" w:rsidR="009B3C5E" w:rsidRDefault="009B3C5E" w:rsidP="004F4B6B">
      <w:pPr>
        <w:pStyle w:val="NormalWeb"/>
        <w:spacing w:before="0" w:beforeAutospacing="0" w:after="0" w:afterAutospacing="0"/>
        <w:ind w:firstLine="708"/>
        <w:jc w:val="both"/>
      </w:pPr>
      <w:r>
        <w:t>Odnosi się to w szczególności do Pisma Świętego. Z niego bowiem czerpie się dowody o charakterze koniecznym, podczas gdy w przypadku Ojców Kościoła za ich twierdzeniami przemawia jedynie pewne prawdopodobieństwo. Tomasz nie zapomina jednak zaznaczyć, że teologia opiera się także na argumentach rozumowych. Dlatego też przyznaje miejsce w teologicznej argumentacji autorytetowi filozofów. Gdy w ten sposób do głosu dochodzi rozum, nie znosi to wiary, lecz dokonuje się niejako w jej wnętrzu — na przykład wtedy, gdy dwa twierdzenia poświadczone przez Objawienie zostają powiązane w formie wniosku lub wzajemnie objaśnione.</w:t>
      </w:r>
    </w:p>
    <w:p w14:paraId="55E6590B" w14:textId="77777777" w:rsidR="00791B2C" w:rsidRPr="00E23319" w:rsidRDefault="00791B2C" w:rsidP="004F4B6B">
      <w:pPr>
        <w:pStyle w:val="NormalWeb"/>
        <w:numPr>
          <w:ilvl w:val="0"/>
          <w:numId w:val="2"/>
        </w:numPr>
        <w:ind w:hanging="11"/>
        <w:rPr>
          <w:b/>
          <w:bCs/>
          <w:iCs/>
        </w:rPr>
      </w:pPr>
      <w:r w:rsidRPr="00E23319">
        <w:rPr>
          <w:b/>
          <w:bCs/>
          <w:iCs/>
        </w:rPr>
        <w:t>„Autorytet” w teologii średniowiecznej</w:t>
      </w:r>
    </w:p>
    <w:p w14:paraId="00F2EAA5" w14:textId="77777777" w:rsidR="00921701" w:rsidRDefault="005D07C9" w:rsidP="004F4B6B">
      <w:pPr>
        <w:pStyle w:val="NormalWeb"/>
        <w:spacing w:before="0" w:beforeAutospacing="0" w:after="0" w:afterAutospacing="0"/>
        <w:ind w:firstLine="708"/>
        <w:jc w:val="both"/>
      </w:pPr>
      <w:r>
        <w:t>Jeśli chodzi o badania nad teologią Tomasz</w:t>
      </w:r>
      <w:r w:rsidR="00760AED">
        <w:t>a</w:t>
      </w:r>
      <w:r>
        <w:t xml:space="preserve"> z Akwinu, szczególne znaczenie ma francuski dominikanin Marie-Dominique Chenu. W swojej dosłownie fundamentalnej pracy </w:t>
      </w:r>
      <w:r w:rsidRPr="005D07C9">
        <w:rPr>
          <w:i/>
        </w:rPr>
        <w:t>Das Werk des hl. Thomas von Aquin</w:t>
      </w:r>
      <w:r w:rsidRPr="007F651D">
        <w:rPr>
          <w:rStyle w:val="FootnoteReference"/>
          <w:iCs/>
        </w:rPr>
        <w:footnoteReference w:id="3"/>
      </w:r>
      <w:r w:rsidRPr="007F651D">
        <w:rPr>
          <w:iCs/>
        </w:rPr>
        <w:t xml:space="preserve"> </w:t>
      </w:r>
      <w:r>
        <w:t>zajmuje się on pod hasłem „procedura dokumentacyjna</w:t>
      </w:r>
      <w:r>
        <w:rPr>
          <w:rStyle w:val="FootnoteReference"/>
        </w:rPr>
        <w:footnoteReference w:id="4"/>
      </w:r>
      <w:r>
        <w:t>” tym, jak należy umiejscowić wypowiedzi Akwinaty w średniowiecznym myśleniu filozoficznym i teologicznym.</w:t>
      </w:r>
    </w:p>
    <w:p w14:paraId="022061C9" w14:textId="77777777" w:rsidR="007B007F" w:rsidRDefault="00921701" w:rsidP="004F4B6B">
      <w:pPr>
        <w:pStyle w:val="NormalWeb"/>
        <w:spacing w:before="0" w:beforeAutospacing="0" w:after="0" w:afterAutospacing="0"/>
        <w:ind w:firstLine="708"/>
        <w:jc w:val="both"/>
      </w:pPr>
      <w:r>
        <w:t>Odniesienie do autorytetów, czyli do autorów mających coś do powiedzenia na dany temat, stanowi podstawowy wymiar średniowiecznego myślenia, a tym samym jest oczywistością w teologii. Byłoby jednak błędem uznać je za niesamodzielne i widzieć w nim jedynie naukę reprodukcyjną, pozbawioną własnych osiągnięć.</w:t>
      </w:r>
    </w:p>
    <w:p w14:paraId="2F540515" w14:textId="77777777" w:rsidR="009C524F" w:rsidRDefault="007B007F" w:rsidP="004F4B6B">
      <w:pPr>
        <w:pStyle w:val="NormalWeb"/>
        <w:spacing w:before="0" w:beforeAutospacing="0" w:after="0" w:afterAutospacing="0"/>
        <w:ind w:firstLine="708"/>
        <w:jc w:val="both"/>
      </w:pPr>
      <w:r>
        <w:lastRenderedPageBreak/>
        <w:t xml:space="preserve">Pojęcie </w:t>
      </w:r>
      <w:r>
        <w:rPr>
          <w:rStyle w:val="Emphasis"/>
        </w:rPr>
        <w:t>auctoritas</w:t>
      </w:r>
      <w:r>
        <w:t xml:space="preserve"> w średniowiecznym dyskursie ogólnie oznaczało cechę osoby, następnie samą osobę, a w końcu tekst tej osoby. Termin ten rozumiano z jednej strony w sposób ściśle prawny, a z drugiej w szerszym znaczeniu — tak jak w teologii.</w:t>
      </w:r>
    </w:p>
    <w:p w14:paraId="4553CA49" w14:textId="77777777" w:rsidR="009C524F" w:rsidRDefault="002B40E6" w:rsidP="004F4B6B">
      <w:pPr>
        <w:pStyle w:val="NormalWeb"/>
        <w:spacing w:before="0" w:beforeAutospacing="0" w:after="0" w:afterAutospacing="0"/>
        <w:ind w:firstLine="708"/>
        <w:jc w:val="both"/>
      </w:pPr>
      <w:r>
        <w:t>Odwołanie to mogło przy tym pełnić różne funkcje, i to nie tylko apologetyczne, jak miało to miejsce przede wszystkim w nowożytnej teologii szkolnej.</w:t>
      </w:r>
    </w:p>
    <w:p w14:paraId="3A8420EF" w14:textId="77777777" w:rsidR="008F228C" w:rsidRDefault="009C524F" w:rsidP="004F4B6B">
      <w:pPr>
        <w:pStyle w:val="NormalWeb"/>
        <w:spacing w:before="0" w:beforeAutospacing="0" w:after="0" w:afterAutospacing="0"/>
        <w:ind w:firstLine="708"/>
        <w:jc w:val="both"/>
      </w:pPr>
      <w:r>
        <w:t xml:space="preserve">Widać to nie tylko w praktycznym zastosowaniu </w:t>
      </w:r>
      <w:r>
        <w:rPr>
          <w:rStyle w:val="Emphasis"/>
        </w:rPr>
        <w:t>auctoritas</w:t>
      </w:r>
      <w:r>
        <w:t xml:space="preserve">. Odwołanie się do </w:t>
      </w:r>
      <w:r>
        <w:rPr>
          <w:rStyle w:val="Emphasis"/>
        </w:rPr>
        <w:t>auctoritas</w:t>
      </w:r>
      <w:r>
        <w:t xml:space="preserve"> nie jest ostatnim słowem w dyskusji, lecz nierzadko dopiero ją otwiera. Pojawia się między innymi pytanie, jak należy rozumieć tekst autorytatywny. Może to prowadzić do interpretacji, które z dzisiejszej perspektywy mają niewiele wspólnego z pierwotnie zamierzonym sensem. Określa się to eufemistycznie jako </w:t>
      </w:r>
      <w:r>
        <w:rPr>
          <w:rStyle w:val="Emphasis"/>
        </w:rPr>
        <w:t>expositio reverentialis</w:t>
      </w:r>
      <w:r>
        <w:t>; mniej oględnie mówi się o „woskowym nosie”, który można wyginać w tę czy inną stronę</w:t>
      </w:r>
      <w:r>
        <w:rPr>
          <w:rStyle w:val="FootnoteReference"/>
        </w:rPr>
        <w:footnoteReference w:id="5"/>
      </w:r>
      <w:r>
        <w:t>.</w:t>
      </w:r>
    </w:p>
    <w:p w14:paraId="79F03ADA" w14:textId="77777777" w:rsidR="008F228C" w:rsidRDefault="008F228C" w:rsidP="004F4B6B">
      <w:pPr>
        <w:pStyle w:val="NormalWeb"/>
        <w:spacing w:before="0" w:beforeAutospacing="0" w:after="0" w:afterAutospacing="0"/>
        <w:ind w:firstLine="708"/>
        <w:jc w:val="both"/>
      </w:pPr>
      <w:r>
        <w:t xml:space="preserve">Powinno zatem być jasne, że średniowieczne docenianie autorytetów nie ma nic wspólnego z rezygnacją z własnego posługiwania się rozumem — w myśleniu teologicznym </w:t>
      </w:r>
      <w:r>
        <w:rPr>
          <w:rStyle w:val="Emphasis"/>
        </w:rPr>
        <w:t>auctoritas</w:t>
      </w:r>
      <w:r>
        <w:t xml:space="preserve"> i </w:t>
      </w:r>
      <w:r>
        <w:rPr>
          <w:rStyle w:val="Emphasis"/>
        </w:rPr>
        <w:t>ratio</w:t>
      </w:r>
      <w:r>
        <w:t xml:space="preserve"> są wprowadzane do gry jako wzajemnie się uzupełniające wymiary. Tym samym staje się również jasne, że średniowiecznego odwoływania się do autorytetów nie wolno rozumieć w sensie nowożytnej teologii pozytywnej — o tym będzie jeszcze mowa.</w:t>
      </w:r>
    </w:p>
    <w:p w14:paraId="100EA8B8" w14:textId="77777777" w:rsidR="002F442F" w:rsidRPr="00E23319" w:rsidRDefault="004F4B6B" w:rsidP="004F4B6B">
      <w:pPr>
        <w:pStyle w:val="NormalWeb"/>
        <w:numPr>
          <w:ilvl w:val="0"/>
          <w:numId w:val="2"/>
        </w:numPr>
        <w:ind w:hanging="11"/>
        <w:rPr>
          <w:b/>
          <w:bCs/>
          <w:iCs/>
        </w:rPr>
      </w:pPr>
      <w:r>
        <w:rPr>
          <w:b/>
          <w:bCs/>
          <w:iCs/>
        </w:rPr>
        <w:t xml:space="preserve">Melchior Cano i jego nauka o </w:t>
      </w:r>
      <w:r w:rsidR="00782399" w:rsidRPr="00E23319">
        <w:rPr>
          <w:rStyle w:val="Emphasis"/>
          <w:b/>
          <w:bCs/>
          <w:iCs w:val="0"/>
        </w:rPr>
        <w:t>loci theologici</w:t>
      </w:r>
      <w:r w:rsidR="00782399" w:rsidRPr="00E23319">
        <w:rPr>
          <w:b/>
          <w:bCs/>
          <w:iCs/>
        </w:rPr>
        <w:t xml:space="preserve"> </w:t>
      </w:r>
    </w:p>
    <w:p w14:paraId="1D6B677F" w14:textId="77777777" w:rsidR="00FF3372" w:rsidRDefault="002F442F" w:rsidP="004F4B6B">
      <w:pPr>
        <w:pStyle w:val="NormalWeb"/>
        <w:spacing w:before="0" w:beforeAutospacing="0" w:after="0" w:afterAutospacing="0"/>
        <w:ind w:firstLine="708"/>
        <w:jc w:val="both"/>
      </w:pPr>
      <w:r>
        <w:t>W XVI wieku teologia przeżywa w Hiszpanii, a dokładniej w Salamanca, rozkwit. Rozwój ten był w decydującej mierze kształtowany przez dominikanów, którzy podjęli i kontynuowali tradycję teologiczną sięgającą ich współbrata zakonnego, Tomasza z Akwinu. Dokonywało się to nie tylko poprzez komentowanie jego dzieła Summa theologiae.</w:t>
      </w:r>
    </w:p>
    <w:p w14:paraId="3C6E4602" w14:textId="77777777" w:rsidR="004E2902" w:rsidRDefault="00FF3372" w:rsidP="004F4B6B">
      <w:pPr>
        <w:pStyle w:val="NormalWeb"/>
        <w:spacing w:before="0" w:beforeAutospacing="0" w:after="0" w:afterAutospacing="0"/>
        <w:ind w:firstLine="708"/>
        <w:jc w:val="both"/>
      </w:pPr>
      <w:r>
        <w:t>W tym kontekście należy wspomnieć przede wszystkim o dominikaninie Melchiorze Cano (†1560)</w:t>
      </w:r>
      <w:r w:rsidR="004E2902">
        <w:rPr>
          <w:rStyle w:val="FootnoteReference"/>
        </w:rPr>
        <w:footnoteReference w:id="6"/>
      </w:r>
      <w:r>
        <w:t xml:space="preserve">. Nie poprzestaje on na komentarzach do Tomasza, lecz opracowuje własną monografię poświęconą </w:t>
      </w:r>
      <w:r>
        <w:rPr>
          <w:rStyle w:val="Emphasis"/>
        </w:rPr>
        <w:t>loci theologici</w:t>
      </w:r>
      <w:r>
        <w:t>. W dalszej perspektywie dzieło to uchodzi za fundamentalną pracę z zakresu teologicznej teorii poznania i metodologii.</w:t>
      </w:r>
    </w:p>
    <w:p w14:paraId="6D809084" w14:textId="77777777" w:rsidR="00C51B41" w:rsidRDefault="004E2902" w:rsidP="004F4B6B">
      <w:pPr>
        <w:pStyle w:val="NormalWeb"/>
        <w:spacing w:before="0" w:beforeAutospacing="0" w:after="0" w:afterAutospacing="0"/>
        <w:ind w:firstLine="708"/>
        <w:jc w:val="both"/>
      </w:pPr>
      <w:r>
        <w:t xml:space="preserve">Nauka o </w:t>
      </w:r>
      <w:r>
        <w:rPr>
          <w:rStyle w:val="Emphasis"/>
        </w:rPr>
        <w:t>loci</w:t>
      </w:r>
      <w:r>
        <w:t xml:space="preserve">, do której odwołuje się przy koncepcji swojego dzieła, wywodzi się z </w:t>
      </w:r>
      <w:r>
        <w:rPr>
          <w:rStyle w:val="Emphasis"/>
        </w:rPr>
        <w:t>Topiki</w:t>
      </w:r>
      <w:r>
        <w:t xml:space="preserve"> Arystoteles. Z biegiem wieków uległa ona jednak znacznym przemianom. Przede wszystkim obok teorii argumentacji przedstawionej przez Arystotelesa rozwinęło się również bardziej praktyczne jej zastosowanie — sztuka dysputowania. Do tego właśnie nawiązał Melchior Cano</w:t>
      </w:r>
      <w:r w:rsidR="00C37A69">
        <w:rPr>
          <w:rStyle w:val="FootnoteReference"/>
        </w:rPr>
        <w:footnoteReference w:id="7"/>
      </w:r>
      <w:r>
        <w:t>.</w:t>
      </w:r>
    </w:p>
    <w:p w14:paraId="78351754" w14:textId="77777777" w:rsidR="00910660" w:rsidRDefault="00BE0104" w:rsidP="004F4B6B">
      <w:pPr>
        <w:pStyle w:val="NormalWeb"/>
        <w:spacing w:before="0" w:beforeAutospacing="0" w:after="0" w:afterAutospacing="0"/>
        <w:ind w:firstLine="708"/>
        <w:jc w:val="both"/>
      </w:pPr>
      <w:r>
        <w:t xml:space="preserve">Pogląd, przypisywany Albertowi Lang, wskazywał przede wszystkim renesansowego dialektyka Rudolpha Agricoli (†1485) jako autora, do którego odwoływał się Melchior Cano. </w:t>
      </w:r>
      <w:r w:rsidR="00AA46F5">
        <w:t>Nie ma jednak na to żadnych dowodów u hiszpańskiego teologa</w:t>
      </w:r>
      <w:r>
        <w:t>. Pod względem pojęciowym wykazuje on raczej pewne podobieństwo do Summulae logicales, prawdopodobnie opracowanych około 1240 roku przez Petrus Hispanus.</w:t>
      </w:r>
    </w:p>
    <w:p w14:paraId="27CCE9A1" w14:textId="77777777" w:rsidR="00CD6021" w:rsidRDefault="00910660" w:rsidP="004F4B6B">
      <w:pPr>
        <w:pStyle w:val="NormalWeb"/>
        <w:spacing w:before="0" w:beforeAutospacing="0" w:after="0" w:afterAutospacing="0"/>
        <w:ind w:firstLine="708"/>
        <w:jc w:val="both"/>
      </w:pPr>
      <w:r>
        <w:t xml:space="preserve">Cano wymienia łącznie dziesięć </w:t>
      </w:r>
      <w:r>
        <w:rPr>
          <w:rStyle w:val="Emphasis"/>
        </w:rPr>
        <w:t>loci theologici</w:t>
      </w:r>
      <w:r>
        <w:t xml:space="preserve"> – pozostawia jednak otwartą kwestię ich liczby. Rozróżnia przy tym dwie grupy </w:t>
      </w:r>
      <w:r>
        <w:rPr>
          <w:rStyle w:val="Emphasis"/>
        </w:rPr>
        <w:t>loci</w:t>
      </w:r>
      <w:r>
        <w:t xml:space="preserve"> – </w:t>
      </w:r>
      <w:r>
        <w:rPr>
          <w:rStyle w:val="Emphasis"/>
        </w:rPr>
        <w:t>loci</w:t>
      </w:r>
      <w:r>
        <w:t xml:space="preserve"> specyficzne dla teologii oraz </w:t>
      </w:r>
      <w:r>
        <w:rPr>
          <w:rStyle w:val="Emphasis"/>
        </w:rPr>
        <w:t>loci</w:t>
      </w:r>
      <w:r>
        <w:t xml:space="preserve"> zaczerpnięte spoza teologii. Dziewięć </w:t>
      </w:r>
      <w:r>
        <w:rPr>
          <w:rStyle w:val="Emphasis"/>
        </w:rPr>
        <w:t>loci</w:t>
      </w:r>
      <w:r>
        <w:t xml:space="preserve"> określa on jako </w:t>
      </w:r>
      <w:r>
        <w:rPr>
          <w:rStyle w:val="Emphasis"/>
        </w:rPr>
        <w:t>auctoritates</w:t>
      </w:r>
      <w:r>
        <w:t xml:space="preserve"> – a więc: </w:t>
      </w:r>
      <w:r>
        <w:rPr>
          <w:rStyle w:val="Emphasis"/>
        </w:rPr>
        <w:t>auctoritas Sacrae Scripturae</w:t>
      </w:r>
      <w:r>
        <w:t xml:space="preserve">, </w:t>
      </w:r>
      <w:r>
        <w:rPr>
          <w:rStyle w:val="Emphasis"/>
        </w:rPr>
        <w:t>auctoritas traditionum</w:t>
      </w:r>
      <w:r>
        <w:t xml:space="preserve">, </w:t>
      </w:r>
      <w:r>
        <w:rPr>
          <w:rStyle w:val="Emphasis"/>
        </w:rPr>
        <w:t>auctoritas ecclesiae universalis</w:t>
      </w:r>
      <w:r>
        <w:t xml:space="preserve">, </w:t>
      </w:r>
      <w:r>
        <w:rPr>
          <w:rStyle w:val="Emphasis"/>
        </w:rPr>
        <w:t>auctoritas conciliorum</w:t>
      </w:r>
      <w:r>
        <w:t xml:space="preserve">, </w:t>
      </w:r>
      <w:r>
        <w:rPr>
          <w:rStyle w:val="Emphasis"/>
        </w:rPr>
        <w:t>auctoritas ecclesiae Romanae</w:t>
      </w:r>
      <w:r>
        <w:t xml:space="preserve">, </w:t>
      </w:r>
      <w:r>
        <w:rPr>
          <w:rStyle w:val="Emphasis"/>
        </w:rPr>
        <w:t>auctoritas sanctorum veterum</w:t>
      </w:r>
      <w:r>
        <w:t xml:space="preserve">, </w:t>
      </w:r>
      <w:r>
        <w:rPr>
          <w:rStyle w:val="Emphasis"/>
        </w:rPr>
        <w:t>auctoritas theologorum scholasticorum</w:t>
      </w:r>
      <w:r>
        <w:t xml:space="preserve">. Do tych siedmiu </w:t>
      </w:r>
      <w:r>
        <w:rPr>
          <w:rStyle w:val="Emphasis"/>
        </w:rPr>
        <w:t>loci</w:t>
      </w:r>
      <w:r>
        <w:t xml:space="preserve"> właściwych teologii dochodzą jeszcze trzy </w:t>
      </w:r>
      <w:r>
        <w:rPr>
          <w:rStyle w:val="Emphasis"/>
        </w:rPr>
        <w:t>loci</w:t>
      </w:r>
      <w:r>
        <w:t xml:space="preserve"> niespecyficzne dla teologii, lecz dla niej konieczne: </w:t>
      </w:r>
      <w:r>
        <w:rPr>
          <w:rStyle w:val="Emphasis"/>
        </w:rPr>
        <w:t>auctoritas philosophorum</w:t>
      </w:r>
      <w:r>
        <w:t xml:space="preserve">, </w:t>
      </w:r>
      <w:r>
        <w:rPr>
          <w:rStyle w:val="Emphasis"/>
        </w:rPr>
        <w:t>auctoritas historiae humanae</w:t>
      </w:r>
      <w:r>
        <w:t xml:space="preserve"> oraz – nie mniej ważna – </w:t>
      </w:r>
      <w:r>
        <w:rPr>
          <w:rStyle w:val="Emphasis"/>
        </w:rPr>
        <w:t>ratio naturalis</w:t>
      </w:r>
      <w:r>
        <w:t>.</w:t>
      </w:r>
    </w:p>
    <w:p w14:paraId="7B2B7F8E" w14:textId="77777777" w:rsidR="002F7A32" w:rsidRDefault="00A61398" w:rsidP="004F4B6B">
      <w:pPr>
        <w:pStyle w:val="NormalWeb"/>
        <w:spacing w:before="0" w:beforeAutospacing="0" w:after="0" w:afterAutospacing="0"/>
        <w:ind w:firstLine="708"/>
        <w:jc w:val="both"/>
      </w:pPr>
      <w:r>
        <w:lastRenderedPageBreak/>
        <w:t xml:space="preserve">Najpóźniej w tym miejscu pojawia się pytanie, jakie znaczenie i jaką funkcję ma u Cano pojęcie </w:t>
      </w:r>
      <w:r>
        <w:rPr>
          <w:rStyle w:val="Emphasis"/>
        </w:rPr>
        <w:t>auctoritas</w:t>
      </w:r>
      <w:r w:rsidR="00D55D7A">
        <w:rPr>
          <w:rStyle w:val="FootnoteReference"/>
          <w:i/>
          <w:iCs/>
        </w:rPr>
        <w:footnoteReference w:id="8"/>
      </w:r>
      <w:r>
        <w:t xml:space="preserve">. W tradycyjnej interpretacji Cano Pismo Święte, tradycje, Kościół powszechny itd., ale także filozofów i historyków najczęściej określano jako </w:t>
      </w:r>
      <w:r>
        <w:rPr>
          <w:rStyle w:val="Emphasis"/>
        </w:rPr>
        <w:t>loci</w:t>
      </w:r>
      <w:r>
        <w:t xml:space="preserve">, natomiast pojęcie </w:t>
      </w:r>
      <w:r>
        <w:rPr>
          <w:rStyle w:val="Emphasis"/>
        </w:rPr>
        <w:t>auctoritas</w:t>
      </w:r>
      <w:r>
        <w:t xml:space="preserve"> rozumiano jako podkreślenie ich wiążącego charakteru – coś, co jako rzecz oczywistą można było nawet pominąć.</w:t>
      </w:r>
      <w:r w:rsidR="00CD6021">
        <w:t xml:space="preserve"> </w:t>
      </w:r>
      <w:r>
        <w:t xml:space="preserve">Tymczasem nie istnieje żadna topika ani dialektyka, w której empirycznie uchwytne instancje byłyby określane jako </w:t>
      </w:r>
      <w:r>
        <w:rPr>
          <w:rStyle w:val="Emphasis"/>
        </w:rPr>
        <w:t>loci</w:t>
      </w:r>
      <w:r>
        <w:t>.</w:t>
      </w:r>
    </w:p>
    <w:p w14:paraId="4EC96205" w14:textId="77777777" w:rsidR="00794E50" w:rsidRDefault="002F7A32" w:rsidP="004F4B6B">
      <w:pPr>
        <w:pStyle w:val="NormalWeb"/>
        <w:spacing w:before="0" w:beforeAutospacing="0" w:after="0" w:afterAutospacing="0"/>
        <w:ind w:firstLine="708"/>
        <w:jc w:val="both"/>
      </w:pPr>
      <w:r>
        <w:t xml:space="preserve">Istnieją natomiast koncepcje, które rozumieją autorytet jako </w:t>
      </w:r>
      <w:r>
        <w:rPr>
          <w:rStyle w:val="Emphasis"/>
        </w:rPr>
        <w:t>locus</w:t>
      </w:r>
      <w:r>
        <w:t xml:space="preserve">. </w:t>
      </w:r>
      <w:r>
        <w:rPr>
          <w:rStyle w:val="Emphasis"/>
        </w:rPr>
        <w:t>Loci</w:t>
      </w:r>
      <w:r>
        <w:t xml:space="preserve"> nie są instancjami, lecz punktami widzenia dla argumentacji. Oznacza to, że gdy chodzi o kwestię sporną, rolę mogą odgrywać nie tylko argumenty merytoryczne, lecz także – w odpowiednich przypadkach – autorytet odpowiednio uznanej osoby lub instancji. W ten sposób autorytet może wnieść punkt widzenia pomocny dla rozstrzygnięcia danej kwestii. W teologii dzieje się to niejako samo przez się. Na przykład autorytet Pisma Świętego może wnieść punkt widzenia, który otwiera drogę do twierdzeń teologicznie uzasadnionych i istotnych. Kto więc chce argumentować w sposób kompetentny teologicznie, dobrze czyni, jeśli nie traci z oczu wypowiedzi Pisma Świętego.</w:t>
      </w:r>
    </w:p>
    <w:p w14:paraId="1EC24857" w14:textId="77777777" w:rsidR="00803007" w:rsidRDefault="00794E50" w:rsidP="004F4B6B">
      <w:pPr>
        <w:pStyle w:val="NormalWeb"/>
        <w:spacing w:before="0" w:beforeAutospacing="0" w:after="0" w:afterAutospacing="0"/>
        <w:ind w:firstLine="708"/>
        <w:jc w:val="both"/>
      </w:pPr>
      <w:r>
        <w:t xml:space="preserve">Melchior Cano nie tylko wymienia dziesięć </w:t>
      </w:r>
      <w:r>
        <w:rPr>
          <w:rStyle w:val="Emphasis"/>
        </w:rPr>
        <w:t>loci</w:t>
      </w:r>
      <w:r>
        <w:t>, lecz także szczegółowo rozważa, w jakich okolicznościach poszczególne instancje mogą rościć sobie prawo do określonego stopnia autorytetu. Przy tym rolę odgrywają nie tylko przekonania, które ukształtowały się w ciągu historii wiary, lecz także aspekt konsensusu. To, że na przykład Pismo Święte posiada niepodważalny autorytet, jest po prostu zakładane w wierze. Jeśli natomiast chodzi o znaczenie konsensusu, można wskazać nie tylko na sobory, lecz także np. na teologów. Przysługuje im wiążący autorytet jedynie wtedy, gdy można stwierdzić między nimi konsensus; natomiast pojedyncze opinie nie mają mocy wiążącej.</w:t>
      </w:r>
    </w:p>
    <w:p w14:paraId="1E5DE203" w14:textId="77777777" w:rsidR="00803007" w:rsidRDefault="00803007" w:rsidP="004F4B6B">
      <w:pPr>
        <w:pStyle w:val="NormalWeb"/>
        <w:spacing w:before="0" w:beforeAutospacing="0" w:after="0" w:afterAutospacing="0"/>
        <w:ind w:firstLine="708"/>
        <w:jc w:val="both"/>
      </w:pPr>
      <w:r>
        <w:t xml:space="preserve">W każdym razie nie można zaprzeczyć, że pojęciu </w:t>
      </w:r>
      <w:r>
        <w:rPr>
          <w:rStyle w:val="Emphasis"/>
        </w:rPr>
        <w:t>auctoritas</w:t>
      </w:r>
      <w:r>
        <w:t xml:space="preserve"> u Melchior Cano przypada rola kluczowa. Ma to przede wszystkim związek z zasadą, która – jak już wcześniej pokazano – pojawia się u Thomas Aquinas: </w:t>
      </w:r>
      <w:r>
        <w:rPr>
          <w:rStyle w:val="Emphasis"/>
        </w:rPr>
        <w:t>argumentari ex auctoritate est maxime proprium huius doctrinae</w:t>
      </w:r>
      <w:r w:rsidR="00B76D70">
        <w:rPr>
          <w:rStyle w:val="FootnoteReference"/>
          <w:i/>
          <w:iCs/>
        </w:rPr>
        <w:footnoteReference w:id="9"/>
      </w:r>
      <w:r>
        <w:t>. Cano pozostaje wierny tej zasadzie. To, że z tego pół zdania powstało obszerne dzieło, wiąże się z różnymi czynnikami, przede wszystkim z nowym zainteresowaniem historią. Dlatego w dziele Cana nie bez racji widziano prekursora teologii pozytywnej. W bardziej praktycznej perspektywie jego dzieło nazywano nawet podręcznikiem dla inkwizytorów.</w:t>
      </w:r>
    </w:p>
    <w:p w14:paraId="12B44D9B" w14:textId="77777777" w:rsidR="00910660" w:rsidRPr="006B78C3" w:rsidRDefault="00363C3D" w:rsidP="004F4B6B">
      <w:pPr>
        <w:pStyle w:val="NormalWeb"/>
        <w:numPr>
          <w:ilvl w:val="0"/>
          <w:numId w:val="2"/>
        </w:numPr>
        <w:jc w:val="both"/>
        <w:rPr>
          <w:bCs/>
          <w:iCs/>
        </w:rPr>
      </w:pPr>
      <w:r w:rsidRPr="006B78C3">
        <w:rPr>
          <w:rStyle w:val="Strong"/>
          <w:bCs w:val="0"/>
          <w:iCs/>
        </w:rPr>
        <w:t>Teologiczny dowód  autorytetu w czasach nowożytnych</w:t>
      </w:r>
    </w:p>
    <w:p w14:paraId="2A11F5D9" w14:textId="77777777" w:rsidR="00C9063D" w:rsidRDefault="00363C3D" w:rsidP="004F4B6B">
      <w:pPr>
        <w:pStyle w:val="NormalWeb"/>
        <w:spacing w:before="0" w:beforeAutospacing="0" w:after="0" w:afterAutospacing="0"/>
        <w:ind w:firstLine="708"/>
        <w:jc w:val="both"/>
      </w:pPr>
      <w:r>
        <w:t xml:space="preserve">Przełom od średniowiecza do czasów nowożytnych, na który przypada działalność Melchior Cano, był pod wieloma względami znaczącym punktem zwrotnym. Dochodzi wówczas między innymi do niemal skokowego rozwoju nauk przyrodniczych, a wraz z nim do przesunięcia akcentów oraz zmiany paradygmatu w metodologii zdobywania wiedzy. Zaczęto odmawiać uznawania jakiegoś twierdzenia za prawdziwe bez sprawdzenia tylko dlatego, że zostało ono wypowiedziane przez cenionego filozofa, </w:t>
      </w:r>
      <w:r w:rsidR="00504015">
        <w:t>Arystotelesa</w:t>
      </w:r>
      <w:r>
        <w:t>. Decydujące znaczenie mają przede wszystkim własna obserwacja oraz możliwe do prześledzenia uzasadnienie. Prowadzi to do zasadniczej krytyki dowodu z autorytetu. Symbolizuje ją między innymi postać filozofa John Locke (†1704), który zebrał i przedstawił najbardziej znane słabości dowodu z autorytetu.</w:t>
      </w:r>
    </w:p>
    <w:p w14:paraId="0E1144B3" w14:textId="77777777" w:rsidR="00067139" w:rsidRDefault="00C9063D" w:rsidP="004F4B6B">
      <w:pPr>
        <w:pStyle w:val="NormalWeb"/>
        <w:spacing w:before="0" w:beforeAutospacing="0" w:after="0" w:afterAutospacing="0"/>
        <w:ind w:firstLine="708"/>
        <w:jc w:val="both"/>
      </w:pPr>
      <w:r>
        <w:t xml:space="preserve">Co to oznacza dla teologii? Pozostaje ona na drodze wytyczonej przez Thomas Aquinas oraz Melchior Cano. To, co sformułował już Tomasz, nadal uważa się za obowiązujące: jakkolwiek słaby może być dowód oparty na autorytetach, to autorytet, który może oprzeć się na autorytecie Boga, posiada szczególny status. Dlatego punkt ciężkości </w:t>
      </w:r>
      <w:r>
        <w:lastRenderedPageBreak/>
        <w:t>argumentacji teologicznej coraz bardziej przesuwa się w stronę wykazania, że danej instancji rzeczywiście przysługuje autorytet Boży. W ten sposób rozpoczyna się rozwój o daleko idących konsekwencjach: teologia i inne nauki rozwijają się (jeszcze bardziej) w rozdzieleniu od siebie.</w:t>
      </w:r>
      <w:r w:rsidR="00067139">
        <w:t xml:space="preserve"> </w:t>
      </w:r>
    </w:p>
    <w:p w14:paraId="478549B7" w14:textId="77777777" w:rsidR="00A82EE7" w:rsidRDefault="00067139" w:rsidP="004F4B6B">
      <w:pPr>
        <w:pStyle w:val="NormalWeb"/>
        <w:spacing w:before="0" w:beforeAutospacing="0" w:after="0" w:afterAutospacing="0"/>
        <w:ind w:firstLine="708"/>
        <w:jc w:val="both"/>
      </w:pPr>
      <w:r>
        <w:t xml:space="preserve">Najbardziej znany konflikt miał miejsce w przypadku matematyka i fizyka </w:t>
      </w:r>
      <w:r w:rsidR="00E8483F">
        <w:t>Galileusza</w:t>
      </w:r>
      <w:r>
        <w:t xml:space="preserve"> </w:t>
      </w:r>
      <w:r w:rsidR="00A22AFA" w:rsidRPr="00A22AFA">
        <w:t>(†1642)</w:t>
      </w:r>
      <w:r w:rsidR="00E8483F">
        <w:rPr>
          <w:rStyle w:val="FootnoteReference"/>
        </w:rPr>
        <w:footnoteReference w:id="10"/>
      </w:r>
      <w:r>
        <w:t>. W istocie był to konflikt między obserwacją naukową a problematycznym odwołaniem się do tekstów ze Starego Testamentu, które interpretowano tak, jakby wskazywały, że Słońce krąży wokół Ziemi. Jako przykład przywoływano Księgę Jozuego: „I zatrzymało się Słońce, a Księżyc stanął, aż lud odciął się od swoich wrogów” (Joz 10,13). Na tej podstawie wyciągano wniosek, że należy odrzucić koncepcję heliocentryczną.</w:t>
      </w:r>
    </w:p>
    <w:p w14:paraId="5F69BE48" w14:textId="77777777" w:rsidR="00050C47" w:rsidRDefault="00A82EE7" w:rsidP="004F4B6B">
      <w:pPr>
        <w:pStyle w:val="NormalWeb"/>
        <w:spacing w:before="0" w:beforeAutospacing="0" w:after="0" w:afterAutospacing="0"/>
        <w:ind w:firstLine="708"/>
        <w:jc w:val="both"/>
      </w:pPr>
      <w:r>
        <w:t xml:space="preserve">W każdym razie w czasach nowożytnych trudno było znaleźć podręcznik teologii lub dogmatyki, który w wstępie nie odnosiłby się do nauki o </w:t>
      </w:r>
      <w:r>
        <w:rPr>
          <w:rStyle w:val="Emphasis"/>
        </w:rPr>
        <w:t>loci theologici</w:t>
      </w:r>
      <w:r>
        <w:t>. Nazwisko Melchior Cano stało się niemal nieuniknionym punktem odniesienia dla teologicznej teorii poznania i metodologii.</w:t>
      </w:r>
    </w:p>
    <w:p w14:paraId="76B5B0F6" w14:textId="77777777" w:rsidR="004D417D" w:rsidRDefault="00050C47" w:rsidP="004F4B6B">
      <w:pPr>
        <w:pStyle w:val="NormalWeb"/>
        <w:spacing w:before="0" w:beforeAutospacing="0" w:after="0" w:afterAutospacing="0"/>
        <w:ind w:firstLine="708"/>
        <w:jc w:val="both"/>
      </w:pPr>
      <w:r>
        <w:t xml:space="preserve">To, że wraz z Renesansem pojawiło się zainteresowanie historią, spowodowało w teologii przesunięcie akcentów. Obok spekulatywnej teologii scholastycznej w XVI i XVII wieku, zwłaszcza na uniwersytetach hiszpańskich, rozwijało się silniejsze odwołanie do źródeł – Pisma Świętego i tradycji w jej różnych instancjach. W tym celu powołano specjalne katedry – </w:t>
      </w:r>
      <w:r>
        <w:rPr>
          <w:rStyle w:val="Emphasis"/>
        </w:rPr>
        <w:t>catedras de positivo</w:t>
      </w:r>
      <w:r>
        <w:t>. Pojęcie teologii pozytywnej, które w ten sposób się upowszechniło, zajmuje się ustalonym (w tym sensie „pozytywnym”) normatywnym zasobem twierdzeń teologicznych. Na tym mogła opierać się spekulatywna teologia, której celem było pogłębienie rozumienia tych twierdzeń.</w:t>
      </w:r>
    </w:p>
    <w:p w14:paraId="3352C148" w14:textId="77777777" w:rsidR="00C236CE" w:rsidRDefault="004D417D" w:rsidP="004F4B6B">
      <w:pPr>
        <w:pStyle w:val="NormalWeb"/>
        <w:spacing w:before="0" w:beforeAutospacing="0" w:after="0" w:afterAutospacing="0"/>
        <w:ind w:firstLine="708"/>
        <w:jc w:val="both"/>
      </w:pPr>
      <w:r>
        <w:t>W nowożytnym rozwoju teologii można zaobserwować nie tylko to, że podtrzymywano przekonanie o możliwości i sensowności dowodu z autorytetu, lecz także to, że przypisywano mu szczególne znaczenie. Działo się to w kontekście sporów z europejskim oświeceniem</w:t>
      </w:r>
      <w:r w:rsidR="00C236CE">
        <w:rPr>
          <w:rStyle w:val="FootnoteReference"/>
        </w:rPr>
        <w:footnoteReference w:id="11"/>
      </w:r>
      <w:r>
        <w:t>. Dla niego zasadą podstawową było przekonanie, że w sposób intelektualnie uczciwy można wierzyć jedynie w to, co da się pogodzić z rozumem. Doprowadziło to do sytuacji, w której znaczna część chrześcijańskiej nauki wiary wydawała się nie spełniać tego kryterium. Powstało więc pytanie, w jaki sposób można uzasadnić roszczenie do ważności tych twierdzeń wiary.</w:t>
      </w:r>
    </w:p>
    <w:p w14:paraId="08CDC100" w14:textId="77777777" w:rsidR="00117EF6" w:rsidRDefault="004A109A" w:rsidP="004F4B6B">
      <w:pPr>
        <w:pStyle w:val="NormalWeb"/>
        <w:spacing w:before="0" w:beforeAutospacing="0" w:after="0" w:afterAutospacing="0"/>
        <w:ind w:firstLine="708"/>
        <w:jc w:val="both"/>
      </w:pPr>
      <w:r>
        <w:t xml:space="preserve">Dowód </w:t>
      </w:r>
      <w:r w:rsidR="00C236CE">
        <w:t xml:space="preserve"> autorytetu staje się w tym kontekście decydującym punktem oparcia. I to nie tylko w szczegółach, lecz jako podstawowa struktura, która kształtuje systematykę dyscyplin teologicznych. Dosłownie zasadnicze znaczenie przypisano przy tym nowej dyscyplinie teologicznej – apologetyce</w:t>
      </w:r>
      <w:r w:rsidR="00C236CE">
        <w:rPr>
          <w:rStyle w:val="FootnoteReference"/>
        </w:rPr>
        <w:footnoteReference w:id="12"/>
      </w:r>
      <w:r w:rsidR="00C236CE">
        <w:t>, która później przekształciła się w teologię fundamentalną. Pojęcie apologetyki wskazuje już, że w tej dyscyplinie teologia przeciwstawiała się krytyce oświecenia i w ten sposób miała bronić przekazanego dziedzictwa wiary oraz jego roszczenia do ważności.</w:t>
      </w:r>
    </w:p>
    <w:p w14:paraId="5871C84F" w14:textId="77777777" w:rsidR="002F442F" w:rsidRPr="002F442F" w:rsidRDefault="00117EF6" w:rsidP="004F4B6B">
      <w:pPr>
        <w:pStyle w:val="NormalWeb"/>
        <w:spacing w:before="0" w:beforeAutospacing="0" w:after="0" w:afterAutospacing="0"/>
        <w:ind w:firstLine="708"/>
        <w:jc w:val="both"/>
      </w:pPr>
      <w:r>
        <w:t>Wychodząc od poznania rozumowego (np. filozofii i historii), miała ona wykazać autorytet Kościoła lub jego nauczania. Dokonywano tego w kilku etapach. Pierwszym było udowodnienie, że biblijno-chrześcijańskie Objawienie może być rozpoznane jako takie i że przysługuje mu boski autorytet. Na tej podstawie w drugim etapie wykazywano, że Pismo Święte, Tradycja oraz nauczanie Kościoła mają swoje oparcie w Objawieniu, a zatem przysługuje im również wiążący autorytet.</w:t>
      </w:r>
    </w:p>
    <w:p w14:paraId="201E5817" w14:textId="77777777" w:rsidR="008A0A48" w:rsidRDefault="00117EF6" w:rsidP="004F4B6B">
      <w:pPr>
        <w:spacing w:after="0" w:line="240" w:lineRule="auto"/>
        <w:ind w:firstLine="708"/>
        <w:jc w:val="both"/>
        <w:rPr>
          <w:rFonts w:ascii="Times New Roman" w:hAnsi="Times New Roman" w:cs="Times New Roman"/>
          <w:i/>
          <w:sz w:val="24"/>
          <w:szCs w:val="24"/>
        </w:rPr>
      </w:pPr>
      <w:r w:rsidRPr="00AF387D">
        <w:rPr>
          <w:rFonts w:ascii="Times New Roman" w:hAnsi="Times New Roman" w:cs="Times New Roman"/>
          <w:sz w:val="24"/>
          <w:szCs w:val="24"/>
        </w:rPr>
        <w:lastRenderedPageBreak/>
        <w:t xml:space="preserve">Na tej podstawie dogmatyka mogła przejąć twierdzenia wiary gwarantowane przez nauczanie Kościoła i przedstawić je w sposób systematyczny. Ich roszczenie do ważności nie opierało się na ich treściowej </w:t>
      </w:r>
      <w:r w:rsidR="00AF387D">
        <w:rPr>
          <w:rFonts w:ascii="Times New Roman" w:hAnsi="Times New Roman" w:cs="Times New Roman"/>
          <w:sz w:val="24"/>
          <w:szCs w:val="24"/>
        </w:rPr>
        <w:t>wiarygodności</w:t>
      </w:r>
      <w:r w:rsidRPr="00AF387D">
        <w:rPr>
          <w:rFonts w:ascii="Times New Roman" w:hAnsi="Times New Roman" w:cs="Times New Roman"/>
          <w:sz w:val="24"/>
          <w:szCs w:val="24"/>
        </w:rPr>
        <w:t xml:space="preserve"> ani uzasadnieniu, lecz na autorytecie instancji, które je gwarantowały w boskim Objawieniu – czy to Pisma Świętego, czy też instancji nauczania Kościoła. W ten sposób na poziomie nauczania w wierze katechizm mógł lakonicznie stwierdzić: „</w:t>
      </w:r>
      <w:r w:rsidR="00AF387D" w:rsidRPr="00AF387D">
        <w:rPr>
          <w:rFonts w:ascii="Times New Roman" w:hAnsi="Times New Roman" w:cs="Times New Roman"/>
          <w:sz w:val="24"/>
          <w:szCs w:val="24"/>
        </w:rPr>
        <w:t>Wiara oznacza uznawanie za prawdziwe wszystkiego, co Kościół przedstawia jako przedmiot wiary”.</w:t>
      </w:r>
    </w:p>
    <w:p w14:paraId="47263895" w14:textId="77777777" w:rsidR="00AF387D" w:rsidRDefault="008A0A48" w:rsidP="004F4B6B">
      <w:pPr>
        <w:spacing w:after="0" w:line="240" w:lineRule="auto"/>
        <w:ind w:firstLine="708"/>
        <w:jc w:val="both"/>
        <w:rPr>
          <w:rFonts w:ascii="Times New Roman" w:hAnsi="Times New Roman" w:cs="Times New Roman"/>
          <w:sz w:val="24"/>
          <w:szCs w:val="24"/>
        </w:rPr>
      </w:pPr>
      <w:r w:rsidRPr="008A0A48">
        <w:rPr>
          <w:rFonts w:ascii="Times New Roman" w:hAnsi="Times New Roman" w:cs="Times New Roman"/>
          <w:sz w:val="24"/>
          <w:szCs w:val="24"/>
        </w:rPr>
        <w:t>Badania historyczne i związana z nimi hermeneutyka</w:t>
      </w:r>
      <w:r w:rsidR="002040C7">
        <w:rPr>
          <w:rFonts w:ascii="Times New Roman" w:hAnsi="Times New Roman" w:cs="Times New Roman"/>
          <w:sz w:val="24"/>
          <w:szCs w:val="24"/>
        </w:rPr>
        <w:t xml:space="preserve"> </w:t>
      </w:r>
      <w:r w:rsidRPr="008A0A48">
        <w:rPr>
          <w:rFonts w:ascii="Times New Roman" w:hAnsi="Times New Roman" w:cs="Times New Roman"/>
          <w:sz w:val="24"/>
          <w:szCs w:val="24"/>
        </w:rPr>
        <w:t xml:space="preserve">coraz bardziej </w:t>
      </w:r>
      <w:r w:rsidR="002040C7">
        <w:rPr>
          <w:rFonts w:ascii="Times New Roman" w:hAnsi="Times New Roman" w:cs="Times New Roman"/>
          <w:sz w:val="24"/>
          <w:szCs w:val="24"/>
        </w:rPr>
        <w:t>podważają tę koncepcję teologii</w:t>
      </w:r>
      <w:r w:rsidRPr="008A0A48">
        <w:rPr>
          <w:rFonts w:ascii="Times New Roman" w:hAnsi="Times New Roman" w:cs="Times New Roman"/>
          <w:sz w:val="24"/>
          <w:szCs w:val="24"/>
        </w:rPr>
        <w:t>. Poza tym nie umknęło uwadze, że odwołanie się do autorytetu, np. w przypadku konwertytów, odgrywa niewielką rolę – to treść chrześcijańskiej wiary wydaje im się wiarygodna. Nie wystarczy stwierdzić, że ostatecznie za danym twierdzeniem wiary stoi autorytet Boga, jeśli nie można także wyjaśnić, co to twierdzenie oznacza – zarówno w czasie jego spisania, jak i dzisiaj. Pytania historyczne i hermeneutyczne, które pojawiają się w kontekście teologicznej dyskusji, tworzą rozgałęzioną sieć problemów. W związku z tym tradycyjny dowód z autorytetu i systematyka dyscyplin w teologii szkolnej tracą w każdym razie na znaczeniu</w:t>
      </w:r>
      <w:r w:rsidR="00BE2099">
        <w:rPr>
          <w:rStyle w:val="FootnoteReference"/>
          <w:rFonts w:ascii="Times New Roman" w:hAnsi="Times New Roman" w:cs="Times New Roman"/>
          <w:sz w:val="24"/>
          <w:szCs w:val="24"/>
        </w:rPr>
        <w:footnoteReference w:id="13"/>
      </w:r>
      <w:r w:rsidRPr="008A0A48">
        <w:rPr>
          <w:rFonts w:ascii="Times New Roman" w:hAnsi="Times New Roman" w:cs="Times New Roman"/>
          <w:sz w:val="24"/>
          <w:szCs w:val="24"/>
        </w:rPr>
        <w:t>.</w:t>
      </w:r>
    </w:p>
    <w:p w14:paraId="205577E2" w14:textId="77777777" w:rsidR="00BE2099" w:rsidRDefault="00BE2099" w:rsidP="004F4B6B">
      <w:pPr>
        <w:spacing w:after="0" w:line="240" w:lineRule="auto"/>
        <w:ind w:firstLine="708"/>
        <w:jc w:val="both"/>
        <w:rPr>
          <w:rFonts w:ascii="Times New Roman" w:hAnsi="Times New Roman" w:cs="Times New Roman"/>
          <w:sz w:val="24"/>
          <w:szCs w:val="24"/>
        </w:rPr>
      </w:pPr>
    </w:p>
    <w:p w14:paraId="09E4E515" w14:textId="77777777" w:rsidR="00BE2099" w:rsidRPr="00E23319" w:rsidRDefault="00BE2099" w:rsidP="004F4B6B">
      <w:pPr>
        <w:pStyle w:val="ListParagraph"/>
        <w:numPr>
          <w:ilvl w:val="0"/>
          <w:numId w:val="2"/>
        </w:numPr>
        <w:spacing w:after="0" w:line="240" w:lineRule="auto"/>
        <w:ind w:hanging="11"/>
        <w:jc w:val="both"/>
        <w:rPr>
          <w:rFonts w:ascii="Times New Roman" w:hAnsi="Times New Roman" w:cs="Times New Roman"/>
          <w:b/>
          <w:bCs/>
          <w:iCs/>
          <w:sz w:val="24"/>
          <w:szCs w:val="24"/>
        </w:rPr>
      </w:pPr>
      <w:r w:rsidRPr="00E23319">
        <w:rPr>
          <w:rFonts w:ascii="Times New Roman" w:hAnsi="Times New Roman" w:cs="Times New Roman"/>
          <w:b/>
          <w:bCs/>
          <w:iCs/>
          <w:sz w:val="24"/>
          <w:szCs w:val="24"/>
        </w:rPr>
        <w:t>Już tylko z historycznego punktu widzenia?</w:t>
      </w:r>
    </w:p>
    <w:p w14:paraId="2D351126" w14:textId="77777777" w:rsidR="00BE2099" w:rsidRPr="00BE2099" w:rsidRDefault="00BE2099" w:rsidP="004F4B6B">
      <w:pPr>
        <w:spacing w:after="0" w:line="240" w:lineRule="auto"/>
        <w:jc w:val="both"/>
        <w:rPr>
          <w:rFonts w:ascii="Times New Roman" w:hAnsi="Times New Roman" w:cs="Times New Roman"/>
          <w:i/>
          <w:sz w:val="24"/>
          <w:szCs w:val="24"/>
        </w:rPr>
      </w:pPr>
    </w:p>
    <w:p w14:paraId="67DFB352" w14:textId="77777777" w:rsidR="00BE2099" w:rsidRDefault="00BE2099" w:rsidP="004F4B6B">
      <w:pPr>
        <w:spacing w:after="0" w:line="240" w:lineRule="auto"/>
        <w:ind w:firstLine="708"/>
        <w:jc w:val="both"/>
        <w:rPr>
          <w:rFonts w:ascii="Times New Roman" w:hAnsi="Times New Roman" w:cs="Times New Roman"/>
          <w:sz w:val="24"/>
          <w:szCs w:val="24"/>
        </w:rPr>
      </w:pPr>
      <w:r w:rsidRPr="00BE2099">
        <w:rPr>
          <w:rFonts w:ascii="Times New Roman" w:hAnsi="Times New Roman" w:cs="Times New Roman"/>
          <w:sz w:val="24"/>
          <w:szCs w:val="24"/>
        </w:rPr>
        <w:t>Jeśli dziś (jeszcze) mówi się o dowodzie z autorytetu, istnieje niebezpieczeństwo, że rozumie się go w sposób, w jaki funkcjonował w teologii szkolnej. W tym sensie zanikł wraz z teologią szkolną. Nie oznacza to jednak, że argumentacja z wykorzystaniem autorytetów straciła całkowicie znaczenie dla teologii. Mają to pokazać następujące końcowe uwagi.</w:t>
      </w:r>
    </w:p>
    <w:p w14:paraId="0BEF4CCD" w14:textId="77777777" w:rsidR="00BE2099" w:rsidRDefault="00BE2099" w:rsidP="004F4B6B">
      <w:pPr>
        <w:spacing w:after="0" w:line="240" w:lineRule="auto"/>
        <w:ind w:firstLine="708"/>
        <w:jc w:val="both"/>
        <w:rPr>
          <w:rFonts w:ascii="Times New Roman" w:hAnsi="Times New Roman" w:cs="Times New Roman"/>
          <w:sz w:val="24"/>
          <w:szCs w:val="24"/>
        </w:rPr>
      </w:pPr>
      <w:r w:rsidRPr="00BE2099">
        <w:rPr>
          <w:rFonts w:ascii="Times New Roman" w:hAnsi="Times New Roman" w:cs="Times New Roman"/>
          <w:sz w:val="24"/>
          <w:szCs w:val="24"/>
        </w:rPr>
        <w:t>W tym celu warto zacząć od spojrzenia wstecz na historię topiki i dialektyki</w:t>
      </w:r>
      <w:r w:rsidR="00D2238B">
        <w:rPr>
          <w:rStyle w:val="FootnoteReference"/>
          <w:rFonts w:ascii="Times New Roman" w:hAnsi="Times New Roman" w:cs="Times New Roman"/>
          <w:sz w:val="24"/>
          <w:szCs w:val="24"/>
        </w:rPr>
        <w:footnoteReference w:id="14"/>
      </w:r>
      <w:r w:rsidRPr="00BE2099">
        <w:rPr>
          <w:rFonts w:ascii="Times New Roman" w:hAnsi="Times New Roman" w:cs="Times New Roman"/>
          <w:sz w:val="24"/>
          <w:szCs w:val="24"/>
        </w:rPr>
        <w:t>.</w:t>
      </w:r>
      <w:r w:rsidRPr="00BE2099">
        <w:rPr>
          <w:rFonts w:ascii="Times New Roman" w:hAnsi="Times New Roman" w:cs="Times New Roman"/>
        </w:rPr>
        <w:t xml:space="preserve">  </w:t>
      </w:r>
      <w:r w:rsidRPr="00BE2099">
        <w:rPr>
          <w:rFonts w:ascii="Times New Roman" w:hAnsi="Times New Roman" w:cs="Times New Roman"/>
          <w:sz w:val="24"/>
          <w:szCs w:val="24"/>
        </w:rPr>
        <w:t>Już tutaj widać, że logika i retoryka są ze sobą ściśle powiązane. Widać to już u Cycerona. Z jednej strony topika i dialektyka zajmują się odnajdywaniem odpowiednich argumentów do rozstrzygnięcia określonej kwestii. W retoryce natomiast nie chodzi tak bardzo o prawdę, lecz o oddziaływanie psychologiczne – twierdzenie ma wydawać się wiarygodne dzięki odwołaniu do autorytetu.</w:t>
      </w:r>
    </w:p>
    <w:p w14:paraId="7661F92F" w14:textId="77777777" w:rsidR="00D2238B" w:rsidRDefault="00A108DA" w:rsidP="004F4B6B">
      <w:pPr>
        <w:spacing w:after="0" w:line="240" w:lineRule="auto"/>
        <w:ind w:firstLine="708"/>
        <w:jc w:val="both"/>
        <w:rPr>
          <w:rFonts w:ascii="Times New Roman" w:hAnsi="Times New Roman" w:cs="Times New Roman"/>
          <w:sz w:val="24"/>
          <w:szCs w:val="24"/>
        </w:rPr>
      </w:pPr>
      <w:r w:rsidRPr="00A108DA">
        <w:rPr>
          <w:rFonts w:ascii="Times New Roman" w:hAnsi="Times New Roman" w:cs="Times New Roman"/>
          <w:sz w:val="24"/>
          <w:szCs w:val="24"/>
        </w:rPr>
        <w:t>W dyskusji światopoglądowej i krytyce religii argumentacja odwołująca się do uznanych autorytetów zasługuje w każdym razie na uwagę. W tym kontekście na przykład powołuje się naukowców przyrodników, którzy odrzucają wiarę w Boga lub ją popierają. Ich argumenty mogą w pojedynczych przypadkach wydawać się imponujące, a nawet trafne. Jednak nawet niezaprzeczalna kompetencja w fizyce czy innej dziedzinie nauki nie stanowi powodu, aby przypisywać ich twierdzeniom o wierze szczególną wagę. Również tutaj obowiązuje zasada: liczą się argumenty, nie nazwiska. A w refleksji nad argumentem z autorytetu zawsze wskazywano i wskazuje się na niebezpieczeństwo, że ktoś przekracza swoją właściwą kompetencję.</w:t>
      </w:r>
    </w:p>
    <w:p w14:paraId="27A1806E" w14:textId="77777777" w:rsidR="00A108DA" w:rsidRPr="00A108DA" w:rsidRDefault="00A108DA" w:rsidP="004F4B6B">
      <w:pPr>
        <w:spacing w:after="0" w:line="240" w:lineRule="auto"/>
        <w:ind w:firstLine="708"/>
        <w:jc w:val="both"/>
        <w:rPr>
          <w:rFonts w:ascii="Times New Roman" w:hAnsi="Times New Roman" w:cs="Times New Roman"/>
          <w:sz w:val="24"/>
          <w:szCs w:val="24"/>
        </w:rPr>
      </w:pPr>
      <w:r w:rsidRPr="00A108DA">
        <w:rPr>
          <w:rFonts w:ascii="Times New Roman" w:hAnsi="Times New Roman" w:cs="Times New Roman"/>
          <w:sz w:val="24"/>
          <w:szCs w:val="24"/>
        </w:rPr>
        <w:t>Jeśli chodzi o psychologiczne oddziaływanie argumentu z autorytetu, należy zwrócić uwagę na kolejny problem. Nie wynika ono z imponujących nazwisk, lecz z wrażenia przytłaczającej liczby osób, które wyrażają lub wydają się wyrażać określone zdanie czy przekonanie. Można mówić o autorytecie opinii publicznej lub publikowanej opinii oraz – w podobny sposób – o autorytecie poprawności politycznej. Jest on zazwyczaj bezosobowy, ale tym skuteczniejszy. Może stać się na tyle dominujący, że w określonych sytuacjach psychologicznie wydaje się niemal niemożliwe, aby tym twierdzeniom zaprzeczyć.</w:t>
      </w:r>
    </w:p>
    <w:p w14:paraId="79C8B547" w14:textId="77777777" w:rsidR="00BE2099" w:rsidRDefault="00A108DA" w:rsidP="004F4B6B">
      <w:pPr>
        <w:spacing w:after="0" w:line="240" w:lineRule="auto"/>
        <w:ind w:firstLine="708"/>
        <w:jc w:val="both"/>
        <w:rPr>
          <w:rFonts w:ascii="Times New Roman" w:hAnsi="Times New Roman" w:cs="Times New Roman"/>
          <w:sz w:val="24"/>
          <w:szCs w:val="24"/>
        </w:rPr>
      </w:pPr>
      <w:r w:rsidRPr="00A108DA">
        <w:rPr>
          <w:rFonts w:ascii="Times New Roman" w:hAnsi="Times New Roman" w:cs="Times New Roman"/>
          <w:sz w:val="24"/>
          <w:szCs w:val="24"/>
        </w:rPr>
        <w:t xml:space="preserve">Nie da się zaprzeczyć, że autorytet opinii publicznej odgrywa również rolę w religii i wierze. Może być skuteczny np. w określonym środowisku wierzących. Może jednak także stanowić problem i wyzwanie w konfrontacji z nurtami przeciwnymi wierze, które w </w:t>
      </w:r>
      <w:r w:rsidRPr="00A108DA">
        <w:rPr>
          <w:rFonts w:ascii="Times New Roman" w:hAnsi="Times New Roman" w:cs="Times New Roman"/>
          <w:sz w:val="24"/>
          <w:szCs w:val="24"/>
        </w:rPr>
        <w:lastRenderedPageBreak/>
        <w:t>społeczeństwie są w dużej mierze akceptowane. I łatwo zauważyć, że tzw. sieci społeczne odgrywają w tym przypadku dużą rolę.</w:t>
      </w:r>
    </w:p>
    <w:p w14:paraId="23DF6346" w14:textId="77777777" w:rsidR="00A108DA" w:rsidRDefault="00A108DA" w:rsidP="004F4B6B">
      <w:pPr>
        <w:spacing w:after="0" w:line="240" w:lineRule="auto"/>
        <w:ind w:firstLine="708"/>
        <w:jc w:val="both"/>
        <w:rPr>
          <w:rFonts w:ascii="Times New Roman" w:hAnsi="Times New Roman" w:cs="Times New Roman"/>
          <w:sz w:val="24"/>
          <w:szCs w:val="24"/>
        </w:rPr>
      </w:pPr>
      <w:r w:rsidRPr="00A108DA">
        <w:rPr>
          <w:rFonts w:ascii="Times New Roman" w:hAnsi="Times New Roman" w:cs="Times New Roman"/>
          <w:sz w:val="24"/>
          <w:szCs w:val="24"/>
        </w:rPr>
        <w:t>Jednak nie można postrzegać argumentu z autorytetu wyłącznie jako problemu – ani w teologii, ani w życiu w ogóle. Czasami pełni on funkcję nieuniknioną. Dotyczy to przede wszystkim przekazywania i przyswajania wiedzy. W tym kontekście odwołanie się do autorytetu jest niezbędne. Student i uczeń zawsze polegają na tym, że znajdą merytorycznie kompetentnych i godnych zaufania nauczycieli, którym mogą przypisać autorytet. Wyjaśnienie merytoryczne i przyswojenie tego, co w ten sposób poznano, następuje zazwyczaj dopiero w drugim etapie. Brak wiarygodnych autorytetów może spowodować, że uznaje się za prawdziwe to, co w formie opinii publicznej narzuca poprawność polityczna.</w:t>
      </w:r>
    </w:p>
    <w:p w14:paraId="4BF03F48" w14:textId="77777777" w:rsidR="00A108DA" w:rsidRDefault="00A108DA" w:rsidP="004F4B6B">
      <w:pPr>
        <w:spacing w:after="0" w:line="240" w:lineRule="auto"/>
        <w:ind w:firstLine="708"/>
        <w:jc w:val="both"/>
        <w:rPr>
          <w:rFonts w:ascii="Times New Roman" w:hAnsi="Times New Roman" w:cs="Times New Roman"/>
          <w:sz w:val="24"/>
          <w:szCs w:val="24"/>
        </w:rPr>
      </w:pPr>
      <w:r w:rsidRPr="00A108DA">
        <w:rPr>
          <w:rFonts w:ascii="Times New Roman" w:hAnsi="Times New Roman" w:cs="Times New Roman"/>
          <w:sz w:val="24"/>
          <w:szCs w:val="24"/>
        </w:rPr>
        <w:t>Już te nieliczne uwagi pokazują, że jest sensowne i konieczne, aby z perspektywy życia kościelnego teologicznie zająć się autorytetem w sposób gruntowny i krytyczny. Z jednej strony samo powtarzanie tradycyjnych reguł zapewne nie wystarczy – przynajmniej w naszych kręgach warunki wstępne i ramy społeczne zmieniły się zbyt mocno, także wewnątrz Kościoła.</w:t>
      </w:r>
    </w:p>
    <w:p w14:paraId="5AB8989A" w14:textId="77777777" w:rsidR="00F241F0" w:rsidRDefault="00F241F0" w:rsidP="004F4B6B">
      <w:pPr>
        <w:spacing w:after="0" w:line="240" w:lineRule="auto"/>
        <w:ind w:firstLine="708"/>
        <w:jc w:val="both"/>
        <w:rPr>
          <w:rFonts w:ascii="Times New Roman" w:hAnsi="Times New Roman" w:cs="Times New Roman"/>
          <w:sz w:val="24"/>
          <w:szCs w:val="24"/>
        </w:rPr>
      </w:pPr>
      <w:r w:rsidRPr="00F241F0">
        <w:rPr>
          <w:rFonts w:ascii="Times New Roman" w:hAnsi="Times New Roman" w:cs="Times New Roman"/>
          <w:sz w:val="24"/>
          <w:szCs w:val="24"/>
        </w:rPr>
        <w:t xml:space="preserve">Religia i wiara są dziś – żeby podać przykład – dla wielu czymś wyłącznie osobistym, w co zewnętrzne instancje, takie jak np. nauczanie Kościoła, nie powinny ingerować. Znane dictum </w:t>
      </w:r>
      <w:r w:rsidRPr="00F241F0">
        <w:rPr>
          <w:rStyle w:val="Emphasis"/>
          <w:rFonts w:ascii="Times New Roman" w:hAnsi="Times New Roman" w:cs="Times New Roman"/>
          <w:sz w:val="24"/>
          <w:szCs w:val="24"/>
        </w:rPr>
        <w:t>Roma locuta, causa finita</w:t>
      </w:r>
      <w:r w:rsidRPr="00F241F0">
        <w:rPr>
          <w:rFonts w:ascii="Times New Roman" w:hAnsi="Times New Roman" w:cs="Times New Roman"/>
          <w:sz w:val="24"/>
          <w:szCs w:val="24"/>
        </w:rPr>
        <w:t xml:space="preserve"> budzi więc mniejsze uznanie, chyba że treść nakazu nauczania Kościoła da się w sposób zrozumiały przedstawić. Jednak również wiarygodność i styl kierownictwa kościelnego wymagają trwałej uwagi i poprawy. Z drugiej strony życie kościelne bez wymiaru autorytetu jest nie do pomyślenia zarówno z powodów instytucjonalnych, jak i teologicznych. Autorytet w dzisiejszej teologii wymaga więcej niż tylko historycznego zainteresowania.</w:t>
      </w:r>
    </w:p>
    <w:p w14:paraId="76C337EA" w14:textId="77777777" w:rsidR="00FC694D" w:rsidRDefault="00FC694D" w:rsidP="00FC694D">
      <w:pPr>
        <w:pStyle w:val="NormalWeb"/>
        <w:spacing w:before="0" w:beforeAutospacing="0" w:after="0" w:afterAutospacing="0"/>
        <w:ind w:firstLine="708"/>
        <w:jc w:val="right"/>
        <w:rPr>
          <w:i/>
          <w:iCs/>
        </w:rPr>
      </w:pPr>
      <w:r>
        <w:rPr>
          <w:i/>
          <w:iCs/>
        </w:rPr>
        <w:t>Tłumaczenie z języka niemieckiego Anna Buczniewska</w:t>
      </w:r>
    </w:p>
    <w:p w14:paraId="3A450265" w14:textId="77777777" w:rsidR="00FC694D" w:rsidRDefault="00FC694D" w:rsidP="004F4B6B">
      <w:pPr>
        <w:spacing w:after="0" w:line="240" w:lineRule="auto"/>
        <w:ind w:firstLine="708"/>
        <w:jc w:val="both"/>
        <w:rPr>
          <w:rFonts w:ascii="Times New Roman" w:hAnsi="Times New Roman" w:cs="Times New Roman"/>
          <w:sz w:val="24"/>
          <w:szCs w:val="24"/>
        </w:rPr>
      </w:pPr>
    </w:p>
    <w:p w14:paraId="0479B63C" w14:textId="77777777" w:rsidR="00221EAA" w:rsidRDefault="00221EAA" w:rsidP="004F4B6B">
      <w:pPr>
        <w:spacing w:after="0" w:line="240" w:lineRule="auto"/>
        <w:ind w:firstLine="708"/>
        <w:jc w:val="both"/>
        <w:rPr>
          <w:rFonts w:ascii="Times New Roman" w:hAnsi="Times New Roman" w:cs="Times New Roman"/>
          <w:b/>
          <w:sz w:val="24"/>
          <w:szCs w:val="24"/>
        </w:rPr>
      </w:pPr>
    </w:p>
    <w:p w14:paraId="4C50D198" w14:textId="77777777" w:rsidR="00221EAA" w:rsidRDefault="00221EAA" w:rsidP="004F4B6B">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Nota o Autorze: Bernhard Körner – </w:t>
      </w:r>
      <w:r>
        <w:rPr>
          <w:rFonts w:ascii="Times New Roman" w:hAnsi="Times New Roman" w:cs="Times New Roman"/>
          <w:sz w:val="24"/>
          <w:szCs w:val="24"/>
        </w:rPr>
        <w:t>urodzony 6 lipca 1949 w Klagenfurcie. Austriacki prezbiter i</w:t>
      </w:r>
      <w:r w:rsidRPr="00221EAA">
        <w:rPr>
          <w:rFonts w:ascii="Times New Roman" w:hAnsi="Times New Roman" w:cs="Times New Roman"/>
          <w:sz w:val="24"/>
          <w:szCs w:val="24"/>
        </w:rPr>
        <w:t xml:space="preserve"> </w:t>
      </w:r>
      <w:r>
        <w:rPr>
          <w:rFonts w:ascii="Times New Roman" w:hAnsi="Times New Roman" w:cs="Times New Roman"/>
          <w:sz w:val="24"/>
          <w:szCs w:val="24"/>
        </w:rPr>
        <w:t xml:space="preserve">teolog rzymskokatolicki. </w:t>
      </w:r>
      <w:r w:rsidRPr="00221EAA">
        <w:rPr>
          <w:rFonts w:ascii="Times New Roman" w:hAnsi="Times New Roman" w:cs="Times New Roman"/>
          <w:sz w:val="24"/>
          <w:szCs w:val="24"/>
        </w:rPr>
        <w:t>W 1976 r</w:t>
      </w:r>
      <w:r>
        <w:rPr>
          <w:rFonts w:ascii="Times New Roman" w:hAnsi="Times New Roman" w:cs="Times New Roman"/>
          <w:sz w:val="24"/>
          <w:szCs w:val="24"/>
        </w:rPr>
        <w:t>oku przyjął święcenia prezbiteratu  w Graz</w:t>
      </w:r>
      <w:r w:rsidRPr="00221EAA">
        <w:rPr>
          <w:rFonts w:ascii="Times New Roman" w:hAnsi="Times New Roman" w:cs="Times New Roman"/>
          <w:sz w:val="24"/>
          <w:szCs w:val="24"/>
        </w:rPr>
        <w:t>. W 1979 roku uzyskał stopień doktora teologii</w:t>
      </w:r>
      <w:r>
        <w:rPr>
          <w:rFonts w:ascii="Times New Roman" w:hAnsi="Times New Roman" w:cs="Times New Roman"/>
          <w:sz w:val="24"/>
          <w:szCs w:val="24"/>
        </w:rPr>
        <w:t>, a w</w:t>
      </w:r>
      <w:r w:rsidR="006B78C3">
        <w:rPr>
          <w:rFonts w:ascii="Times New Roman" w:hAnsi="Times New Roman" w:cs="Times New Roman"/>
          <w:sz w:val="24"/>
          <w:szCs w:val="24"/>
        </w:rPr>
        <w:t xml:space="preserve"> 1991</w:t>
      </w:r>
      <w:r w:rsidRPr="00221EAA">
        <w:rPr>
          <w:rFonts w:ascii="Times New Roman" w:hAnsi="Times New Roman" w:cs="Times New Roman"/>
          <w:sz w:val="24"/>
          <w:szCs w:val="24"/>
        </w:rPr>
        <w:t xml:space="preserve"> roku </w:t>
      </w:r>
      <w:r w:rsidR="006B78C3">
        <w:rPr>
          <w:rFonts w:ascii="Times New Roman" w:hAnsi="Times New Roman" w:cs="Times New Roman"/>
          <w:sz w:val="24"/>
          <w:szCs w:val="24"/>
        </w:rPr>
        <w:t>habilitował się</w:t>
      </w:r>
      <w:r w:rsidRPr="00221EAA">
        <w:rPr>
          <w:rFonts w:ascii="Times New Roman" w:hAnsi="Times New Roman" w:cs="Times New Roman"/>
          <w:sz w:val="24"/>
          <w:szCs w:val="24"/>
        </w:rPr>
        <w:t xml:space="preserve"> na Katolickim Wydziale Teologicznym Uniwersytetu w Tybindze</w:t>
      </w:r>
      <w:r w:rsidR="006B78C3">
        <w:rPr>
          <w:rFonts w:ascii="Times New Roman" w:hAnsi="Times New Roman" w:cs="Times New Roman"/>
          <w:sz w:val="24"/>
          <w:szCs w:val="24"/>
        </w:rPr>
        <w:t xml:space="preserve">. </w:t>
      </w:r>
      <w:r w:rsidRPr="00221EAA">
        <w:rPr>
          <w:rFonts w:ascii="Times New Roman" w:hAnsi="Times New Roman" w:cs="Times New Roman"/>
          <w:sz w:val="24"/>
          <w:szCs w:val="24"/>
        </w:rPr>
        <w:t xml:space="preserve">Od 1993 do 2017 roku był profesorem </w:t>
      </w:r>
      <w:r w:rsidR="006B78C3" w:rsidRPr="00221EAA">
        <w:rPr>
          <w:rFonts w:ascii="Times New Roman" w:hAnsi="Times New Roman" w:cs="Times New Roman"/>
          <w:sz w:val="24"/>
          <w:szCs w:val="24"/>
        </w:rPr>
        <w:t xml:space="preserve">zwyczajnym </w:t>
      </w:r>
      <w:r w:rsidR="006B78C3">
        <w:rPr>
          <w:rFonts w:ascii="Times New Roman" w:hAnsi="Times New Roman" w:cs="Times New Roman"/>
          <w:sz w:val="24"/>
          <w:szCs w:val="24"/>
        </w:rPr>
        <w:t>teologii dogmatycznej</w:t>
      </w:r>
      <w:r w:rsidRPr="00221EAA">
        <w:rPr>
          <w:rFonts w:ascii="Times New Roman" w:hAnsi="Times New Roman" w:cs="Times New Roman"/>
          <w:sz w:val="24"/>
          <w:szCs w:val="24"/>
        </w:rPr>
        <w:t xml:space="preserve"> na Katolickim Wydziale Teologicznym U</w:t>
      </w:r>
      <w:r w:rsidR="006B78C3">
        <w:rPr>
          <w:rFonts w:ascii="Times New Roman" w:hAnsi="Times New Roman" w:cs="Times New Roman"/>
          <w:sz w:val="24"/>
          <w:szCs w:val="24"/>
        </w:rPr>
        <w:t xml:space="preserve">niwersytetu Karl-Franza w Graz. </w:t>
      </w:r>
    </w:p>
    <w:p w14:paraId="53859E17" w14:textId="77777777" w:rsidR="00760AED" w:rsidRDefault="00760AED" w:rsidP="004F4B6B">
      <w:pPr>
        <w:spacing w:after="0" w:line="240" w:lineRule="auto"/>
        <w:jc w:val="both"/>
        <w:rPr>
          <w:rFonts w:ascii="Times New Roman" w:hAnsi="Times New Roman" w:cs="Times New Roman"/>
          <w:sz w:val="24"/>
          <w:szCs w:val="24"/>
        </w:rPr>
      </w:pPr>
    </w:p>
    <w:p w14:paraId="480ECB72" w14:textId="77777777" w:rsidR="004F4B6B" w:rsidRPr="0009248F" w:rsidRDefault="004F4B6B" w:rsidP="004F4B6B">
      <w:pPr>
        <w:spacing w:after="0" w:line="240" w:lineRule="auto"/>
        <w:jc w:val="both"/>
        <w:rPr>
          <w:rFonts w:ascii="Times New Roman" w:hAnsi="Times New Roman" w:cs="Times New Roman"/>
          <w:b/>
          <w:bCs/>
          <w:sz w:val="24"/>
          <w:szCs w:val="24"/>
          <w:lang w:val="de-AT"/>
        </w:rPr>
      </w:pPr>
      <w:r w:rsidRPr="0009248F">
        <w:rPr>
          <w:rFonts w:ascii="Times New Roman" w:hAnsi="Times New Roman" w:cs="Times New Roman"/>
          <w:b/>
          <w:bCs/>
          <w:sz w:val="24"/>
          <w:szCs w:val="24"/>
          <w:lang w:val="de-AT"/>
        </w:rPr>
        <w:t>Bibliografia:</w:t>
      </w:r>
    </w:p>
    <w:p w14:paraId="7A9FAE40" w14:textId="77777777" w:rsidR="004F4B6B" w:rsidRPr="004F4B6B" w:rsidRDefault="004F4B6B" w:rsidP="004F4B6B">
      <w:pPr>
        <w:pStyle w:val="FootnoteText"/>
        <w:ind w:left="1134" w:hanging="1134"/>
        <w:jc w:val="both"/>
        <w:rPr>
          <w:rFonts w:ascii="Times New Roman" w:hAnsi="Times New Roman" w:cs="Times New Roman"/>
          <w:sz w:val="24"/>
          <w:szCs w:val="24"/>
          <w:lang w:val="de-AT"/>
        </w:rPr>
      </w:pPr>
      <w:r w:rsidRPr="004F4B6B">
        <w:rPr>
          <w:rFonts w:ascii="Times New Roman" w:hAnsi="Times New Roman" w:cs="Times New Roman"/>
          <w:sz w:val="24"/>
          <w:szCs w:val="24"/>
          <w:lang w:val="de-AT"/>
        </w:rPr>
        <w:t>Chenu</w:t>
      </w:r>
      <w:r>
        <w:rPr>
          <w:rFonts w:ascii="Times New Roman" w:hAnsi="Times New Roman" w:cs="Times New Roman"/>
          <w:sz w:val="24"/>
          <w:szCs w:val="24"/>
          <w:lang w:val="de-AT"/>
        </w:rPr>
        <w:t xml:space="preserve"> </w:t>
      </w:r>
      <w:r w:rsidRPr="004F4B6B">
        <w:rPr>
          <w:rFonts w:ascii="Times New Roman" w:hAnsi="Times New Roman" w:cs="Times New Roman"/>
          <w:sz w:val="24"/>
          <w:szCs w:val="24"/>
          <w:lang w:val="de-AT"/>
        </w:rPr>
        <w:t xml:space="preserve">M.D., </w:t>
      </w:r>
      <w:r w:rsidRPr="004F4B6B">
        <w:rPr>
          <w:rStyle w:val="Emphasis"/>
          <w:rFonts w:ascii="Times New Roman" w:hAnsi="Times New Roman" w:cs="Times New Roman"/>
          <w:sz w:val="24"/>
          <w:szCs w:val="24"/>
          <w:lang w:val="de-AT"/>
        </w:rPr>
        <w:t>Das Werk des Hl. Thomas von Aquin</w:t>
      </w:r>
      <w:r w:rsidRPr="004F4B6B">
        <w:rPr>
          <w:rFonts w:ascii="Times New Roman" w:hAnsi="Times New Roman" w:cs="Times New Roman"/>
          <w:sz w:val="24"/>
          <w:szCs w:val="24"/>
          <w:lang w:val="de-AT"/>
        </w:rPr>
        <w:t>, Heidelberg – Graz 1960.</w:t>
      </w:r>
    </w:p>
    <w:p w14:paraId="5AECC549" w14:textId="77777777" w:rsidR="004F4B6B" w:rsidRPr="004F4B6B" w:rsidRDefault="004F4B6B" w:rsidP="004F4B6B">
      <w:pPr>
        <w:pStyle w:val="FootnoteText"/>
        <w:ind w:left="1134" w:hanging="1134"/>
        <w:jc w:val="both"/>
        <w:rPr>
          <w:rFonts w:ascii="Times New Roman" w:hAnsi="Times New Roman" w:cs="Times New Roman"/>
          <w:sz w:val="24"/>
          <w:szCs w:val="24"/>
          <w:lang w:val="de-AT"/>
        </w:rPr>
      </w:pPr>
      <w:r w:rsidRPr="004F4B6B">
        <w:rPr>
          <w:rFonts w:ascii="Times New Roman" w:hAnsi="Times New Roman" w:cs="Times New Roman"/>
          <w:sz w:val="24"/>
          <w:szCs w:val="24"/>
          <w:lang w:val="de-AT"/>
        </w:rPr>
        <w:t>Freiesleben</w:t>
      </w:r>
      <w:r>
        <w:rPr>
          <w:rFonts w:ascii="Times New Roman" w:hAnsi="Times New Roman" w:cs="Times New Roman"/>
          <w:sz w:val="24"/>
          <w:szCs w:val="24"/>
          <w:lang w:val="de-AT"/>
        </w:rPr>
        <w:t xml:space="preserve"> </w:t>
      </w:r>
      <w:r w:rsidRPr="004F4B6B">
        <w:rPr>
          <w:rFonts w:ascii="Times New Roman" w:hAnsi="Times New Roman" w:cs="Times New Roman"/>
          <w:sz w:val="24"/>
          <w:szCs w:val="24"/>
          <w:lang w:val="de-AT"/>
        </w:rPr>
        <w:t xml:space="preserve">H.C., </w:t>
      </w:r>
      <w:r w:rsidRPr="004F4B6B">
        <w:rPr>
          <w:rStyle w:val="Emphasis"/>
          <w:rFonts w:ascii="Times New Roman" w:hAnsi="Times New Roman" w:cs="Times New Roman"/>
          <w:sz w:val="24"/>
          <w:szCs w:val="24"/>
          <w:lang w:val="de-AT"/>
        </w:rPr>
        <w:t>Galilei. Physik und Glaube an der Wende zur Neuzeit</w:t>
      </w:r>
      <w:r w:rsidRPr="004F4B6B">
        <w:rPr>
          <w:rFonts w:ascii="Times New Roman" w:hAnsi="Times New Roman" w:cs="Times New Roman"/>
          <w:sz w:val="24"/>
          <w:szCs w:val="24"/>
          <w:lang w:val="de-AT"/>
        </w:rPr>
        <w:t>, Stuttgart 1969.</w:t>
      </w:r>
    </w:p>
    <w:p w14:paraId="48595B0F" w14:textId="77777777" w:rsidR="004F4B6B" w:rsidRDefault="004F4B6B" w:rsidP="004F4B6B">
      <w:pPr>
        <w:pStyle w:val="FootnoteText"/>
        <w:ind w:left="1134" w:hanging="1134"/>
        <w:jc w:val="both"/>
        <w:rPr>
          <w:rFonts w:ascii="Times New Roman" w:hAnsi="Times New Roman" w:cs="Times New Roman"/>
          <w:sz w:val="24"/>
          <w:szCs w:val="24"/>
          <w:lang w:val="de-AT"/>
        </w:rPr>
      </w:pPr>
      <w:r w:rsidRPr="004F4B6B">
        <w:rPr>
          <w:rFonts w:ascii="Times New Roman" w:hAnsi="Times New Roman" w:cs="Times New Roman"/>
          <w:sz w:val="24"/>
          <w:szCs w:val="24"/>
          <w:lang w:val="de-AT"/>
        </w:rPr>
        <w:t>Kasper</w:t>
      </w:r>
      <w:r>
        <w:rPr>
          <w:rFonts w:ascii="Times New Roman" w:hAnsi="Times New Roman" w:cs="Times New Roman"/>
          <w:sz w:val="24"/>
          <w:szCs w:val="24"/>
          <w:lang w:val="de-AT"/>
        </w:rPr>
        <w:t xml:space="preserve"> </w:t>
      </w:r>
      <w:r w:rsidRPr="004F4B6B">
        <w:rPr>
          <w:rFonts w:ascii="Times New Roman" w:hAnsi="Times New Roman" w:cs="Times New Roman"/>
          <w:sz w:val="24"/>
          <w:szCs w:val="24"/>
          <w:lang w:val="de-AT"/>
        </w:rPr>
        <w:t xml:space="preserve">W., </w:t>
      </w:r>
      <w:r w:rsidRPr="004F4B6B">
        <w:rPr>
          <w:rStyle w:val="Emphasis"/>
          <w:rFonts w:ascii="Times New Roman" w:hAnsi="Times New Roman" w:cs="Times New Roman"/>
          <w:sz w:val="24"/>
          <w:szCs w:val="24"/>
          <w:lang w:val="de-AT"/>
        </w:rPr>
        <w:t>Die Wissenschaftspraxis der Theologie</w:t>
      </w:r>
      <w:r w:rsidRPr="004F4B6B">
        <w:rPr>
          <w:rFonts w:ascii="Times New Roman" w:hAnsi="Times New Roman" w:cs="Times New Roman"/>
          <w:sz w:val="24"/>
          <w:szCs w:val="24"/>
          <w:lang w:val="de-AT"/>
        </w:rPr>
        <w:t xml:space="preserve">, w: W. Kern, H.J. Pottmeyer, M. Seckler (red.), </w:t>
      </w:r>
      <w:r w:rsidRPr="004F4B6B">
        <w:rPr>
          <w:rFonts w:ascii="Times New Roman" w:hAnsi="Times New Roman" w:cs="Times New Roman"/>
          <w:i/>
          <w:iCs/>
          <w:sz w:val="24"/>
          <w:szCs w:val="24"/>
          <w:lang w:val="de-AT"/>
        </w:rPr>
        <w:t>Handbuch der Fundamentaltheologie</w:t>
      </w:r>
      <w:r w:rsidRPr="004F4B6B">
        <w:rPr>
          <w:rFonts w:ascii="Times New Roman" w:hAnsi="Times New Roman" w:cs="Times New Roman"/>
          <w:sz w:val="24"/>
          <w:szCs w:val="24"/>
          <w:lang w:val="de-AT"/>
        </w:rPr>
        <w:t>, t. 4, Freiburg i. Br. 1988</w:t>
      </w:r>
      <w:r>
        <w:rPr>
          <w:rFonts w:ascii="Times New Roman" w:hAnsi="Times New Roman" w:cs="Times New Roman"/>
          <w:sz w:val="24"/>
          <w:szCs w:val="24"/>
          <w:lang w:val="de-AT"/>
        </w:rPr>
        <w:t>.</w:t>
      </w:r>
    </w:p>
    <w:p w14:paraId="27072A9D" w14:textId="77777777" w:rsidR="004F4B6B" w:rsidRDefault="004F4B6B" w:rsidP="004F4B6B">
      <w:pPr>
        <w:pStyle w:val="FootnoteText"/>
        <w:ind w:left="1134" w:hanging="1134"/>
        <w:jc w:val="both"/>
        <w:rPr>
          <w:rFonts w:ascii="Times New Roman" w:hAnsi="Times New Roman" w:cs="Times New Roman"/>
          <w:sz w:val="24"/>
          <w:szCs w:val="24"/>
          <w:lang w:val="de-AT"/>
        </w:rPr>
      </w:pPr>
      <w:r w:rsidRPr="004F4B6B">
        <w:rPr>
          <w:rFonts w:ascii="Times New Roman" w:hAnsi="Times New Roman" w:cs="Times New Roman"/>
          <w:sz w:val="24"/>
          <w:szCs w:val="24"/>
          <w:lang w:val="de-AT"/>
        </w:rPr>
        <w:t>Körner</w:t>
      </w:r>
      <w:r>
        <w:rPr>
          <w:rFonts w:ascii="Times New Roman" w:hAnsi="Times New Roman" w:cs="Times New Roman"/>
          <w:sz w:val="24"/>
          <w:szCs w:val="24"/>
          <w:lang w:val="de-AT"/>
        </w:rPr>
        <w:t xml:space="preserve"> </w:t>
      </w:r>
      <w:r w:rsidRPr="004F4B6B">
        <w:rPr>
          <w:rFonts w:ascii="Times New Roman" w:hAnsi="Times New Roman" w:cs="Times New Roman"/>
          <w:sz w:val="24"/>
          <w:szCs w:val="24"/>
          <w:lang w:val="de-AT"/>
        </w:rPr>
        <w:t xml:space="preserve">B., </w:t>
      </w:r>
      <w:r w:rsidRPr="004F4B6B">
        <w:rPr>
          <w:rStyle w:val="Emphasis"/>
          <w:rFonts w:ascii="Times New Roman" w:hAnsi="Times New Roman" w:cs="Times New Roman"/>
          <w:sz w:val="24"/>
          <w:szCs w:val="24"/>
          <w:lang w:val="de-AT"/>
        </w:rPr>
        <w:t>Melchior Cano, De locis theologicis. Ein Beitrag zur Theologischen Erkenntnislehre</w:t>
      </w:r>
      <w:r w:rsidRPr="004F4B6B">
        <w:rPr>
          <w:rFonts w:ascii="Times New Roman" w:hAnsi="Times New Roman" w:cs="Times New Roman"/>
          <w:sz w:val="24"/>
          <w:szCs w:val="24"/>
          <w:lang w:val="de-AT"/>
        </w:rPr>
        <w:t>, Graz 1994</w:t>
      </w:r>
      <w:r>
        <w:rPr>
          <w:rFonts w:ascii="Times New Roman" w:hAnsi="Times New Roman" w:cs="Times New Roman"/>
          <w:sz w:val="24"/>
          <w:szCs w:val="24"/>
          <w:lang w:val="de-AT"/>
        </w:rPr>
        <w:t>.</w:t>
      </w:r>
    </w:p>
    <w:p w14:paraId="58FA8C8B" w14:textId="77777777" w:rsidR="004F4B6B" w:rsidRDefault="004F4B6B" w:rsidP="004F4B6B">
      <w:pPr>
        <w:pStyle w:val="FootnoteText"/>
        <w:ind w:left="1134" w:hanging="1134"/>
        <w:jc w:val="both"/>
        <w:rPr>
          <w:rFonts w:ascii="Times New Roman" w:hAnsi="Times New Roman" w:cs="Times New Roman"/>
          <w:sz w:val="24"/>
          <w:szCs w:val="24"/>
          <w:lang w:val="de-AT"/>
        </w:rPr>
      </w:pPr>
      <w:r w:rsidRPr="004F4B6B">
        <w:rPr>
          <w:rFonts w:ascii="Times New Roman" w:hAnsi="Times New Roman" w:cs="Times New Roman"/>
          <w:sz w:val="24"/>
          <w:szCs w:val="24"/>
          <w:lang w:val="de-AT"/>
        </w:rPr>
        <w:t>Pesch</w:t>
      </w:r>
      <w:r>
        <w:rPr>
          <w:rFonts w:ascii="Times New Roman" w:hAnsi="Times New Roman" w:cs="Times New Roman"/>
          <w:sz w:val="24"/>
          <w:szCs w:val="24"/>
          <w:lang w:val="de-AT"/>
        </w:rPr>
        <w:t xml:space="preserve"> </w:t>
      </w:r>
      <w:r w:rsidRPr="004F4B6B">
        <w:rPr>
          <w:rFonts w:ascii="Times New Roman" w:hAnsi="Times New Roman" w:cs="Times New Roman"/>
          <w:sz w:val="24"/>
          <w:szCs w:val="24"/>
          <w:lang w:val="de-AT"/>
        </w:rPr>
        <w:t xml:space="preserve">O.H., </w:t>
      </w:r>
      <w:r w:rsidRPr="004F4B6B">
        <w:rPr>
          <w:rStyle w:val="Emphasis"/>
          <w:rFonts w:ascii="Times New Roman" w:hAnsi="Times New Roman" w:cs="Times New Roman"/>
          <w:sz w:val="24"/>
          <w:szCs w:val="24"/>
          <w:lang w:val="de-AT"/>
        </w:rPr>
        <w:t>Thomas von Aquin. Grenze und Größe mittelalterlicher Theologie</w:t>
      </w:r>
      <w:r w:rsidRPr="004F4B6B">
        <w:rPr>
          <w:rFonts w:ascii="Times New Roman" w:hAnsi="Times New Roman" w:cs="Times New Roman"/>
          <w:sz w:val="24"/>
          <w:szCs w:val="24"/>
          <w:lang w:val="de-AT"/>
        </w:rPr>
        <w:t>, Mainz 1988</w:t>
      </w:r>
      <w:r>
        <w:rPr>
          <w:rFonts w:ascii="Times New Roman" w:hAnsi="Times New Roman" w:cs="Times New Roman"/>
          <w:sz w:val="24"/>
          <w:szCs w:val="24"/>
          <w:lang w:val="de-AT"/>
        </w:rPr>
        <w:t>.</w:t>
      </w:r>
    </w:p>
    <w:p w14:paraId="1EEEA397" w14:textId="77777777" w:rsidR="004F4B6B" w:rsidRDefault="004F4B6B" w:rsidP="004F4B6B">
      <w:pPr>
        <w:pStyle w:val="FootnoteText"/>
        <w:ind w:left="1134" w:hanging="1134"/>
        <w:jc w:val="both"/>
        <w:rPr>
          <w:rFonts w:ascii="Times New Roman" w:hAnsi="Times New Roman" w:cs="Times New Roman"/>
          <w:sz w:val="24"/>
          <w:szCs w:val="24"/>
          <w:lang w:val="de-AT"/>
        </w:rPr>
      </w:pPr>
      <w:r w:rsidRPr="004F4B6B">
        <w:rPr>
          <w:rFonts w:ascii="Times New Roman" w:hAnsi="Times New Roman" w:cs="Times New Roman"/>
          <w:sz w:val="24"/>
          <w:szCs w:val="24"/>
          <w:lang w:val="de-AT"/>
        </w:rPr>
        <w:t>Seckler</w:t>
      </w:r>
      <w:r>
        <w:rPr>
          <w:rFonts w:ascii="Times New Roman" w:hAnsi="Times New Roman" w:cs="Times New Roman"/>
          <w:sz w:val="24"/>
          <w:szCs w:val="24"/>
          <w:lang w:val="de-AT"/>
        </w:rPr>
        <w:t xml:space="preserve"> </w:t>
      </w:r>
      <w:r w:rsidRPr="004F4B6B">
        <w:rPr>
          <w:rFonts w:ascii="Times New Roman" w:hAnsi="Times New Roman" w:cs="Times New Roman"/>
          <w:sz w:val="24"/>
          <w:szCs w:val="24"/>
          <w:lang w:val="de-AT"/>
        </w:rPr>
        <w:t xml:space="preserve">M., </w:t>
      </w:r>
      <w:r w:rsidRPr="004F4B6B">
        <w:rPr>
          <w:rStyle w:val="Emphasis"/>
          <w:rFonts w:ascii="Times New Roman" w:hAnsi="Times New Roman" w:cs="Times New Roman"/>
          <w:sz w:val="24"/>
          <w:szCs w:val="24"/>
          <w:lang w:val="de-AT"/>
        </w:rPr>
        <w:t>Apologetik</w:t>
      </w:r>
      <w:r w:rsidRPr="004F4B6B">
        <w:rPr>
          <w:rFonts w:ascii="Times New Roman" w:hAnsi="Times New Roman" w:cs="Times New Roman"/>
          <w:sz w:val="24"/>
          <w:szCs w:val="24"/>
          <w:lang w:val="de-AT"/>
        </w:rPr>
        <w:t xml:space="preserve">, w: LThK3 t. 1, s. 834–842. </w:t>
      </w:r>
    </w:p>
    <w:p w14:paraId="44068B55" w14:textId="77777777" w:rsidR="004F4B6B" w:rsidRDefault="004F4B6B" w:rsidP="004F4B6B">
      <w:pPr>
        <w:pStyle w:val="FootnoteText"/>
        <w:ind w:left="1134" w:hanging="1134"/>
        <w:jc w:val="both"/>
        <w:rPr>
          <w:rFonts w:ascii="Times New Roman" w:hAnsi="Times New Roman" w:cs="Times New Roman"/>
          <w:sz w:val="24"/>
          <w:szCs w:val="24"/>
          <w:lang w:val="de-AT"/>
        </w:rPr>
      </w:pPr>
      <w:r w:rsidRPr="004F4B6B">
        <w:rPr>
          <w:rFonts w:ascii="Times New Roman" w:hAnsi="Times New Roman" w:cs="Times New Roman"/>
          <w:sz w:val="24"/>
          <w:szCs w:val="24"/>
          <w:lang w:val="de-AT"/>
        </w:rPr>
        <w:t>Seckler</w:t>
      </w:r>
      <w:r>
        <w:rPr>
          <w:rFonts w:ascii="Times New Roman" w:hAnsi="Times New Roman" w:cs="Times New Roman"/>
          <w:sz w:val="24"/>
          <w:szCs w:val="24"/>
          <w:lang w:val="de-AT"/>
        </w:rPr>
        <w:t xml:space="preserve"> M.</w:t>
      </w:r>
      <w:r w:rsidRPr="004F4B6B">
        <w:rPr>
          <w:rFonts w:ascii="Times New Roman" w:hAnsi="Times New Roman" w:cs="Times New Roman"/>
          <w:sz w:val="24"/>
          <w:szCs w:val="24"/>
          <w:lang w:val="de-AT"/>
        </w:rPr>
        <w:t xml:space="preserve">, </w:t>
      </w:r>
      <w:r w:rsidRPr="004F4B6B">
        <w:rPr>
          <w:rStyle w:val="Emphasis"/>
          <w:rFonts w:ascii="Times New Roman" w:hAnsi="Times New Roman" w:cs="Times New Roman"/>
          <w:sz w:val="24"/>
          <w:szCs w:val="24"/>
          <w:lang w:val="de-AT"/>
        </w:rPr>
        <w:t>Fundamentaltheologie. Aufgaben und Aufbau, Begriff und Name</w:t>
      </w:r>
      <w:r w:rsidRPr="004F4B6B">
        <w:rPr>
          <w:rFonts w:ascii="Times New Roman" w:hAnsi="Times New Roman" w:cs="Times New Roman"/>
          <w:sz w:val="24"/>
          <w:szCs w:val="24"/>
          <w:lang w:val="de-AT"/>
        </w:rPr>
        <w:t xml:space="preserve">, w: W. Kern, H.J. Pottmeyer, M. Seckler (red.), </w:t>
      </w:r>
      <w:r w:rsidRPr="004F4B6B">
        <w:rPr>
          <w:rFonts w:ascii="Times New Roman" w:hAnsi="Times New Roman" w:cs="Times New Roman"/>
          <w:i/>
          <w:iCs/>
          <w:sz w:val="24"/>
          <w:szCs w:val="24"/>
          <w:lang w:val="de-AT"/>
        </w:rPr>
        <w:t>Handbuch der Fundamentaltheologie</w:t>
      </w:r>
      <w:r w:rsidRPr="004F4B6B">
        <w:rPr>
          <w:rFonts w:ascii="Times New Roman" w:hAnsi="Times New Roman" w:cs="Times New Roman"/>
          <w:sz w:val="24"/>
          <w:szCs w:val="24"/>
          <w:lang w:val="de-AT"/>
        </w:rPr>
        <w:t>, t. 4, Freiburg i. Br. 1988, s. 450–514</w:t>
      </w:r>
      <w:r>
        <w:rPr>
          <w:rFonts w:ascii="Times New Roman" w:hAnsi="Times New Roman" w:cs="Times New Roman"/>
          <w:sz w:val="24"/>
          <w:szCs w:val="24"/>
          <w:lang w:val="de-AT"/>
        </w:rPr>
        <w:t>.</w:t>
      </w:r>
    </w:p>
    <w:p w14:paraId="4A1C0D8D" w14:textId="77777777" w:rsidR="004F4B6B" w:rsidRPr="004F4B6B" w:rsidRDefault="004F4B6B" w:rsidP="004F4B6B">
      <w:pPr>
        <w:pStyle w:val="FootnoteText"/>
        <w:ind w:left="1134" w:hanging="1134"/>
        <w:jc w:val="both"/>
        <w:rPr>
          <w:rFonts w:ascii="Times New Roman" w:hAnsi="Times New Roman" w:cs="Times New Roman"/>
          <w:sz w:val="24"/>
          <w:szCs w:val="24"/>
          <w:lang w:val="de-AT"/>
        </w:rPr>
      </w:pPr>
      <w:r w:rsidRPr="004F4B6B">
        <w:rPr>
          <w:rFonts w:ascii="Times New Roman" w:hAnsi="Times New Roman" w:cs="Times New Roman"/>
          <w:sz w:val="24"/>
          <w:szCs w:val="24"/>
          <w:lang w:val="de-AT"/>
        </w:rPr>
        <w:t>Seckler</w:t>
      </w:r>
      <w:r>
        <w:rPr>
          <w:rFonts w:ascii="Times New Roman" w:hAnsi="Times New Roman" w:cs="Times New Roman"/>
          <w:sz w:val="24"/>
          <w:szCs w:val="24"/>
          <w:lang w:val="de-AT"/>
        </w:rPr>
        <w:t xml:space="preserve"> </w:t>
      </w:r>
      <w:r w:rsidRPr="004F4B6B">
        <w:rPr>
          <w:rFonts w:ascii="Times New Roman" w:hAnsi="Times New Roman" w:cs="Times New Roman"/>
          <w:sz w:val="24"/>
          <w:szCs w:val="24"/>
          <w:lang w:val="de-AT"/>
        </w:rPr>
        <w:t>M., Kessler</w:t>
      </w:r>
      <w:r>
        <w:rPr>
          <w:rFonts w:ascii="Times New Roman" w:hAnsi="Times New Roman" w:cs="Times New Roman"/>
          <w:sz w:val="24"/>
          <w:szCs w:val="24"/>
          <w:lang w:val="de-AT"/>
        </w:rPr>
        <w:t xml:space="preserve"> </w:t>
      </w:r>
      <w:r w:rsidRPr="004F4B6B">
        <w:rPr>
          <w:rFonts w:ascii="Times New Roman" w:hAnsi="Times New Roman" w:cs="Times New Roman"/>
          <w:sz w:val="24"/>
          <w:szCs w:val="24"/>
          <w:lang w:val="de-AT"/>
        </w:rPr>
        <w:t xml:space="preserve">M., </w:t>
      </w:r>
      <w:r w:rsidRPr="004F4B6B">
        <w:rPr>
          <w:rStyle w:val="Emphasis"/>
          <w:rFonts w:ascii="Times New Roman" w:hAnsi="Times New Roman" w:cs="Times New Roman"/>
          <w:sz w:val="24"/>
          <w:szCs w:val="24"/>
          <w:lang w:val="de-AT"/>
        </w:rPr>
        <w:t>Die Kritik der Offenbarung</w:t>
      </w:r>
      <w:r w:rsidRPr="004F4B6B">
        <w:rPr>
          <w:rFonts w:ascii="Times New Roman" w:hAnsi="Times New Roman" w:cs="Times New Roman"/>
          <w:sz w:val="24"/>
          <w:szCs w:val="24"/>
          <w:lang w:val="de-AT"/>
        </w:rPr>
        <w:t xml:space="preserve">, w: W. Kern, H.J. Pottmeyer, M. Seckler (red.), </w:t>
      </w:r>
      <w:r w:rsidRPr="004F4B6B">
        <w:rPr>
          <w:rStyle w:val="Emphasis"/>
          <w:rFonts w:ascii="Times New Roman" w:hAnsi="Times New Roman" w:cs="Times New Roman"/>
          <w:sz w:val="24"/>
          <w:szCs w:val="24"/>
          <w:lang w:val="de-AT"/>
        </w:rPr>
        <w:t>Handbuch der Fundamentaltheologie</w:t>
      </w:r>
      <w:r w:rsidRPr="004F4B6B">
        <w:rPr>
          <w:rFonts w:ascii="Times New Roman" w:hAnsi="Times New Roman" w:cs="Times New Roman"/>
          <w:sz w:val="24"/>
          <w:szCs w:val="24"/>
          <w:lang w:val="de-AT"/>
        </w:rPr>
        <w:t>, t. 2, Freiburg i. Br. 1985, s. 29–59.</w:t>
      </w:r>
    </w:p>
    <w:p w14:paraId="3140B39D" w14:textId="77777777" w:rsidR="004F4B6B" w:rsidRPr="004F4B6B" w:rsidRDefault="004F4B6B" w:rsidP="004F4B6B">
      <w:pPr>
        <w:pStyle w:val="FootnoteText"/>
        <w:ind w:left="1134" w:hanging="1134"/>
        <w:jc w:val="both"/>
        <w:rPr>
          <w:rFonts w:ascii="Times New Roman" w:hAnsi="Times New Roman" w:cs="Times New Roman"/>
          <w:sz w:val="24"/>
          <w:szCs w:val="24"/>
          <w:lang w:val="de-AT"/>
        </w:rPr>
      </w:pPr>
      <w:r w:rsidRPr="004F4B6B">
        <w:rPr>
          <w:rFonts w:ascii="Times New Roman" w:hAnsi="Times New Roman" w:cs="Times New Roman"/>
          <w:sz w:val="24"/>
          <w:szCs w:val="24"/>
          <w:lang w:val="de-AT"/>
        </w:rPr>
        <w:t xml:space="preserve">Thomas von Aquin, </w:t>
      </w:r>
      <w:r w:rsidRPr="004F4B6B">
        <w:rPr>
          <w:rStyle w:val="Emphasis"/>
          <w:rFonts w:ascii="Times New Roman" w:hAnsi="Times New Roman" w:cs="Times New Roman"/>
          <w:sz w:val="24"/>
          <w:szCs w:val="24"/>
          <w:lang w:val="de-AT"/>
        </w:rPr>
        <w:t>Summa Theologiae</w:t>
      </w:r>
      <w:r w:rsidRPr="004F4B6B">
        <w:rPr>
          <w:rFonts w:ascii="Times New Roman" w:hAnsi="Times New Roman" w:cs="Times New Roman"/>
          <w:sz w:val="24"/>
          <w:szCs w:val="24"/>
          <w:lang w:val="de-AT"/>
        </w:rPr>
        <w:t>, Berlin 2022.</w:t>
      </w:r>
    </w:p>
    <w:p w14:paraId="1A375C43" w14:textId="77777777" w:rsidR="004F4B6B" w:rsidRDefault="004F4B6B" w:rsidP="004F4B6B">
      <w:pPr>
        <w:pStyle w:val="FootnoteText"/>
        <w:ind w:left="1134" w:hanging="1134"/>
        <w:jc w:val="both"/>
        <w:rPr>
          <w:rFonts w:ascii="Times New Roman" w:hAnsi="Times New Roman" w:cs="Times New Roman"/>
          <w:sz w:val="24"/>
          <w:szCs w:val="24"/>
          <w:lang w:val="de-AT"/>
        </w:rPr>
      </w:pPr>
      <w:r w:rsidRPr="004F4B6B">
        <w:rPr>
          <w:rFonts w:ascii="Times New Roman" w:hAnsi="Times New Roman" w:cs="Times New Roman"/>
          <w:sz w:val="24"/>
          <w:szCs w:val="24"/>
          <w:lang w:val="de-AT"/>
        </w:rPr>
        <w:t>Weisheipl</w:t>
      </w:r>
      <w:r>
        <w:rPr>
          <w:rFonts w:ascii="Times New Roman" w:hAnsi="Times New Roman" w:cs="Times New Roman"/>
          <w:sz w:val="24"/>
          <w:szCs w:val="24"/>
          <w:lang w:val="de-AT"/>
        </w:rPr>
        <w:t xml:space="preserve"> </w:t>
      </w:r>
      <w:r w:rsidRPr="004F4B6B">
        <w:rPr>
          <w:rFonts w:ascii="Times New Roman" w:hAnsi="Times New Roman" w:cs="Times New Roman"/>
          <w:sz w:val="24"/>
          <w:szCs w:val="24"/>
          <w:lang w:val="de-AT"/>
        </w:rPr>
        <w:t xml:space="preserve">J., </w:t>
      </w:r>
      <w:r w:rsidRPr="004F4B6B">
        <w:rPr>
          <w:rStyle w:val="Emphasis"/>
          <w:rFonts w:ascii="Times New Roman" w:hAnsi="Times New Roman" w:cs="Times New Roman"/>
          <w:sz w:val="24"/>
          <w:szCs w:val="24"/>
          <w:lang w:val="de-AT"/>
        </w:rPr>
        <w:t>Thomas von Aquin. Sein Leben und seine Theologie</w:t>
      </w:r>
      <w:r w:rsidRPr="004F4B6B">
        <w:rPr>
          <w:rFonts w:ascii="Times New Roman" w:hAnsi="Times New Roman" w:cs="Times New Roman"/>
          <w:sz w:val="24"/>
          <w:szCs w:val="24"/>
          <w:lang w:val="de-AT"/>
        </w:rPr>
        <w:t>, Graz 1980</w:t>
      </w:r>
      <w:r>
        <w:rPr>
          <w:rFonts w:ascii="Times New Roman" w:hAnsi="Times New Roman" w:cs="Times New Roman"/>
          <w:sz w:val="24"/>
          <w:szCs w:val="24"/>
          <w:lang w:val="de-AT"/>
        </w:rPr>
        <w:t>.</w:t>
      </w:r>
    </w:p>
    <w:p w14:paraId="58DB4217" w14:textId="77777777" w:rsidR="004F4B6B" w:rsidRPr="004F4B6B" w:rsidRDefault="004F4B6B" w:rsidP="004F4B6B">
      <w:pPr>
        <w:spacing w:after="0" w:line="240" w:lineRule="auto"/>
        <w:jc w:val="both"/>
        <w:rPr>
          <w:rFonts w:ascii="Times New Roman" w:hAnsi="Times New Roman" w:cs="Times New Roman"/>
          <w:sz w:val="24"/>
          <w:szCs w:val="24"/>
          <w:lang w:val="de-AT"/>
        </w:rPr>
      </w:pPr>
    </w:p>
    <w:sectPr w:rsidR="004F4B6B" w:rsidRPr="004F4B6B" w:rsidSect="00FA2E4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DB704" w14:textId="77777777" w:rsidR="00FD5F80" w:rsidRDefault="00FD5F80" w:rsidP="00C42319">
      <w:pPr>
        <w:spacing w:after="0" w:line="240" w:lineRule="auto"/>
      </w:pPr>
      <w:r>
        <w:separator/>
      </w:r>
    </w:p>
  </w:endnote>
  <w:endnote w:type="continuationSeparator" w:id="0">
    <w:p w14:paraId="35AB49F2" w14:textId="77777777" w:rsidR="00FD5F80" w:rsidRDefault="00FD5F80" w:rsidP="00C42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63FA8" w14:textId="77777777" w:rsidR="00FD5F80" w:rsidRDefault="00FD5F80" w:rsidP="00C42319">
      <w:pPr>
        <w:spacing w:after="0" w:line="240" w:lineRule="auto"/>
      </w:pPr>
      <w:r>
        <w:separator/>
      </w:r>
    </w:p>
  </w:footnote>
  <w:footnote w:type="continuationSeparator" w:id="0">
    <w:p w14:paraId="0DC0BC37" w14:textId="77777777" w:rsidR="00FD5F80" w:rsidRDefault="00FD5F80" w:rsidP="00C42319">
      <w:pPr>
        <w:spacing w:after="0" w:line="240" w:lineRule="auto"/>
      </w:pPr>
      <w:r>
        <w:continuationSeparator/>
      </w:r>
    </w:p>
  </w:footnote>
  <w:footnote w:id="1">
    <w:p w14:paraId="31BF0577" w14:textId="77777777" w:rsidR="00C42319" w:rsidRPr="00760AED" w:rsidRDefault="00C42319" w:rsidP="00C51B41">
      <w:pPr>
        <w:pStyle w:val="FootnoteText"/>
        <w:jc w:val="both"/>
        <w:rPr>
          <w:rFonts w:ascii="Times New Roman" w:hAnsi="Times New Roman" w:cs="Times New Roman"/>
          <w:lang w:val="de-AT"/>
        </w:rPr>
      </w:pPr>
      <w:r w:rsidRPr="00760AED">
        <w:rPr>
          <w:rStyle w:val="FootnoteReference"/>
          <w:rFonts w:ascii="Times New Roman" w:hAnsi="Times New Roman" w:cs="Times New Roman"/>
        </w:rPr>
        <w:footnoteRef/>
      </w:r>
      <w:r w:rsidRPr="00760AED">
        <w:rPr>
          <w:rFonts w:ascii="Times New Roman" w:hAnsi="Times New Roman" w:cs="Times New Roman"/>
          <w:lang w:val="de-AT"/>
        </w:rPr>
        <w:t xml:space="preserve"> </w:t>
      </w:r>
      <w:r w:rsidR="00760AED" w:rsidRPr="00760AED">
        <w:rPr>
          <w:rFonts w:ascii="Times New Roman" w:hAnsi="Times New Roman" w:cs="Times New Roman"/>
          <w:lang w:val="de-AT"/>
        </w:rPr>
        <w:t>Por. W.</w:t>
      </w:r>
      <w:r w:rsidR="00C51B41" w:rsidRPr="00760AED">
        <w:rPr>
          <w:rFonts w:ascii="Times New Roman" w:hAnsi="Times New Roman" w:cs="Times New Roman"/>
          <w:lang w:val="de-AT"/>
        </w:rPr>
        <w:t xml:space="preserve"> Kasper, </w:t>
      </w:r>
      <w:r w:rsidR="00C51B41" w:rsidRPr="00760AED">
        <w:rPr>
          <w:rStyle w:val="Emphasis"/>
          <w:rFonts w:ascii="Times New Roman" w:hAnsi="Times New Roman" w:cs="Times New Roman"/>
          <w:lang w:val="de-AT"/>
        </w:rPr>
        <w:t>Die Wissenschaftspraxis der Theologie</w:t>
      </w:r>
      <w:r w:rsidR="00760AED" w:rsidRPr="00760AED">
        <w:rPr>
          <w:rFonts w:ascii="Times New Roman" w:hAnsi="Times New Roman" w:cs="Times New Roman"/>
          <w:lang w:val="de-AT"/>
        </w:rPr>
        <w:t>, w: W. Kern, H.</w:t>
      </w:r>
      <w:r w:rsidR="00C51B41" w:rsidRPr="00760AED">
        <w:rPr>
          <w:rFonts w:ascii="Times New Roman" w:hAnsi="Times New Roman" w:cs="Times New Roman"/>
          <w:lang w:val="de-AT"/>
        </w:rPr>
        <w:t>J. Pottmeyer</w:t>
      </w:r>
      <w:r w:rsidR="004F4B6B">
        <w:rPr>
          <w:rFonts w:ascii="Times New Roman" w:hAnsi="Times New Roman" w:cs="Times New Roman"/>
          <w:lang w:val="de-AT"/>
        </w:rPr>
        <w:t xml:space="preserve">, M. </w:t>
      </w:r>
      <w:r w:rsidR="004F4B6B" w:rsidRPr="004F4B6B">
        <w:rPr>
          <w:rFonts w:ascii="Times New Roman" w:hAnsi="Times New Roman" w:cs="Times New Roman"/>
          <w:lang w:val="de-AT"/>
        </w:rPr>
        <w:t>Seckler</w:t>
      </w:r>
      <w:r w:rsidR="00760AED" w:rsidRPr="00760AED">
        <w:rPr>
          <w:rFonts w:ascii="Times New Roman" w:hAnsi="Times New Roman" w:cs="Times New Roman"/>
          <w:lang w:val="de-AT"/>
        </w:rPr>
        <w:t xml:space="preserve"> (red.), </w:t>
      </w:r>
      <w:r w:rsidR="00760AED" w:rsidRPr="00760AED">
        <w:rPr>
          <w:rFonts w:ascii="Times New Roman" w:hAnsi="Times New Roman" w:cs="Times New Roman"/>
          <w:i/>
          <w:iCs/>
          <w:lang w:val="de-AT"/>
        </w:rPr>
        <w:t>Handbuch der Fundamentaltheologie</w:t>
      </w:r>
      <w:r w:rsidR="00760AED" w:rsidRPr="00760AED">
        <w:rPr>
          <w:rFonts w:ascii="Times New Roman" w:hAnsi="Times New Roman" w:cs="Times New Roman"/>
          <w:lang w:val="de-AT"/>
        </w:rPr>
        <w:t>, t. 4, Freiburg i. Br. 1988, s. 251.</w:t>
      </w:r>
    </w:p>
  </w:footnote>
  <w:footnote w:id="2">
    <w:p w14:paraId="084168B2" w14:textId="77777777" w:rsidR="00C42319" w:rsidRPr="00760AED" w:rsidRDefault="00C42319" w:rsidP="004F4B6B">
      <w:pPr>
        <w:pStyle w:val="FootnoteText"/>
        <w:jc w:val="both"/>
        <w:rPr>
          <w:rFonts w:ascii="Times New Roman" w:hAnsi="Times New Roman" w:cs="Times New Roman"/>
          <w:lang w:val="de-AT"/>
        </w:rPr>
      </w:pPr>
      <w:r w:rsidRPr="00760AED">
        <w:rPr>
          <w:rStyle w:val="FootnoteReference"/>
          <w:rFonts w:ascii="Times New Roman" w:hAnsi="Times New Roman" w:cs="Times New Roman"/>
        </w:rPr>
        <w:footnoteRef/>
      </w:r>
      <w:r w:rsidRPr="004F4B6B">
        <w:rPr>
          <w:rFonts w:ascii="Times New Roman" w:hAnsi="Times New Roman" w:cs="Times New Roman"/>
        </w:rPr>
        <w:t xml:space="preserve"> </w:t>
      </w:r>
      <w:r w:rsidR="00C51B41" w:rsidRPr="004F4B6B">
        <w:rPr>
          <w:rFonts w:ascii="Times New Roman" w:hAnsi="Times New Roman" w:cs="Times New Roman"/>
        </w:rPr>
        <w:t>Por. w kwestii teologii jako nauki u T</w:t>
      </w:r>
      <w:r w:rsidR="004F4B6B">
        <w:rPr>
          <w:rFonts w:ascii="Times New Roman" w:hAnsi="Times New Roman" w:cs="Times New Roman"/>
        </w:rPr>
        <w:t>omasza z Akwinu</w:t>
      </w:r>
      <w:r w:rsidR="00C51B41" w:rsidRPr="004F4B6B">
        <w:rPr>
          <w:rFonts w:ascii="Times New Roman" w:hAnsi="Times New Roman" w:cs="Times New Roman"/>
        </w:rPr>
        <w:t>: O</w:t>
      </w:r>
      <w:r w:rsidR="004F4B6B" w:rsidRPr="004F4B6B">
        <w:rPr>
          <w:rFonts w:ascii="Times New Roman" w:hAnsi="Times New Roman" w:cs="Times New Roman"/>
        </w:rPr>
        <w:t>.H.</w:t>
      </w:r>
      <w:r w:rsidR="00C51B41" w:rsidRPr="004F4B6B">
        <w:rPr>
          <w:rFonts w:ascii="Times New Roman" w:hAnsi="Times New Roman" w:cs="Times New Roman"/>
        </w:rPr>
        <w:t xml:space="preserve"> Pesch, </w:t>
      </w:r>
      <w:r w:rsidR="00C51B41" w:rsidRPr="004F4B6B">
        <w:rPr>
          <w:rStyle w:val="Emphasis"/>
          <w:rFonts w:ascii="Times New Roman" w:hAnsi="Times New Roman" w:cs="Times New Roman"/>
        </w:rPr>
        <w:t xml:space="preserve">Thomas von Aquin. </w:t>
      </w:r>
      <w:r w:rsidR="00C51B41" w:rsidRPr="00760AED">
        <w:rPr>
          <w:rStyle w:val="Emphasis"/>
          <w:rFonts w:ascii="Times New Roman" w:hAnsi="Times New Roman" w:cs="Times New Roman"/>
          <w:lang w:val="de-AT"/>
        </w:rPr>
        <w:t>Grenze und Größe mittelalterlicher Theologie</w:t>
      </w:r>
      <w:r w:rsidR="00C51B41" w:rsidRPr="00760AED">
        <w:rPr>
          <w:rFonts w:ascii="Times New Roman" w:hAnsi="Times New Roman" w:cs="Times New Roman"/>
          <w:lang w:val="de-AT"/>
        </w:rPr>
        <w:t>, Mainz 198</w:t>
      </w:r>
      <w:r w:rsidR="004F4B6B">
        <w:rPr>
          <w:rFonts w:ascii="Times New Roman" w:hAnsi="Times New Roman" w:cs="Times New Roman"/>
          <w:lang w:val="de-AT"/>
        </w:rPr>
        <w:t>8; szczególnie s. 127–139; J.</w:t>
      </w:r>
      <w:r w:rsidR="00C51B41" w:rsidRPr="00760AED">
        <w:rPr>
          <w:rFonts w:ascii="Times New Roman" w:hAnsi="Times New Roman" w:cs="Times New Roman"/>
          <w:lang w:val="de-AT"/>
        </w:rPr>
        <w:t xml:space="preserve"> Weisheipl, </w:t>
      </w:r>
      <w:r w:rsidR="00C51B41" w:rsidRPr="00760AED">
        <w:rPr>
          <w:rStyle w:val="Emphasis"/>
          <w:rFonts w:ascii="Times New Roman" w:hAnsi="Times New Roman" w:cs="Times New Roman"/>
          <w:lang w:val="de-AT"/>
        </w:rPr>
        <w:t>Thomas von Aquin. Sein Leben und seine Theologie</w:t>
      </w:r>
      <w:r w:rsidR="00C51B41" w:rsidRPr="00760AED">
        <w:rPr>
          <w:rFonts w:ascii="Times New Roman" w:hAnsi="Times New Roman" w:cs="Times New Roman"/>
          <w:lang w:val="de-AT"/>
        </w:rPr>
        <w:t>, Graz 1980, s. 201–214.</w:t>
      </w:r>
    </w:p>
  </w:footnote>
  <w:footnote w:id="3">
    <w:p w14:paraId="505A2C8F" w14:textId="77777777" w:rsidR="005D07C9" w:rsidRPr="00760AED" w:rsidRDefault="005D07C9" w:rsidP="00C51B41">
      <w:pPr>
        <w:pStyle w:val="FootnoteText"/>
        <w:jc w:val="both"/>
        <w:rPr>
          <w:rFonts w:ascii="Times New Roman" w:hAnsi="Times New Roman" w:cs="Times New Roman"/>
          <w:lang w:val="de-AT"/>
        </w:rPr>
      </w:pPr>
      <w:r w:rsidRPr="00760AED">
        <w:rPr>
          <w:rStyle w:val="FootnoteReference"/>
          <w:rFonts w:ascii="Times New Roman" w:hAnsi="Times New Roman" w:cs="Times New Roman"/>
        </w:rPr>
        <w:footnoteRef/>
      </w:r>
      <w:r w:rsidRPr="00760AED">
        <w:rPr>
          <w:rFonts w:ascii="Times New Roman" w:hAnsi="Times New Roman" w:cs="Times New Roman"/>
          <w:lang w:val="de-AT"/>
        </w:rPr>
        <w:t xml:space="preserve"> </w:t>
      </w:r>
      <w:r w:rsidR="004F4B6B">
        <w:rPr>
          <w:rFonts w:ascii="Times New Roman" w:hAnsi="Times New Roman" w:cs="Times New Roman"/>
          <w:lang w:val="de-AT"/>
        </w:rPr>
        <w:t>M.D.</w:t>
      </w:r>
      <w:r w:rsidR="00C51B41" w:rsidRPr="00760AED">
        <w:rPr>
          <w:rFonts w:ascii="Times New Roman" w:hAnsi="Times New Roman" w:cs="Times New Roman"/>
          <w:lang w:val="de-AT"/>
        </w:rPr>
        <w:t xml:space="preserve"> Chenu, </w:t>
      </w:r>
      <w:r w:rsidR="00C51B41" w:rsidRPr="00760AED">
        <w:rPr>
          <w:rStyle w:val="Emphasis"/>
          <w:rFonts w:ascii="Times New Roman" w:hAnsi="Times New Roman" w:cs="Times New Roman"/>
          <w:lang w:val="de-AT"/>
        </w:rPr>
        <w:t>Das Werk des Hl. Thomas von Aquin</w:t>
      </w:r>
      <w:r w:rsidR="00C51B41" w:rsidRPr="00760AED">
        <w:rPr>
          <w:rFonts w:ascii="Times New Roman" w:hAnsi="Times New Roman" w:cs="Times New Roman"/>
          <w:lang w:val="de-AT"/>
        </w:rPr>
        <w:t>, Heidelberg – Graz 1960.</w:t>
      </w:r>
    </w:p>
  </w:footnote>
  <w:footnote w:id="4">
    <w:p w14:paraId="2E6C571F" w14:textId="77777777" w:rsidR="005D07C9" w:rsidRPr="00760AED" w:rsidRDefault="005D07C9" w:rsidP="00C51B41">
      <w:pPr>
        <w:pStyle w:val="FootnoteText"/>
        <w:jc w:val="both"/>
        <w:rPr>
          <w:rFonts w:ascii="Times New Roman" w:hAnsi="Times New Roman" w:cs="Times New Roman"/>
        </w:rPr>
      </w:pPr>
      <w:r w:rsidRPr="00760AED">
        <w:rPr>
          <w:rStyle w:val="FootnoteReference"/>
          <w:rFonts w:ascii="Times New Roman" w:hAnsi="Times New Roman" w:cs="Times New Roman"/>
        </w:rPr>
        <w:footnoteRef/>
      </w:r>
      <w:r w:rsidRPr="00760AED">
        <w:rPr>
          <w:rFonts w:ascii="Times New Roman" w:hAnsi="Times New Roman" w:cs="Times New Roman"/>
        </w:rPr>
        <w:t xml:space="preserve"> </w:t>
      </w:r>
      <w:r w:rsidR="004F4B6B">
        <w:rPr>
          <w:rFonts w:ascii="Times New Roman" w:hAnsi="Times New Roman" w:cs="Times New Roman"/>
        </w:rPr>
        <w:t>Por. T</w:t>
      </w:r>
      <w:r w:rsidR="00C51B41" w:rsidRPr="00760AED">
        <w:rPr>
          <w:rFonts w:ascii="Times New Roman" w:hAnsi="Times New Roman" w:cs="Times New Roman"/>
        </w:rPr>
        <w:t>amże, s. 138–174.</w:t>
      </w:r>
    </w:p>
  </w:footnote>
  <w:footnote w:id="5">
    <w:p w14:paraId="0D570CB1" w14:textId="77777777" w:rsidR="009C524F" w:rsidRPr="00760AED" w:rsidRDefault="009C524F" w:rsidP="00C51B41">
      <w:pPr>
        <w:pStyle w:val="FootnoteText"/>
        <w:jc w:val="both"/>
        <w:rPr>
          <w:rFonts w:ascii="Times New Roman" w:hAnsi="Times New Roman" w:cs="Times New Roman"/>
        </w:rPr>
      </w:pPr>
      <w:r w:rsidRPr="00760AED">
        <w:rPr>
          <w:rStyle w:val="FootnoteReference"/>
          <w:rFonts w:ascii="Times New Roman" w:hAnsi="Times New Roman" w:cs="Times New Roman"/>
        </w:rPr>
        <w:footnoteRef/>
      </w:r>
      <w:r w:rsidRPr="00760AED">
        <w:rPr>
          <w:rFonts w:ascii="Times New Roman" w:hAnsi="Times New Roman" w:cs="Times New Roman"/>
        </w:rPr>
        <w:t xml:space="preserve"> </w:t>
      </w:r>
      <w:r w:rsidR="004F4B6B">
        <w:rPr>
          <w:rFonts w:ascii="Times New Roman" w:hAnsi="Times New Roman" w:cs="Times New Roman"/>
        </w:rPr>
        <w:t>Por. T</w:t>
      </w:r>
      <w:r w:rsidR="00C51B41" w:rsidRPr="00760AED">
        <w:rPr>
          <w:rFonts w:ascii="Times New Roman" w:hAnsi="Times New Roman" w:cs="Times New Roman"/>
        </w:rPr>
        <w:t>amże, s. 154–173.</w:t>
      </w:r>
    </w:p>
  </w:footnote>
  <w:footnote w:id="6">
    <w:p w14:paraId="5F8EA044" w14:textId="77777777" w:rsidR="004E2902" w:rsidRPr="00760AED" w:rsidRDefault="004E2902" w:rsidP="00C51B41">
      <w:pPr>
        <w:pStyle w:val="FootnoteText"/>
        <w:jc w:val="both"/>
        <w:rPr>
          <w:rFonts w:ascii="Times New Roman" w:hAnsi="Times New Roman" w:cs="Times New Roman"/>
          <w:lang w:val="de-AT"/>
        </w:rPr>
      </w:pPr>
      <w:r w:rsidRPr="00760AED">
        <w:rPr>
          <w:rStyle w:val="FootnoteReference"/>
          <w:rFonts w:ascii="Times New Roman" w:hAnsi="Times New Roman" w:cs="Times New Roman"/>
        </w:rPr>
        <w:footnoteRef/>
      </w:r>
      <w:r w:rsidRPr="00760AED">
        <w:rPr>
          <w:rFonts w:ascii="Times New Roman" w:hAnsi="Times New Roman" w:cs="Times New Roman"/>
        </w:rPr>
        <w:t xml:space="preserve"> </w:t>
      </w:r>
      <w:r w:rsidR="00C51B41" w:rsidRPr="00760AED">
        <w:rPr>
          <w:rFonts w:ascii="Times New Roman" w:hAnsi="Times New Roman" w:cs="Times New Roman"/>
        </w:rPr>
        <w:t xml:space="preserve">W kwestii życia i dzieła Melchiora Cano por. </w:t>
      </w:r>
      <w:r w:rsidR="004F4B6B">
        <w:rPr>
          <w:rFonts w:ascii="Times New Roman" w:hAnsi="Times New Roman" w:cs="Times New Roman"/>
          <w:lang w:val="de-AT"/>
        </w:rPr>
        <w:t>B.</w:t>
      </w:r>
      <w:r w:rsidR="00C51B41" w:rsidRPr="00760AED">
        <w:rPr>
          <w:rFonts w:ascii="Times New Roman" w:hAnsi="Times New Roman" w:cs="Times New Roman"/>
          <w:lang w:val="de-AT"/>
        </w:rPr>
        <w:t xml:space="preserve"> Körner, </w:t>
      </w:r>
      <w:r w:rsidR="00C51B41" w:rsidRPr="00760AED">
        <w:rPr>
          <w:rStyle w:val="Emphasis"/>
          <w:rFonts w:ascii="Times New Roman" w:hAnsi="Times New Roman" w:cs="Times New Roman"/>
          <w:lang w:val="de-AT"/>
        </w:rPr>
        <w:t>Melchior Cano, De locis theologicis. Ein Beitrag zur Theologischen Erkenntnislehre</w:t>
      </w:r>
      <w:r w:rsidR="00C51B41" w:rsidRPr="00760AED">
        <w:rPr>
          <w:rFonts w:ascii="Times New Roman" w:hAnsi="Times New Roman" w:cs="Times New Roman"/>
          <w:lang w:val="de-AT"/>
        </w:rPr>
        <w:t>, Graz 1994, s. 69–89.</w:t>
      </w:r>
    </w:p>
  </w:footnote>
  <w:footnote w:id="7">
    <w:p w14:paraId="7DA732DB" w14:textId="77777777" w:rsidR="00C37A69" w:rsidRPr="00760AED" w:rsidRDefault="00C37A69" w:rsidP="0061429F">
      <w:pPr>
        <w:pStyle w:val="FootnoteText"/>
        <w:jc w:val="both"/>
        <w:rPr>
          <w:rFonts w:ascii="Times New Roman" w:hAnsi="Times New Roman" w:cs="Times New Roman"/>
        </w:rPr>
      </w:pPr>
      <w:r w:rsidRPr="00760AED">
        <w:rPr>
          <w:rStyle w:val="FootnoteReference"/>
          <w:rFonts w:ascii="Times New Roman" w:hAnsi="Times New Roman" w:cs="Times New Roman"/>
        </w:rPr>
        <w:footnoteRef/>
      </w:r>
      <w:r w:rsidRPr="00760AED">
        <w:rPr>
          <w:rFonts w:ascii="Times New Roman" w:hAnsi="Times New Roman" w:cs="Times New Roman"/>
        </w:rPr>
        <w:t xml:space="preserve"> </w:t>
      </w:r>
      <w:r w:rsidR="00C51B41" w:rsidRPr="00760AED">
        <w:rPr>
          <w:rFonts w:ascii="Times New Roman" w:hAnsi="Times New Roman" w:cs="Times New Roman"/>
        </w:rPr>
        <w:t>Tamże, s. 108–114.</w:t>
      </w:r>
    </w:p>
  </w:footnote>
  <w:footnote w:id="8">
    <w:p w14:paraId="1256F9D1" w14:textId="77777777" w:rsidR="00D55D7A" w:rsidRPr="00A23AC1" w:rsidRDefault="00D55D7A" w:rsidP="0061429F">
      <w:pPr>
        <w:pStyle w:val="FootnoteText"/>
        <w:jc w:val="both"/>
        <w:rPr>
          <w:rFonts w:ascii="Times New Roman" w:hAnsi="Times New Roman" w:cs="Times New Roman"/>
          <w:lang w:val="en-GB"/>
        </w:rPr>
      </w:pPr>
      <w:r w:rsidRPr="00760AED">
        <w:rPr>
          <w:rStyle w:val="FootnoteReference"/>
          <w:rFonts w:ascii="Times New Roman" w:hAnsi="Times New Roman" w:cs="Times New Roman"/>
        </w:rPr>
        <w:footnoteRef/>
      </w:r>
      <w:r w:rsidRPr="00760AED">
        <w:rPr>
          <w:rFonts w:ascii="Times New Roman" w:hAnsi="Times New Roman" w:cs="Times New Roman"/>
        </w:rPr>
        <w:t xml:space="preserve"> </w:t>
      </w:r>
      <w:r w:rsidR="00C51B41" w:rsidRPr="00760AED">
        <w:rPr>
          <w:rFonts w:ascii="Times New Roman" w:hAnsi="Times New Roman" w:cs="Times New Roman"/>
        </w:rPr>
        <w:t>W celu szczegółowego zapo</w:t>
      </w:r>
      <w:r w:rsidR="004F4B6B">
        <w:rPr>
          <w:rFonts w:ascii="Times New Roman" w:hAnsi="Times New Roman" w:cs="Times New Roman"/>
        </w:rPr>
        <w:t xml:space="preserve">znania się z argumentacją por. </w:t>
      </w:r>
      <w:r w:rsidR="004F4B6B" w:rsidRPr="00A23AC1">
        <w:rPr>
          <w:rFonts w:ascii="Times New Roman" w:hAnsi="Times New Roman" w:cs="Times New Roman"/>
          <w:lang w:val="en-GB"/>
        </w:rPr>
        <w:t>T</w:t>
      </w:r>
      <w:r w:rsidR="00C51B41" w:rsidRPr="00A23AC1">
        <w:rPr>
          <w:rFonts w:ascii="Times New Roman" w:hAnsi="Times New Roman" w:cs="Times New Roman"/>
          <w:lang w:val="en-GB"/>
        </w:rPr>
        <w:t>amże, s. 146–160.</w:t>
      </w:r>
    </w:p>
  </w:footnote>
  <w:footnote w:id="9">
    <w:p w14:paraId="2DBA7CF3" w14:textId="77777777" w:rsidR="00B76D70" w:rsidRPr="00A23AC1" w:rsidRDefault="00B76D70" w:rsidP="0061429F">
      <w:pPr>
        <w:pStyle w:val="FootnoteText"/>
        <w:jc w:val="both"/>
        <w:rPr>
          <w:rFonts w:ascii="Times New Roman" w:hAnsi="Times New Roman" w:cs="Times New Roman"/>
          <w:lang w:val="en-GB"/>
        </w:rPr>
      </w:pPr>
      <w:r w:rsidRPr="00760AED">
        <w:rPr>
          <w:rStyle w:val="FootnoteReference"/>
          <w:rFonts w:ascii="Times New Roman" w:hAnsi="Times New Roman" w:cs="Times New Roman"/>
        </w:rPr>
        <w:footnoteRef/>
      </w:r>
      <w:r w:rsidRPr="00A23AC1">
        <w:rPr>
          <w:rFonts w:ascii="Times New Roman" w:hAnsi="Times New Roman" w:cs="Times New Roman"/>
          <w:lang w:val="en-GB"/>
        </w:rPr>
        <w:t xml:space="preserve"> </w:t>
      </w:r>
      <w:r w:rsidR="00C51B41" w:rsidRPr="00A23AC1">
        <w:rPr>
          <w:rFonts w:ascii="Times New Roman" w:hAnsi="Times New Roman" w:cs="Times New Roman"/>
          <w:lang w:val="en-GB"/>
        </w:rPr>
        <w:t xml:space="preserve">Thomas von Aquin, </w:t>
      </w:r>
      <w:r w:rsidR="00C51B41" w:rsidRPr="00A23AC1">
        <w:rPr>
          <w:rStyle w:val="Emphasis"/>
          <w:rFonts w:ascii="Times New Roman" w:hAnsi="Times New Roman" w:cs="Times New Roman"/>
          <w:lang w:val="en-GB"/>
        </w:rPr>
        <w:t>Summa Theologiae</w:t>
      </w:r>
      <w:r w:rsidR="00C51B41" w:rsidRPr="00A23AC1">
        <w:rPr>
          <w:rFonts w:ascii="Times New Roman" w:hAnsi="Times New Roman" w:cs="Times New Roman"/>
          <w:lang w:val="en-GB"/>
        </w:rPr>
        <w:t>, I.1.8 ad 2.</w:t>
      </w:r>
    </w:p>
  </w:footnote>
  <w:footnote w:id="10">
    <w:p w14:paraId="66584EB1" w14:textId="77777777" w:rsidR="00E8483F" w:rsidRPr="00760AED" w:rsidRDefault="00E8483F" w:rsidP="00C51B41">
      <w:pPr>
        <w:pStyle w:val="FootnoteText"/>
        <w:jc w:val="both"/>
        <w:rPr>
          <w:rFonts w:ascii="Times New Roman" w:hAnsi="Times New Roman" w:cs="Times New Roman"/>
          <w:lang w:val="de-AT"/>
        </w:rPr>
      </w:pPr>
      <w:r w:rsidRPr="00760AED">
        <w:rPr>
          <w:rStyle w:val="FootnoteReference"/>
          <w:rFonts w:ascii="Times New Roman" w:hAnsi="Times New Roman" w:cs="Times New Roman"/>
        </w:rPr>
        <w:footnoteRef/>
      </w:r>
      <w:r w:rsidRPr="00A23AC1">
        <w:rPr>
          <w:rFonts w:ascii="Times New Roman" w:hAnsi="Times New Roman" w:cs="Times New Roman"/>
          <w:lang w:val="en-GB"/>
        </w:rPr>
        <w:t xml:space="preserve"> </w:t>
      </w:r>
      <w:r w:rsidR="004F4B6B" w:rsidRPr="00A23AC1">
        <w:rPr>
          <w:rFonts w:ascii="Times New Roman" w:hAnsi="Times New Roman" w:cs="Times New Roman"/>
          <w:lang w:val="en-GB"/>
        </w:rPr>
        <w:t>Por. H.C.</w:t>
      </w:r>
      <w:r w:rsidR="00C51B41" w:rsidRPr="00A23AC1">
        <w:rPr>
          <w:rFonts w:ascii="Times New Roman" w:hAnsi="Times New Roman" w:cs="Times New Roman"/>
          <w:lang w:val="en-GB"/>
        </w:rPr>
        <w:t xml:space="preserve"> Freiesleben, </w:t>
      </w:r>
      <w:r w:rsidR="00C51B41" w:rsidRPr="00A23AC1">
        <w:rPr>
          <w:rStyle w:val="Emphasis"/>
          <w:rFonts w:ascii="Times New Roman" w:hAnsi="Times New Roman" w:cs="Times New Roman"/>
          <w:lang w:val="en-GB"/>
        </w:rPr>
        <w:t xml:space="preserve">Galilei. </w:t>
      </w:r>
      <w:r w:rsidR="00C51B41" w:rsidRPr="00760AED">
        <w:rPr>
          <w:rStyle w:val="Emphasis"/>
          <w:rFonts w:ascii="Times New Roman" w:hAnsi="Times New Roman" w:cs="Times New Roman"/>
          <w:lang w:val="de-AT"/>
        </w:rPr>
        <w:t>Physik und Glaube an der Wende zur Neuzeit</w:t>
      </w:r>
      <w:r w:rsidR="004F4B6B">
        <w:rPr>
          <w:rFonts w:ascii="Times New Roman" w:hAnsi="Times New Roman" w:cs="Times New Roman"/>
          <w:lang w:val="de-AT"/>
        </w:rPr>
        <w:t xml:space="preserve">, Stuttgart </w:t>
      </w:r>
      <w:r w:rsidR="00C51B41" w:rsidRPr="00760AED">
        <w:rPr>
          <w:rFonts w:ascii="Times New Roman" w:hAnsi="Times New Roman" w:cs="Times New Roman"/>
          <w:lang w:val="de-AT"/>
        </w:rPr>
        <w:t>1969.</w:t>
      </w:r>
    </w:p>
  </w:footnote>
  <w:footnote w:id="11">
    <w:p w14:paraId="64CFC307" w14:textId="77777777" w:rsidR="00C236CE" w:rsidRPr="00760AED" w:rsidRDefault="00C236CE" w:rsidP="00C51B41">
      <w:pPr>
        <w:pStyle w:val="FootnoteText"/>
        <w:jc w:val="both"/>
        <w:rPr>
          <w:rFonts w:ascii="Times New Roman" w:hAnsi="Times New Roman" w:cs="Times New Roman"/>
          <w:lang w:val="de-AT"/>
        </w:rPr>
      </w:pPr>
      <w:r w:rsidRPr="00760AED">
        <w:rPr>
          <w:rStyle w:val="FootnoteReference"/>
          <w:rFonts w:ascii="Times New Roman" w:hAnsi="Times New Roman" w:cs="Times New Roman"/>
        </w:rPr>
        <w:footnoteRef/>
      </w:r>
      <w:r w:rsidRPr="00760AED">
        <w:rPr>
          <w:rFonts w:ascii="Times New Roman" w:hAnsi="Times New Roman" w:cs="Times New Roman"/>
          <w:lang w:val="de-AT"/>
        </w:rPr>
        <w:t xml:space="preserve"> </w:t>
      </w:r>
      <w:r w:rsidR="00C51B41" w:rsidRPr="00760AED">
        <w:rPr>
          <w:rFonts w:ascii="Times New Roman" w:hAnsi="Times New Roman" w:cs="Times New Roman"/>
          <w:lang w:val="de-AT"/>
        </w:rPr>
        <w:t xml:space="preserve">W kwestii oddziaływania oświecenia </w:t>
      </w:r>
      <w:r w:rsidR="004F4B6B">
        <w:rPr>
          <w:rFonts w:ascii="Times New Roman" w:hAnsi="Times New Roman" w:cs="Times New Roman"/>
          <w:lang w:val="de-AT"/>
        </w:rPr>
        <w:t>na teologię por. przykładowo M. Seckler, M.</w:t>
      </w:r>
      <w:r w:rsidR="00C51B41" w:rsidRPr="00760AED">
        <w:rPr>
          <w:rFonts w:ascii="Times New Roman" w:hAnsi="Times New Roman" w:cs="Times New Roman"/>
          <w:lang w:val="de-AT"/>
        </w:rPr>
        <w:t xml:space="preserve"> Kessler, </w:t>
      </w:r>
      <w:r w:rsidR="00C51B41" w:rsidRPr="00760AED">
        <w:rPr>
          <w:rStyle w:val="Emphasis"/>
          <w:rFonts w:ascii="Times New Roman" w:hAnsi="Times New Roman" w:cs="Times New Roman"/>
          <w:lang w:val="de-AT"/>
        </w:rPr>
        <w:t>Die Kritik der Offenbarung</w:t>
      </w:r>
      <w:r w:rsidR="004F4B6B">
        <w:rPr>
          <w:rFonts w:ascii="Times New Roman" w:hAnsi="Times New Roman" w:cs="Times New Roman"/>
          <w:lang w:val="de-AT"/>
        </w:rPr>
        <w:t>, w: W. Kern, H.J. Pottmeyer, M.</w:t>
      </w:r>
      <w:r w:rsidR="00C51B41" w:rsidRPr="00760AED">
        <w:rPr>
          <w:rFonts w:ascii="Times New Roman" w:hAnsi="Times New Roman" w:cs="Times New Roman"/>
          <w:lang w:val="de-AT"/>
        </w:rPr>
        <w:t xml:space="preserve"> Seckler (red.), </w:t>
      </w:r>
      <w:r w:rsidR="00C51B41" w:rsidRPr="00760AED">
        <w:rPr>
          <w:rStyle w:val="Emphasis"/>
          <w:rFonts w:ascii="Times New Roman" w:hAnsi="Times New Roman" w:cs="Times New Roman"/>
          <w:lang w:val="de-AT"/>
        </w:rPr>
        <w:t>Handbuch der Fundamentaltheologie</w:t>
      </w:r>
      <w:r w:rsidR="00C51B41" w:rsidRPr="00760AED">
        <w:rPr>
          <w:rFonts w:ascii="Times New Roman" w:hAnsi="Times New Roman" w:cs="Times New Roman"/>
          <w:lang w:val="de-AT"/>
        </w:rPr>
        <w:t xml:space="preserve">, t. 2, </w:t>
      </w:r>
      <w:r w:rsidR="004F4B6B">
        <w:rPr>
          <w:rFonts w:ascii="Times New Roman" w:hAnsi="Times New Roman" w:cs="Times New Roman"/>
          <w:lang w:val="de-AT"/>
        </w:rPr>
        <w:t>Freiburg i. Br. 1985, s. 29–59</w:t>
      </w:r>
      <w:r w:rsidR="00C51B41" w:rsidRPr="00760AED">
        <w:rPr>
          <w:rFonts w:ascii="Times New Roman" w:hAnsi="Times New Roman" w:cs="Times New Roman"/>
          <w:lang w:val="de-AT"/>
        </w:rPr>
        <w:t>.</w:t>
      </w:r>
    </w:p>
  </w:footnote>
  <w:footnote w:id="12">
    <w:p w14:paraId="1179BE82" w14:textId="77777777" w:rsidR="00C236CE" w:rsidRPr="004F4B6B" w:rsidRDefault="00C236CE" w:rsidP="004F4B6B">
      <w:pPr>
        <w:pStyle w:val="FootnoteText"/>
        <w:jc w:val="both"/>
        <w:rPr>
          <w:rFonts w:ascii="Times New Roman" w:hAnsi="Times New Roman" w:cs="Times New Roman"/>
          <w:lang w:val="de-AT"/>
        </w:rPr>
      </w:pPr>
      <w:r w:rsidRPr="00760AED">
        <w:rPr>
          <w:rStyle w:val="FootnoteReference"/>
          <w:rFonts w:ascii="Times New Roman" w:hAnsi="Times New Roman" w:cs="Times New Roman"/>
        </w:rPr>
        <w:footnoteRef/>
      </w:r>
      <w:r w:rsidRPr="00760AED">
        <w:rPr>
          <w:rFonts w:ascii="Times New Roman" w:hAnsi="Times New Roman" w:cs="Times New Roman"/>
        </w:rPr>
        <w:t xml:space="preserve"> </w:t>
      </w:r>
      <w:r w:rsidR="00C51B41" w:rsidRPr="00760AED">
        <w:rPr>
          <w:rFonts w:ascii="Times New Roman" w:hAnsi="Times New Roman" w:cs="Times New Roman"/>
        </w:rPr>
        <w:t xml:space="preserve">W skrócie i informacyjnie por. </w:t>
      </w:r>
      <w:r w:rsidR="004F4B6B">
        <w:rPr>
          <w:rFonts w:ascii="Times New Roman" w:hAnsi="Times New Roman" w:cs="Times New Roman"/>
          <w:lang w:val="de-AT"/>
        </w:rPr>
        <w:t>M.</w:t>
      </w:r>
      <w:r w:rsidR="00C51B41" w:rsidRPr="00760AED">
        <w:rPr>
          <w:rFonts w:ascii="Times New Roman" w:hAnsi="Times New Roman" w:cs="Times New Roman"/>
          <w:lang w:val="de-AT"/>
        </w:rPr>
        <w:t xml:space="preserve"> Seckler, </w:t>
      </w:r>
      <w:r w:rsidR="00C51B41" w:rsidRPr="00760AED">
        <w:rPr>
          <w:rStyle w:val="Emphasis"/>
          <w:rFonts w:ascii="Times New Roman" w:hAnsi="Times New Roman" w:cs="Times New Roman"/>
          <w:lang w:val="de-AT"/>
        </w:rPr>
        <w:t>Apologetik</w:t>
      </w:r>
      <w:r w:rsidR="00C51B41" w:rsidRPr="00760AED">
        <w:rPr>
          <w:rFonts w:ascii="Times New Roman" w:hAnsi="Times New Roman" w:cs="Times New Roman"/>
          <w:lang w:val="de-AT"/>
        </w:rPr>
        <w:t>, w: L</w:t>
      </w:r>
      <w:r w:rsidR="004F4B6B">
        <w:rPr>
          <w:rFonts w:ascii="Times New Roman" w:hAnsi="Times New Roman" w:cs="Times New Roman"/>
          <w:lang w:val="de-AT"/>
        </w:rPr>
        <w:t>ThK3 t. 1, s. 834–842. W tle M.</w:t>
      </w:r>
      <w:r w:rsidR="00C51B41" w:rsidRPr="00760AED">
        <w:rPr>
          <w:rFonts w:ascii="Times New Roman" w:hAnsi="Times New Roman" w:cs="Times New Roman"/>
          <w:lang w:val="de-AT"/>
        </w:rPr>
        <w:t xml:space="preserve"> Seckler, </w:t>
      </w:r>
      <w:r w:rsidR="00C51B41" w:rsidRPr="00760AED">
        <w:rPr>
          <w:rStyle w:val="Emphasis"/>
          <w:rFonts w:ascii="Times New Roman" w:hAnsi="Times New Roman" w:cs="Times New Roman"/>
          <w:lang w:val="de-AT"/>
        </w:rPr>
        <w:t>Fundamentaltheologie. Aufgaben und Aufbau, Begriff und Name</w:t>
      </w:r>
      <w:r w:rsidR="00C51B41" w:rsidRPr="00760AED">
        <w:rPr>
          <w:rFonts w:ascii="Times New Roman" w:hAnsi="Times New Roman" w:cs="Times New Roman"/>
          <w:lang w:val="de-AT"/>
        </w:rPr>
        <w:t xml:space="preserve">, w: </w:t>
      </w:r>
      <w:r w:rsidR="004F4B6B" w:rsidRPr="00760AED">
        <w:rPr>
          <w:rFonts w:ascii="Times New Roman" w:hAnsi="Times New Roman" w:cs="Times New Roman"/>
          <w:lang w:val="de-AT"/>
        </w:rPr>
        <w:t>W. Kern, H.J. Pottmeyer</w:t>
      </w:r>
      <w:r w:rsidR="004F4B6B">
        <w:rPr>
          <w:rFonts w:ascii="Times New Roman" w:hAnsi="Times New Roman" w:cs="Times New Roman"/>
          <w:lang w:val="de-AT"/>
        </w:rPr>
        <w:t xml:space="preserve">, M. </w:t>
      </w:r>
      <w:r w:rsidR="004F4B6B" w:rsidRPr="004F4B6B">
        <w:rPr>
          <w:rFonts w:ascii="Times New Roman" w:hAnsi="Times New Roman" w:cs="Times New Roman"/>
          <w:lang w:val="de-AT"/>
        </w:rPr>
        <w:t>Seckler</w:t>
      </w:r>
      <w:r w:rsidR="004F4B6B" w:rsidRPr="00760AED">
        <w:rPr>
          <w:rFonts w:ascii="Times New Roman" w:hAnsi="Times New Roman" w:cs="Times New Roman"/>
          <w:lang w:val="de-AT"/>
        </w:rPr>
        <w:t xml:space="preserve"> (red.), </w:t>
      </w:r>
      <w:r w:rsidR="004F4B6B" w:rsidRPr="00760AED">
        <w:rPr>
          <w:rFonts w:ascii="Times New Roman" w:hAnsi="Times New Roman" w:cs="Times New Roman"/>
          <w:i/>
          <w:iCs/>
          <w:lang w:val="de-AT"/>
        </w:rPr>
        <w:t>Handbuch der Fundamentaltheologie</w:t>
      </w:r>
      <w:r w:rsidR="004F4B6B" w:rsidRPr="00760AED">
        <w:rPr>
          <w:rFonts w:ascii="Times New Roman" w:hAnsi="Times New Roman" w:cs="Times New Roman"/>
          <w:lang w:val="de-AT"/>
        </w:rPr>
        <w:t>, t. 4, Freiburg i. Br. 1988,</w:t>
      </w:r>
      <w:r w:rsidR="00C51B41" w:rsidRPr="004F4B6B">
        <w:rPr>
          <w:rFonts w:ascii="Times New Roman" w:hAnsi="Times New Roman" w:cs="Times New Roman"/>
          <w:lang w:val="de-AT"/>
        </w:rPr>
        <w:t xml:space="preserve"> s. 450–514; szczególnie s. 456–461.</w:t>
      </w:r>
    </w:p>
  </w:footnote>
  <w:footnote w:id="13">
    <w:p w14:paraId="068E4856" w14:textId="77777777" w:rsidR="00BE2099" w:rsidRPr="00A23AC1" w:rsidRDefault="00BE2099" w:rsidP="004F4B6B">
      <w:pPr>
        <w:pStyle w:val="FootnoteText"/>
        <w:jc w:val="both"/>
        <w:rPr>
          <w:rFonts w:ascii="Times New Roman" w:hAnsi="Times New Roman" w:cs="Times New Roman"/>
          <w:lang w:val="en-GB"/>
        </w:rPr>
      </w:pPr>
      <w:r w:rsidRPr="00760AED">
        <w:rPr>
          <w:rStyle w:val="FootnoteReference"/>
          <w:rFonts w:ascii="Times New Roman" w:hAnsi="Times New Roman" w:cs="Times New Roman"/>
        </w:rPr>
        <w:footnoteRef/>
      </w:r>
      <w:r w:rsidRPr="00A23AC1">
        <w:rPr>
          <w:rFonts w:ascii="Times New Roman" w:hAnsi="Times New Roman" w:cs="Times New Roman"/>
          <w:lang w:val="en-GB"/>
        </w:rPr>
        <w:t xml:space="preserve"> </w:t>
      </w:r>
      <w:r w:rsidR="00C51B41" w:rsidRPr="00A23AC1">
        <w:rPr>
          <w:rFonts w:ascii="Times New Roman" w:hAnsi="Times New Roman" w:cs="Times New Roman"/>
          <w:lang w:val="en-GB"/>
        </w:rPr>
        <w:t xml:space="preserve">Por. </w:t>
      </w:r>
      <w:r w:rsidR="004F4B6B" w:rsidRPr="00A23AC1">
        <w:rPr>
          <w:rFonts w:ascii="Times New Roman" w:hAnsi="Times New Roman" w:cs="Times New Roman"/>
          <w:lang w:val="en-GB"/>
        </w:rPr>
        <w:t xml:space="preserve">M. </w:t>
      </w:r>
      <w:r w:rsidR="00C51B41" w:rsidRPr="00A23AC1">
        <w:rPr>
          <w:rFonts w:ascii="Times New Roman" w:hAnsi="Times New Roman" w:cs="Times New Roman"/>
          <w:lang w:val="en-GB"/>
        </w:rPr>
        <w:t xml:space="preserve">Seckler, </w:t>
      </w:r>
      <w:r w:rsidR="00C51B41" w:rsidRPr="00A23AC1">
        <w:rPr>
          <w:rStyle w:val="Emphasis"/>
          <w:rFonts w:ascii="Times New Roman" w:hAnsi="Times New Roman" w:cs="Times New Roman"/>
          <w:lang w:val="en-GB"/>
        </w:rPr>
        <w:t>Apologetik</w:t>
      </w:r>
      <w:r w:rsidR="00C51B41" w:rsidRPr="00A23AC1">
        <w:rPr>
          <w:rFonts w:ascii="Times New Roman" w:hAnsi="Times New Roman" w:cs="Times New Roman"/>
          <w:lang w:val="en-GB"/>
        </w:rPr>
        <w:t>, s. 839</w:t>
      </w:r>
      <w:r w:rsidR="004C3E41" w:rsidRPr="00A23AC1">
        <w:rPr>
          <w:rFonts w:ascii="Times New Roman" w:hAnsi="Times New Roman" w:cs="Times New Roman"/>
          <w:lang w:val="en-GB"/>
        </w:rPr>
        <w:t>.</w:t>
      </w:r>
    </w:p>
  </w:footnote>
  <w:footnote w:id="14">
    <w:p w14:paraId="1B79CD2F" w14:textId="77777777" w:rsidR="00D2238B" w:rsidRPr="004F4B6B" w:rsidRDefault="00D2238B" w:rsidP="004F4B6B">
      <w:pPr>
        <w:pStyle w:val="FootnoteText"/>
        <w:jc w:val="both"/>
        <w:rPr>
          <w:rFonts w:ascii="Times New Roman" w:hAnsi="Times New Roman" w:cs="Times New Roman"/>
          <w:lang w:val="en-US"/>
        </w:rPr>
      </w:pPr>
      <w:r w:rsidRPr="00760AED">
        <w:rPr>
          <w:rStyle w:val="FootnoteReference"/>
          <w:rFonts w:ascii="Times New Roman" w:hAnsi="Times New Roman" w:cs="Times New Roman"/>
        </w:rPr>
        <w:footnoteRef/>
      </w:r>
      <w:r w:rsidRPr="00760AED">
        <w:rPr>
          <w:rFonts w:ascii="Times New Roman" w:hAnsi="Times New Roman" w:cs="Times New Roman"/>
        </w:rPr>
        <w:t xml:space="preserve"> </w:t>
      </w:r>
      <w:r w:rsidR="00C51B41" w:rsidRPr="00760AED">
        <w:rPr>
          <w:rFonts w:ascii="Times New Roman" w:hAnsi="Times New Roman" w:cs="Times New Roman"/>
        </w:rPr>
        <w:t xml:space="preserve">Tu należy przede wszystkim wymienić Cycerona – por. </w:t>
      </w:r>
      <w:r w:rsidR="004F4B6B" w:rsidRPr="004F4B6B">
        <w:rPr>
          <w:rFonts w:ascii="Times New Roman" w:hAnsi="Times New Roman" w:cs="Times New Roman"/>
          <w:lang w:val="en-US"/>
        </w:rPr>
        <w:t xml:space="preserve">B. </w:t>
      </w:r>
      <w:r w:rsidR="00C51B41" w:rsidRPr="004F4B6B">
        <w:rPr>
          <w:rFonts w:ascii="Times New Roman" w:hAnsi="Times New Roman" w:cs="Times New Roman"/>
          <w:lang w:val="en-US"/>
        </w:rPr>
        <w:t xml:space="preserve">Körner, </w:t>
      </w:r>
      <w:r w:rsidR="00C51B41" w:rsidRPr="004F4B6B">
        <w:rPr>
          <w:rStyle w:val="Emphasis"/>
          <w:rFonts w:ascii="Times New Roman" w:hAnsi="Times New Roman" w:cs="Times New Roman"/>
          <w:lang w:val="en-US"/>
        </w:rPr>
        <w:t>Melchior Cano</w:t>
      </w:r>
      <w:r w:rsidR="00C51B41" w:rsidRPr="004F4B6B">
        <w:rPr>
          <w:rFonts w:ascii="Times New Roman" w:hAnsi="Times New Roman" w:cs="Times New Roman"/>
          <w:lang w:val="en-US"/>
        </w:rPr>
        <w:t>, s. 123–126</w:t>
      </w:r>
      <w:r w:rsidR="004C3E41" w:rsidRPr="004F4B6B">
        <w:rPr>
          <w:rFonts w:ascii="Times New Roman" w:hAnsi="Times New Roman" w:cs="Times New Roman"/>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A82ACB"/>
    <w:multiLevelType w:val="hybridMultilevel"/>
    <w:tmpl w:val="C5361B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ECF2A7B"/>
    <w:multiLevelType w:val="hybridMultilevel"/>
    <w:tmpl w:val="DE12F406"/>
    <w:lvl w:ilvl="0" w:tplc="1826DE6E">
      <w:start w:val="1"/>
      <w:numFmt w:val="decimal"/>
      <w:lvlText w:val="%1."/>
      <w:lvlJc w:val="left"/>
      <w:pPr>
        <w:ind w:left="720" w:hanging="360"/>
      </w:pPr>
      <w:rPr>
        <w:rFonts w:hint="default"/>
        <w:b/>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57289092">
    <w:abstractNumId w:val="0"/>
  </w:num>
  <w:num w:numId="2" w16cid:durableId="1241057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43B0"/>
    <w:rsid w:val="00025A6E"/>
    <w:rsid w:val="00050C47"/>
    <w:rsid w:val="0006044C"/>
    <w:rsid w:val="00060A9C"/>
    <w:rsid w:val="00067139"/>
    <w:rsid w:val="0009248F"/>
    <w:rsid w:val="000943B0"/>
    <w:rsid w:val="00114367"/>
    <w:rsid w:val="00117EF6"/>
    <w:rsid w:val="002040C7"/>
    <w:rsid w:val="00221EAA"/>
    <w:rsid w:val="002B40E6"/>
    <w:rsid w:val="002C0285"/>
    <w:rsid w:val="002F442F"/>
    <w:rsid w:val="002F7A32"/>
    <w:rsid w:val="00363C3D"/>
    <w:rsid w:val="00371491"/>
    <w:rsid w:val="00451D72"/>
    <w:rsid w:val="004A109A"/>
    <w:rsid w:val="004C3E41"/>
    <w:rsid w:val="004D417D"/>
    <w:rsid w:val="004E2902"/>
    <w:rsid w:val="004F4B6B"/>
    <w:rsid w:val="00504015"/>
    <w:rsid w:val="005C0AC7"/>
    <w:rsid w:val="005D07C9"/>
    <w:rsid w:val="005E0216"/>
    <w:rsid w:val="0061429F"/>
    <w:rsid w:val="006B78C3"/>
    <w:rsid w:val="006F5E98"/>
    <w:rsid w:val="00760AED"/>
    <w:rsid w:val="00782399"/>
    <w:rsid w:val="00791B2C"/>
    <w:rsid w:val="00794E50"/>
    <w:rsid w:val="007B007F"/>
    <w:rsid w:val="007E169C"/>
    <w:rsid w:val="007F651D"/>
    <w:rsid w:val="00803007"/>
    <w:rsid w:val="00816E97"/>
    <w:rsid w:val="00825A1F"/>
    <w:rsid w:val="008A0A48"/>
    <w:rsid w:val="008D0CF0"/>
    <w:rsid w:val="008F228C"/>
    <w:rsid w:val="00910660"/>
    <w:rsid w:val="00921701"/>
    <w:rsid w:val="009B3C5E"/>
    <w:rsid w:val="009C524F"/>
    <w:rsid w:val="00A02BEE"/>
    <w:rsid w:val="00A108DA"/>
    <w:rsid w:val="00A22AFA"/>
    <w:rsid w:val="00A23AC1"/>
    <w:rsid w:val="00A61398"/>
    <w:rsid w:val="00A82EE7"/>
    <w:rsid w:val="00AA46F5"/>
    <w:rsid w:val="00AB1730"/>
    <w:rsid w:val="00AD3E9E"/>
    <w:rsid w:val="00AF387D"/>
    <w:rsid w:val="00B74113"/>
    <w:rsid w:val="00B76D70"/>
    <w:rsid w:val="00BB3698"/>
    <w:rsid w:val="00BB5A2F"/>
    <w:rsid w:val="00BE0104"/>
    <w:rsid w:val="00BE2099"/>
    <w:rsid w:val="00C236CE"/>
    <w:rsid w:val="00C37A69"/>
    <w:rsid w:val="00C42319"/>
    <w:rsid w:val="00C51B41"/>
    <w:rsid w:val="00C9063D"/>
    <w:rsid w:val="00CD6021"/>
    <w:rsid w:val="00D2238B"/>
    <w:rsid w:val="00D55D7A"/>
    <w:rsid w:val="00DA4236"/>
    <w:rsid w:val="00E23319"/>
    <w:rsid w:val="00E8483F"/>
    <w:rsid w:val="00EE2AFD"/>
    <w:rsid w:val="00F241F0"/>
    <w:rsid w:val="00FA2E41"/>
    <w:rsid w:val="00FB24DF"/>
    <w:rsid w:val="00FC694D"/>
    <w:rsid w:val="00FD5F80"/>
    <w:rsid w:val="00FF3372"/>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E2C54"/>
  <w15:docId w15:val="{DBF09F03-F53C-334E-922A-032CA9FC0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943B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943B0"/>
    <w:rPr>
      <w:color w:val="0000FF"/>
      <w:u w:val="single"/>
    </w:rPr>
  </w:style>
  <w:style w:type="paragraph" w:styleId="ListParagraph">
    <w:name w:val="List Paragraph"/>
    <w:basedOn w:val="Normal"/>
    <w:uiPriority w:val="34"/>
    <w:qFormat/>
    <w:rsid w:val="00B74113"/>
    <w:pPr>
      <w:ind w:left="720"/>
      <w:contextualSpacing/>
    </w:pPr>
  </w:style>
  <w:style w:type="character" w:styleId="Emphasis">
    <w:name w:val="Emphasis"/>
    <w:basedOn w:val="DefaultParagraphFont"/>
    <w:uiPriority w:val="20"/>
    <w:qFormat/>
    <w:rsid w:val="00B74113"/>
    <w:rPr>
      <w:i/>
      <w:iCs/>
    </w:rPr>
  </w:style>
  <w:style w:type="paragraph" w:styleId="FootnoteText">
    <w:name w:val="footnote text"/>
    <w:basedOn w:val="Normal"/>
    <w:link w:val="FootnoteTextChar"/>
    <w:uiPriority w:val="99"/>
    <w:semiHidden/>
    <w:unhideWhenUsed/>
    <w:rsid w:val="00C423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2319"/>
    <w:rPr>
      <w:sz w:val="20"/>
      <w:szCs w:val="20"/>
    </w:rPr>
  </w:style>
  <w:style w:type="character" w:styleId="FootnoteReference">
    <w:name w:val="footnote reference"/>
    <w:basedOn w:val="DefaultParagraphFont"/>
    <w:uiPriority w:val="99"/>
    <w:semiHidden/>
    <w:unhideWhenUsed/>
    <w:rsid w:val="00C42319"/>
    <w:rPr>
      <w:vertAlign w:val="superscript"/>
    </w:rPr>
  </w:style>
  <w:style w:type="character" w:styleId="Strong">
    <w:name w:val="Strong"/>
    <w:basedOn w:val="DefaultParagraphFont"/>
    <w:uiPriority w:val="22"/>
    <w:qFormat/>
    <w:rsid w:val="00363C3D"/>
    <w:rPr>
      <w:b/>
      <w:bCs/>
    </w:rPr>
  </w:style>
  <w:style w:type="paragraph" w:styleId="NoSpacing">
    <w:name w:val="No Spacing"/>
    <w:uiPriority w:val="1"/>
    <w:qFormat/>
    <w:rsid w:val="00760A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8854">
      <w:bodyDiv w:val="1"/>
      <w:marLeft w:val="0"/>
      <w:marRight w:val="0"/>
      <w:marTop w:val="0"/>
      <w:marBottom w:val="0"/>
      <w:divBdr>
        <w:top w:val="none" w:sz="0" w:space="0" w:color="auto"/>
        <w:left w:val="none" w:sz="0" w:space="0" w:color="auto"/>
        <w:bottom w:val="none" w:sz="0" w:space="0" w:color="auto"/>
        <w:right w:val="none" w:sz="0" w:space="0" w:color="auto"/>
      </w:divBdr>
    </w:div>
    <w:div w:id="35741935">
      <w:bodyDiv w:val="1"/>
      <w:marLeft w:val="0"/>
      <w:marRight w:val="0"/>
      <w:marTop w:val="0"/>
      <w:marBottom w:val="0"/>
      <w:divBdr>
        <w:top w:val="none" w:sz="0" w:space="0" w:color="auto"/>
        <w:left w:val="none" w:sz="0" w:space="0" w:color="auto"/>
        <w:bottom w:val="none" w:sz="0" w:space="0" w:color="auto"/>
        <w:right w:val="none" w:sz="0" w:space="0" w:color="auto"/>
      </w:divBdr>
    </w:div>
    <w:div w:id="142309059">
      <w:bodyDiv w:val="1"/>
      <w:marLeft w:val="0"/>
      <w:marRight w:val="0"/>
      <w:marTop w:val="0"/>
      <w:marBottom w:val="0"/>
      <w:divBdr>
        <w:top w:val="none" w:sz="0" w:space="0" w:color="auto"/>
        <w:left w:val="none" w:sz="0" w:space="0" w:color="auto"/>
        <w:bottom w:val="none" w:sz="0" w:space="0" w:color="auto"/>
        <w:right w:val="none" w:sz="0" w:space="0" w:color="auto"/>
      </w:divBdr>
    </w:div>
    <w:div w:id="277374092">
      <w:bodyDiv w:val="1"/>
      <w:marLeft w:val="0"/>
      <w:marRight w:val="0"/>
      <w:marTop w:val="0"/>
      <w:marBottom w:val="0"/>
      <w:divBdr>
        <w:top w:val="none" w:sz="0" w:space="0" w:color="auto"/>
        <w:left w:val="none" w:sz="0" w:space="0" w:color="auto"/>
        <w:bottom w:val="none" w:sz="0" w:space="0" w:color="auto"/>
        <w:right w:val="none" w:sz="0" w:space="0" w:color="auto"/>
      </w:divBdr>
    </w:div>
    <w:div w:id="343753841">
      <w:bodyDiv w:val="1"/>
      <w:marLeft w:val="0"/>
      <w:marRight w:val="0"/>
      <w:marTop w:val="0"/>
      <w:marBottom w:val="0"/>
      <w:divBdr>
        <w:top w:val="none" w:sz="0" w:space="0" w:color="auto"/>
        <w:left w:val="none" w:sz="0" w:space="0" w:color="auto"/>
        <w:bottom w:val="none" w:sz="0" w:space="0" w:color="auto"/>
        <w:right w:val="none" w:sz="0" w:space="0" w:color="auto"/>
      </w:divBdr>
    </w:div>
    <w:div w:id="394862116">
      <w:bodyDiv w:val="1"/>
      <w:marLeft w:val="0"/>
      <w:marRight w:val="0"/>
      <w:marTop w:val="0"/>
      <w:marBottom w:val="0"/>
      <w:divBdr>
        <w:top w:val="none" w:sz="0" w:space="0" w:color="auto"/>
        <w:left w:val="none" w:sz="0" w:space="0" w:color="auto"/>
        <w:bottom w:val="none" w:sz="0" w:space="0" w:color="auto"/>
        <w:right w:val="none" w:sz="0" w:space="0" w:color="auto"/>
      </w:divBdr>
    </w:div>
    <w:div w:id="399907507">
      <w:bodyDiv w:val="1"/>
      <w:marLeft w:val="0"/>
      <w:marRight w:val="0"/>
      <w:marTop w:val="0"/>
      <w:marBottom w:val="0"/>
      <w:divBdr>
        <w:top w:val="none" w:sz="0" w:space="0" w:color="auto"/>
        <w:left w:val="none" w:sz="0" w:space="0" w:color="auto"/>
        <w:bottom w:val="none" w:sz="0" w:space="0" w:color="auto"/>
        <w:right w:val="none" w:sz="0" w:space="0" w:color="auto"/>
      </w:divBdr>
    </w:div>
    <w:div w:id="401955366">
      <w:bodyDiv w:val="1"/>
      <w:marLeft w:val="0"/>
      <w:marRight w:val="0"/>
      <w:marTop w:val="0"/>
      <w:marBottom w:val="0"/>
      <w:divBdr>
        <w:top w:val="none" w:sz="0" w:space="0" w:color="auto"/>
        <w:left w:val="none" w:sz="0" w:space="0" w:color="auto"/>
        <w:bottom w:val="none" w:sz="0" w:space="0" w:color="auto"/>
        <w:right w:val="none" w:sz="0" w:space="0" w:color="auto"/>
      </w:divBdr>
    </w:div>
    <w:div w:id="491945476">
      <w:bodyDiv w:val="1"/>
      <w:marLeft w:val="0"/>
      <w:marRight w:val="0"/>
      <w:marTop w:val="0"/>
      <w:marBottom w:val="0"/>
      <w:divBdr>
        <w:top w:val="none" w:sz="0" w:space="0" w:color="auto"/>
        <w:left w:val="none" w:sz="0" w:space="0" w:color="auto"/>
        <w:bottom w:val="none" w:sz="0" w:space="0" w:color="auto"/>
        <w:right w:val="none" w:sz="0" w:space="0" w:color="auto"/>
      </w:divBdr>
    </w:div>
    <w:div w:id="497965453">
      <w:bodyDiv w:val="1"/>
      <w:marLeft w:val="0"/>
      <w:marRight w:val="0"/>
      <w:marTop w:val="0"/>
      <w:marBottom w:val="0"/>
      <w:divBdr>
        <w:top w:val="none" w:sz="0" w:space="0" w:color="auto"/>
        <w:left w:val="none" w:sz="0" w:space="0" w:color="auto"/>
        <w:bottom w:val="none" w:sz="0" w:space="0" w:color="auto"/>
        <w:right w:val="none" w:sz="0" w:space="0" w:color="auto"/>
      </w:divBdr>
    </w:div>
    <w:div w:id="574363721">
      <w:bodyDiv w:val="1"/>
      <w:marLeft w:val="0"/>
      <w:marRight w:val="0"/>
      <w:marTop w:val="0"/>
      <w:marBottom w:val="0"/>
      <w:divBdr>
        <w:top w:val="none" w:sz="0" w:space="0" w:color="auto"/>
        <w:left w:val="none" w:sz="0" w:space="0" w:color="auto"/>
        <w:bottom w:val="none" w:sz="0" w:space="0" w:color="auto"/>
        <w:right w:val="none" w:sz="0" w:space="0" w:color="auto"/>
      </w:divBdr>
    </w:div>
    <w:div w:id="599530446">
      <w:bodyDiv w:val="1"/>
      <w:marLeft w:val="0"/>
      <w:marRight w:val="0"/>
      <w:marTop w:val="0"/>
      <w:marBottom w:val="0"/>
      <w:divBdr>
        <w:top w:val="none" w:sz="0" w:space="0" w:color="auto"/>
        <w:left w:val="none" w:sz="0" w:space="0" w:color="auto"/>
        <w:bottom w:val="none" w:sz="0" w:space="0" w:color="auto"/>
        <w:right w:val="none" w:sz="0" w:space="0" w:color="auto"/>
      </w:divBdr>
    </w:div>
    <w:div w:id="622080147">
      <w:bodyDiv w:val="1"/>
      <w:marLeft w:val="0"/>
      <w:marRight w:val="0"/>
      <w:marTop w:val="0"/>
      <w:marBottom w:val="0"/>
      <w:divBdr>
        <w:top w:val="none" w:sz="0" w:space="0" w:color="auto"/>
        <w:left w:val="none" w:sz="0" w:space="0" w:color="auto"/>
        <w:bottom w:val="none" w:sz="0" w:space="0" w:color="auto"/>
        <w:right w:val="none" w:sz="0" w:space="0" w:color="auto"/>
      </w:divBdr>
    </w:div>
    <w:div w:id="655039124">
      <w:bodyDiv w:val="1"/>
      <w:marLeft w:val="0"/>
      <w:marRight w:val="0"/>
      <w:marTop w:val="0"/>
      <w:marBottom w:val="0"/>
      <w:divBdr>
        <w:top w:val="none" w:sz="0" w:space="0" w:color="auto"/>
        <w:left w:val="none" w:sz="0" w:space="0" w:color="auto"/>
        <w:bottom w:val="none" w:sz="0" w:space="0" w:color="auto"/>
        <w:right w:val="none" w:sz="0" w:space="0" w:color="auto"/>
      </w:divBdr>
    </w:div>
    <w:div w:id="661355417">
      <w:bodyDiv w:val="1"/>
      <w:marLeft w:val="0"/>
      <w:marRight w:val="0"/>
      <w:marTop w:val="0"/>
      <w:marBottom w:val="0"/>
      <w:divBdr>
        <w:top w:val="none" w:sz="0" w:space="0" w:color="auto"/>
        <w:left w:val="none" w:sz="0" w:space="0" w:color="auto"/>
        <w:bottom w:val="none" w:sz="0" w:space="0" w:color="auto"/>
        <w:right w:val="none" w:sz="0" w:space="0" w:color="auto"/>
      </w:divBdr>
    </w:div>
    <w:div w:id="680162090">
      <w:bodyDiv w:val="1"/>
      <w:marLeft w:val="0"/>
      <w:marRight w:val="0"/>
      <w:marTop w:val="0"/>
      <w:marBottom w:val="0"/>
      <w:divBdr>
        <w:top w:val="none" w:sz="0" w:space="0" w:color="auto"/>
        <w:left w:val="none" w:sz="0" w:space="0" w:color="auto"/>
        <w:bottom w:val="none" w:sz="0" w:space="0" w:color="auto"/>
        <w:right w:val="none" w:sz="0" w:space="0" w:color="auto"/>
      </w:divBdr>
    </w:div>
    <w:div w:id="686517255">
      <w:bodyDiv w:val="1"/>
      <w:marLeft w:val="0"/>
      <w:marRight w:val="0"/>
      <w:marTop w:val="0"/>
      <w:marBottom w:val="0"/>
      <w:divBdr>
        <w:top w:val="none" w:sz="0" w:space="0" w:color="auto"/>
        <w:left w:val="none" w:sz="0" w:space="0" w:color="auto"/>
        <w:bottom w:val="none" w:sz="0" w:space="0" w:color="auto"/>
        <w:right w:val="none" w:sz="0" w:space="0" w:color="auto"/>
      </w:divBdr>
    </w:div>
    <w:div w:id="820386399">
      <w:bodyDiv w:val="1"/>
      <w:marLeft w:val="0"/>
      <w:marRight w:val="0"/>
      <w:marTop w:val="0"/>
      <w:marBottom w:val="0"/>
      <w:divBdr>
        <w:top w:val="none" w:sz="0" w:space="0" w:color="auto"/>
        <w:left w:val="none" w:sz="0" w:space="0" w:color="auto"/>
        <w:bottom w:val="none" w:sz="0" w:space="0" w:color="auto"/>
        <w:right w:val="none" w:sz="0" w:space="0" w:color="auto"/>
      </w:divBdr>
    </w:div>
    <w:div w:id="857548711">
      <w:bodyDiv w:val="1"/>
      <w:marLeft w:val="0"/>
      <w:marRight w:val="0"/>
      <w:marTop w:val="0"/>
      <w:marBottom w:val="0"/>
      <w:divBdr>
        <w:top w:val="none" w:sz="0" w:space="0" w:color="auto"/>
        <w:left w:val="none" w:sz="0" w:space="0" w:color="auto"/>
        <w:bottom w:val="none" w:sz="0" w:space="0" w:color="auto"/>
        <w:right w:val="none" w:sz="0" w:space="0" w:color="auto"/>
      </w:divBdr>
    </w:div>
    <w:div w:id="880508825">
      <w:bodyDiv w:val="1"/>
      <w:marLeft w:val="0"/>
      <w:marRight w:val="0"/>
      <w:marTop w:val="0"/>
      <w:marBottom w:val="0"/>
      <w:divBdr>
        <w:top w:val="none" w:sz="0" w:space="0" w:color="auto"/>
        <w:left w:val="none" w:sz="0" w:space="0" w:color="auto"/>
        <w:bottom w:val="none" w:sz="0" w:space="0" w:color="auto"/>
        <w:right w:val="none" w:sz="0" w:space="0" w:color="auto"/>
      </w:divBdr>
    </w:div>
    <w:div w:id="958490442">
      <w:bodyDiv w:val="1"/>
      <w:marLeft w:val="0"/>
      <w:marRight w:val="0"/>
      <w:marTop w:val="0"/>
      <w:marBottom w:val="0"/>
      <w:divBdr>
        <w:top w:val="none" w:sz="0" w:space="0" w:color="auto"/>
        <w:left w:val="none" w:sz="0" w:space="0" w:color="auto"/>
        <w:bottom w:val="none" w:sz="0" w:space="0" w:color="auto"/>
        <w:right w:val="none" w:sz="0" w:space="0" w:color="auto"/>
      </w:divBdr>
    </w:div>
    <w:div w:id="1022829319">
      <w:bodyDiv w:val="1"/>
      <w:marLeft w:val="0"/>
      <w:marRight w:val="0"/>
      <w:marTop w:val="0"/>
      <w:marBottom w:val="0"/>
      <w:divBdr>
        <w:top w:val="none" w:sz="0" w:space="0" w:color="auto"/>
        <w:left w:val="none" w:sz="0" w:space="0" w:color="auto"/>
        <w:bottom w:val="none" w:sz="0" w:space="0" w:color="auto"/>
        <w:right w:val="none" w:sz="0" w:space="0" w:color="auto"/>
      </w:divBdr>
    </w:div>
    <w:div w:id="1031998871">
      <w:bodyDiv w:val="1"/>
      <w:marLeft w:val="0"/>
      <w:marRight w:val="0"/>
      <w:marTop w:val="0"/>
      <w:marBottom w:val="0"/>
      <w:divBdr>
        <w:top w:val="none" w:sz="0" w:space="0" w:color="auto"/>
        <w:left w:val="none" w:sz="0" w:space="0" w:color="auto"/>
        <w:bottom w:val="none" w:sz="0" w:space="0" w:color="auto"/>
        <w:right w:val="none" w:sz="0" w:space="0" w:color="auto"/>
      </w:divBdr>
    </w:div>
    <w:div w:id="1100755269">
      <w:bodyDiv w:val="1"/>
      <w:marLeft w:val="0"/>
      <w:marRight w:val="0"/>
      <w:marTop w:val="0"/>
      <w:marBottom w:val="0"/>
      <w:divBdr>
        <w:top w:val="none" w:sz="0" w:space="0" w:color="auto"/>
        <w:left w:val="none" w:sz="0" w:space="0" w:color="auto"/>
        <w:bottom w:val="none" w:sz="0" w:space="0" w:color="auto"/>
        <w:right w:val="none" w:sz="0" w:space="0" w:color="auto"/>
      </w:divBdr>
    </w:div>
    <w:div w:id="1117531081">
      <w:bodyDiv w:val="1"/>
      <w:marLeft w:val="0"/>
      <w:marRight w:val="0"/>
      <w:marTop w:val="0"/>
      <w:marBottom w:val="0"/>
      <w:divBdr>
        <w:top w:val="none" w:sz="0" w:space="0" w:color="auto"/>
        <w:left w:val="none" w:sz="0" w:space="0" w:color="auto"/>
        <w:bottom w:val="none" w:sz="0" w:space="0" w:color="auto"/>
        <w:right w:val="none" w:sz="0" w:space="0" w:color="auto"/>
      </w:divBdr>
    </w:div>
    <w:div w:id="1134756669">
      <w:bodyDiv w:val="1"/>
      <w:marLeft w:val="0"/>
      <w:marRight w:val="0"/>
      <w:marTop w:val="0"/>
      <w:marBottom w:val="0"/>
      <w:divBdr>
        <w:top w:val="none" w:sz="0" w:space="0" w:color="auto"/>
        <w:left w:val="none" w:sz="0" w:space="0" w:color="auto"/>
        <w:bottom w:val="none" w:sz="0" w:space="0" w:color="auto"/>
        <w:right w:val="none" w:sz="0" w:space="0" w:color="auto"/>
      </w:divBdr>
    </w:div>
    <w:div w:id="1331562315">
      <w:bodyDiv w:val="1"/>
      <w:marLeft w:val="0"/>
      <w:marRight w:val="0"/>
      <w:marTop w:val="0"/>
      <w:marBottom w:val="0"/>
      <w:divBdr>
        <w:top w:val="none" w:sz="0" w:space="0" w:color="auto"/>
        <w:left w:val="none" w:sz="0" w:space="0" w:color="auto"/>
        <w:bottom w:val="none" w:sz="0" w:space="0" w:color="auto"/>
        <w:right w:val="none" w:sz="0" w:space="0" w:color="auto"/>
      </w:divBdr>
    </w:div>
    <w:div w:id="1444307702">
      <w:bodyDiv w:val="1"/>
      <w:marLeft w:val="0"/>
      <w:marRight w:val="0"/>
      <w:marTop w:val="0"/>
      <w:marBottom w:val="0"/>
      <w:divBdr>
        <w:top w:val="none" w:sz="0" w:space="0" w:color="auto"/>
        <w:left w:val="none" w:sz="0" w:space="0" w:color="auto"/>
        <w:bottom w:val="none" w:sz="0" w:space="0" w:color="auto"/>
        <w:right w:val="none" w:sz="0" w:space="0" w:color="auto"/>
      </w:divBdr>
    </w:div>
    <w:div w:id="1466511239">
      <w:bodyDiv w:val="1"/>
      <w:marLeft w:val="0"/>
      <w:marRight w:val="0"/>
      <w:marTop w:val="0"/>
      <w:marBottom w:val="0"/>
      <w:divBdr>
        <w:top w:val="none" w:sz="0" w:space="0" w:color="auto"/>
        <w:left w:val="none" w:sz="0" w:space="0" w:color="auto"/>
        <w:bottom w:val="none" w:sz="0" w:space="0" w:color="auto"/>
        <w:right w:val="none" w:sz="0" w:space="0" w:color="auto"/>
      </w:divBdr>
    </w:div>
    <w:div w:id="1563055900">
      <w:bodyDiv w:val="1"/>
      <w:marLeft w:val="0"/>
      <w:marRight w:val="0"/>
      <w:marTop w:val="0"/>
      <w:marBottom w:val="0"/>
      <w:divBdr>
        <w:top w:val="none" w:sz="0" w:space="0" w:color="auto"/>
        <w:left w:val="none" w:sz="0" w:space="0" w:color="auto"/>
        <w:bottom w:val="none" w:sz="0" w:space="0" w:color="auto"/>
        <w:right w:val="none" w:sz="0" w:space="0" w:color="auto"/>
      </w:divBdr>
    </w:div>
    <w:div w:id="1610241123">
      <w:bodyDiv w:val="1"/>
      <w:marLeft w:val="0"/>
      <w:marRight w:val="0"/>
      <w:marTop w:val="0"/>
      <w:marBottom w:val="0"/>
      <w:divBdr>
        <w:top w:val="none" w:sz="0" w:space="0" w:color="auto"/>
        <w:left w:val="none" w:sz="0" w:space="0" w:color="auto"/>
        <w:bottom w:val="none" w:sz="0" w:space="0" w:color="auto"/>
        <w:right w:val="none" w:sz="0" w:space="0" w:color="auto"/>
      </w:divBdr>
    </w:div>
    <w:div w:id="1790196159">
      <w:bodyDiv w:val="1"/>
      <w:marLeft w:val="0"/>
      <w:marRight w:val="0"/>
      <w:marTop w:val="0"/>
      <w:marBottom w:val="0"/>
      <w:divBdr>
        <w:top w:val="none" w:sz="0" w:space="0" w:color="auto"/>
        <w:left w:val="none" w:sz="0" w:space="0" w:color="auto"/>
        <w:bottom w:val="none" w:sz="0" w:space="0" w:color="auto"/>
        <w:right w:val="none" w:sz="0" w:space="0" w:color="auto"/>
      </w:divBdr>
    </w:div>
    <w:div w:id="1839610333">
      <w:bodyDiv w:val="1"/>
      <w:marLeft w:val="0"/>
      <w:marRight w:val="0"/>
      <w:marTop w:val="0"/>
      <w:marBottom w:val="0"/>
      <w:divBdr>
        <w:top w:val="none" w:sz="0" w:space="0" w:color="auto"/>
        <w:left w:val="none" w:sz="0" w:space="0" w:color="auto"/>
        <w:bottom w:val="none" w:sz="0" w:space="0" w:color="auto"/>
        <w:right w:val="none" w:sz="0" w:space="0" w:color="auto"/>
      </w:divBdr>
    </w:div>
    <w:div w:id="1879006030">
      <w:bodyDiv w:val="1"/>
      <w:marLeft w:val="0"/>
      <w:marRight w:val="0"/>
      <w:marTop w:val="0"/>
      <w:marBottom w:val="0"/>
      <w:divBdr>
        <w:top w:val="none" w:sz="0" w:space="0" w:color="auto"/>
        <w:left w:val="none" w:sz="0" w:space="0" w:color="auto"/>
        <w:bottom w:val="none" w:sz="0" w:space="0" w:color="auto"/>
        <w:right w:val="none" w:sz="0" w:space="0" w:color="auto"/>
      </w:divBdr>
    </w:div>
    <w:div w:id="1915433778">
      <w:bodyDiv w:val="1"/>
      <w:marLeft w:val="0"/>
      <w:marRight w:val="0"/>
      <w:marTop w:val="0"/>
      <w:marBottom w:val="0"/>
      <w:divBdr>
        <w:top w:val="none" w:sz="0" w:space="0" w:color="auto"/>
        <w:left w:val="none" w:sz="0" w:space="0" w:color="auto"/>
        <w:bottom w:val="none" w:sz="0" w:space="0" w:color="auto"/>
        <w:right w:val="none" w:sz="0" w:space="0" w:color="auto"/>
      </w:divBdr>
    </w:div>
    <w:div w:id="1929583622">
      <w:bodyDiv w:val="1"/>
      <w:marLeft w:val="0"/>
      <w:marRight w:val="0"/>
      <w:marTop w:val="0"/>
      <w:marBottom w:val="0"/>
      <w:divBdr>
        <w:top w:val="none" w:sz="0" w:space="0" w:color="auto"/>
        <w:left w:val="none" w:sz="0" w:space="0" w:color="auto"/>
        <w:bottom w:val="none" w:sz="0" w:space="0" w:color="auto"/>
        <w:right w:val="none" w:sz="0" w:space="0" w:color="auto"/>
      </w:divBdr>
    </w:div>
    <w:div w:id="213799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2352C-080D-4B04-AC68-5B6F20FA8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3479</Words>
  <Characters>19834</Characters>
  <Application>Microsoft Office Word</Application>
  <DocSecurity>0</DocSecurity>
  <Lines>165</Lines>
  <Paragraphs>46</Paragraphs>
  <ScaleCrop>false</ScaleCrop>
  <HeadingPairs>
    <vt:vector size="2" baseType="variant">
      <vt:variant>
        <vt:lpstr>Tytuł</vt:lpstr>
      </vt:variant>
      <vt:variant>
        <vt:i4>1</vt:i4>
      </vt:variant>
    </vt:vector>
  </HeadingPairs>
  <TitlesOfParts>
    <vt:vector size="1" baseType="lpstr">
      <vt:lpstr/>
    </vt:vector>
  </TitlesOfParts>
  <Company>trans</Company>
  <LinksUpToDate>false</LinksUpToDate>
  <CharactersWithSpaces>23267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Rysiek jach</dc:creator>
  <cp:lastModifiedBy>Bożena Futoma-Kołoch</cp:lastModifiedBy>
  <cp:revision>4</cp:revision>
  <dcterms:created xsi:type="dcterms:W3CDTF">2026-03-15T20:43:00Z</dcterms:created>
  <dcterms:modified xsi:type="dcterms:W3CDTF">2026-07-07T10:12:00Z</dcterms:modified>
</cp:coreProperties>
</file>