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1023" w14:textId="578DA971" w:rsidR="001C3FF9" w:rsidRPr="00B26F1F" w:rsidRDefault="001C3FF9" w:rsidP="001C3FF9">
      <w:pPr>
        <w:pStyle w:val="NoSpacing"/>
        <w:rPr>
          <w:lang w:val="en-US"/>
        </w:rPr>
      </w:pPr>
      <w:r w:rsidRPr="00B26F1F">
        <w:rPr>
          <w:u w:val="single"/>
          <w:lang w:val="en-US"/>
        </w:rPr>
        <w:t>KS. JAROSŁAW M. LIPNIAK</w:t>
      </w:r>
      <w:r w:rsidRPr="00B26F1F">
        <w:rPr>
          <w:u w:val="single"/>
          <w:lang w:val="en-US"/>
        </w:rPr>
        <w:br/>
      </w:r>
      <w:r w:rsidRPr="00B26F1F">
        <w:rPr>
          <w:lang w:val="en-US"/>
        </w:rPr>
        <w:t xml:space="preserve">Pontifical Faculty of Theology in Wroclaw, Poland </w:t>
      </w:r>
      <w:r w:rsidRPr="00B26F1F">
        <w:rPr>
          <w:lang w:val="en-US"/>
        </w:rPr>
        <w:br/>
        <w:t xml:space="preserve">e-mail: </w:t>
      </w:r>
      <w:hyperlink r:id="rId7" w:history="1">
        <w:r w:rsidRPr="00B26F1F">
          <w:rPr>
            <w:rStyle w:val="Hyperlink"/>
            <w:color w:val="auto"/>
            <w:lang w:val="en-US"/>
          </w:rPr>
          <w:t>pallotti@poczta.onet.pl</w:t>
        </w:r>
      </w:hyperlink>
      <w:r w:rsidRPr="00B26F1F">
        <w:rPr>
          <w:lang w:val="en-US"/>
        </w:rPr>
        <w:br/>
        <w:t>ORCID: 0000-0002-3809-1142</w:t>
      </w:r>
      <w:r w:rsidRPr="00B26F1F">
        <w:rPr>
          <w:lang w:val="en-US"/>
        </w:rPr>
        <w:br/>
        <w:t>DOI:</w:t>
      </w:r>
      <w:r w:rsidR="00107FA7">
        <w:rPr>
          <w:lang w:val="en-US"/>
        </w:rPr>
        <w:t xml:space="preserve"> </w:t>
      </w:r>
      <w:r w:rsidR="00107FA7" w:rsidRPr="00107FA7">
        <w:rPr>
          <w:lang w:val="en-US"/>
        </w:rPr>
        <w:t>10.48224/COM-230-2025-7</w:t>
      </w:r>
    </w:p>
    <w:p w14:paraId="1189C68A" w14:textId="77777777" w:rsidR="001C3FF9" w:rsidRPr="00B26F1F" w:rsidRDefault="001C3FF9" w:rsidP="001C3FF9">
      <w:pPr>
        <w:pStyle w:val="NoSpacing"/>
        <w:jc w:val="both"/>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1C3FF9" w:rsidRPr="00B26F1F" w14:paraId="24986C28" w14:textId="77777777" w:rsidTr="004D09D6">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6D926779" w14:textId="2913816C" w:rsidR="001C3FF9" w:rsidRPr="00B26F1F" w:rsidRDefault="001C3FF9" w:rsidP="004D09D6">
            <w:pPr>
              <w:pStyle w:val="NoSpacing"/>
              <w:jc w:val="center"/>
              <w:rPr>
                <w:sz w:val="20"/>
                <w:szCs w:val="20"/>
              </w:rPr>
            </w:pPr>
            <w:r w:rsidRPr="00B26F1F">
              <w:rPr>
                <w:sz w:val="20"/>
                <w:szCs w:val="20"/>
                <w:lang w:val="en-US"/>
              </w:rPr>
              <w:br/>
            </w:r>
            <w:r w:rsidR="0071556C">
              <w:rPr>
                <w:sz w:val="20"/>
                <w:szCs w:val="20"/>
              </w:rPr>
              <w:t>Communio 45(2025)2</w:t>
            </w:r>
            <w:r w:rsidRPr="00B26F1F">
              <w:rPr>
                <w:sz w:val="20"/>
                <w:szCs w:val="20"/>
              </w:rPr>
              <w:t>, s. 2-2</w:t>
            </w:r>
          </w:p>
        </w:tc>
      </w:tr>
    </w:tbl>
    <w:p w14:paraId="0679F8A7" w14:textId="77777777" w:rsidR="001C3FF9" w:rsidRPr="00B26F1F" w:rsidRDefault="001C3FF9" w:rsidP="001C3FF9">
      <w:pPr>
        <w:pStyle w:val="NoSpacing"/>
        <w:jc w:val="both"/>
        <w:rPr>
          <w:b/>
        </w:rPr>
      </w:pPr>
    </w:p>
    <w:p w14:paraId="43FE7EA9" w14:textId="314FF773" w:rsidR="00126363" w:rsidRPr="001C3FF9" w:rsidRDefault="00B26F6E" w:rsidP="003A5735">
      <w:pPr>
        <w:jc w:val="center"/>
        <w:rPr>
          <w:b/>
          <w:bCs/>
          <w:sz w:val="28"/>
          <w:szCs w:val="28"/>
        </w:rPr>
      </w:pPr>
      <w:r w:rsidRPr="001C3FF9">
        <w:rPr>
          <w:b/>
          <w:bCs/>
          <w:sz w:val="28"/>
          <w:szCs w:val="28"/>
        </w:rPr>
        <w:t>Czy</w:t>
      </w:r>
      <w:r w:rsidR="001C3FF9">
        <w:rPr>
          <w:b/>
          <w:bCs/>
          <w:sz w:val="28"/>
          <w:szCs w:val="28"/>
        </w:rPr>
        <w:t>m</w:t>
      </w:r>
      <w:r w:rsidRPr="001C3FF9">
        <w:rPr>
          <w:b/>
          <w:bCs/>
          <w:sz w:val="28"/>
          <w:szCs w:val="28"/>
        </w:rPr>
        <w:t xml:space="preserve"> jest a</w:t>
      </w:r>
      <w:r w:rsidR="003A5735" w:rsidRPr="001C3FF9">
        <w:rPr>
          <w:b/>
          <w:bCs/>
          <w:sz w:val="28"/>
          <w:szCs w:val="28"/>
        </w:rPr>
        <w:t>utorytet</w:t>
      </w:r>
      <w:r w:rsidRPr="001C3FF9">
        <w:rPr>
          <w:b/>
          <w:bCs/>
          <w:sz w:val="28"/>
          <w:szCs w:val="28"/>
        </w:rPr>
        <w:t>?</w:t>
      </w:r>
    </w:p>
    <w:p w14:paraId="4476F361" w14:textId="5B757C9A" w:rsidR="005F7112" w:rsidRPr="0037711E" w:rsidRDefault="001C3FF9" w:rsidP="0037711E">
      <w:pPr>
        <w:spacing w:line="240" w:lineRule="auto"/>
        <w:jc w:val="center"/>
        <w:rPr>
          <w:b/>
          <w:bCs/>
          <w:lang w:val="en-US"/>
        </w:rPr>
      </w:pPr>
      <w:r w:rsidRPr="001C3FF9">
        <w:rPr>
          <w:b/>
          <w:bCs/>
          <w:sz w:val="28"/>
          <w:szCs w:val="28"/>
          <w:lang w:val="en-US"/>
        </w:rPr>
        <w:t>What is authority?</w:t>
      </w:r>
    </w:p>
    <w:p w14:paraId="3F624131" w14:textId="0A4268CC" w:rsidR="0037711E" w:rsidRPr="005F7112" w:rsidRDefault="0037711E" w:rsidP="0037711E">
      <w:pPr>
        <w:spacing w:line="240" w:lineRule="auto"/>
        <w:jc w:val="center"/>
        <w:rPr>
          <w:b/>
          <w:bCs/>
          <w:sz w:val="20"/>
          <w:szCs w:val="20"/>
          <w:lang w:val="en-US"/>
        </w:rPr>
      </w:pPr>
      <w:r w:rsidRPr="005F7112">
        <w:rPr>
          <w:b/>
          <w:bCs/>
          <w:sz w:val="20"/>
          <w:szCs w:val="20"/>
          <w:lang w:val="en-US"/>
        </w:rPr>
        <w:t>Abstract</w:t>
      </w:r>
    </w:p>
    <w:p w14:paraId="376BD16A" w14:textId="77777777" w:rsidR="0037711E" w:rsidRPr="005F7112" w:rsidRDefault="0037711E" w:rsidP="0037711E">
      <w:pPr>
        <w:spacing w:line="240" w:lineRule="auto"/>
        <w:jc w:val="both"/>
        <w:rPr>
          <w:sz w:val="20"/>
          <w:szCs w:val="20"/>
          <w:lang w:val="en-US"/>
        </w:rPr>
      </w:pPr>
      <w:r w:rsidRPr="005F7112">
        <w:rPr>
          <w:sz w:val="20"/>
          <w:szCs w:val="20"/>
          <w:lang w:val="en-US"/>
        </w:rPr>
        <w:t xml:space="preserve">The Catholic Church places great importance on maintaining the concept of authority. Rejecting authority would mean undermining its own roots. The stance of some faithful individuals with extreme views, from both traditional and charismatic backgrounds, is concerning as they deny the need for obedience to the Church's hierarchy and question Tradition. Respect for authorities such as the Bible, Tradition, the Magisterium of the Church, and conscience is crucial for building a healthy community based on mutual understanding and support. It is important to approach these issues with an open mind and a willingness to engage in dialogue.  </w:t>
      </w:r>
    </w:p>
    <w:p w14:paraId="30BAFE73" w14:textId="77777777" w:rsidR="0037711E" w:rsidRPr="005F7112" w:rsidRDefault="0037711E" w:rsidP="0037711E">
      <w:pPr>
        <w:spacing w:line="240" w:lineRule="auto"/>
        <w:jc w:val="both"/>
        <w:rPr>
          <w:sz w:val="20"/>
          <w:szCs w:val="20"/>
          <w:lang w:val="en-US"/>
        </w:rPr>
      </w:pPr>
      <w:r w:rsidRPr="005F7112">
        <w:rPr>
          <w:b/>
          <w:bCs/>
          <w:sz w:val="20"/>
          <w:szCs w:val="20"/>
          <w:lang w:val="en-US"/>
        </w:rPr>
        <w:t>Keywords:</w:t>
      </w:r>
      <w:r w:rsidRPr="005F7112">
        <w:rPr>
          <w:sz w:val="20"/>
          <w:szCs w:val="20"/>
          <w:lang w:val="en-US"/>
        </w:rPr>
        <w:t xml:space="preserve"> Authority – Bible – Tradition – Magisterium of the Church – Conscience</w:t>
      </w:r>
    </w:p>
    <w:p w14:paraId="5F178275" w14:textId="10C05F4B" w:rsidR="0037711E" w:rsidRPr="00107FA7" w:rsidRDefault="0037711E" w:rsidP="0037711E">
      <w:pPr>
        <w:spacing w:line="240" w:lineRule="auto"/>
        <w:jc w:val="center"/>
        <w:rPr>
          <w:b/>
          <w:bCs/>
          <w:sz w:val="20"/>
          <w:szCs w:val="20"/>
        </w:rPr>
      </w:pPr>
      <w:r w:rsidRPr="00107FA7">
        <w:rPr>
          <w:b/>
          <w:bCs/>
          <w:sz w:val="20"/>
          <w:szCs w:val="20"/>
        </w:rPr>
        <w:t>Streszczenie</w:t>
      </w:r>
    </w:p>
    <w:p w14:paraId="68E4F77E" w14:textId="77777777" w:rsidR="0037711E" w:rsidRPr="005F7112" w:rsidRDefault="0037711E" w:rsidP="0037711E">
      <w:pPr>
        <w:spacing w:line="240" w:lineRule="auto"/>
        <w:jc w:val="both"/>
        <w:rPr>
          <w:sz w:val="20"/>
          <w:szCs w:val="20"/>
        </w:rPr>
      </w:pPr>
      <w:r w:rsidRPr="005F7112">
        <w:rPr>
          <w:sz w:val="20"/>
          <w:szCs w:val="20"/>
        </w:rPr>
        <w:t xml:space="preserve">Kościołowi katolickiemu tak bardzo zależy na utrzymaniu pojęcia autorytetu. Odrzucenie autorytetu równałoby się bowiem z podważaniem własnych korzeni. Martwi postawa niektórych wiernych o skrajnych poglądach, zarówno z tradycyjnych, jak i charyzmatycznych środowisk, którzy negują potrzebę posłuszeństwa wobec hierarchii Kościoła oraz kwestionują Tradycję.  Poszanowanie autorytetów: </w:t>
      </w:r>
      <w:proofErr w:type="gramStart"/>
      <w:r w:rsidRPr="005F7112">
        <w:rPr>
          <w:sz w:val="20"/>
          <w:szCs w:val="20"/>
        </w:rPr>
        <w:t>Biblii,  Tradycji</w:t>
      </w:r>
      <w:proofErr w:type="gramEnd"/>
      <w:r w:rsidRPr="005F7112">
        <w:rPr>
          <w:sz w:val="20"/>
          <w:szCs w:val="20"/>
        </w:rPr>
        <w:t>, Urzędu Nauczycielskiego Kościoła oraz sumienia jest kluczowe dla budowania zdrowej wspólnoty opartej na wzajemnym zrozumieniu i wsparciu. Ważne jest, aby podchodzić do tych problemów z otwartym umysłem i chęcią dialogu.</w:t>
      </w:r>
    </w:p>
    <w:p w14:paraId="32F794E2" w14:textId="77777777" w:rsidR="0037711E" w:rsidRPr="005F7112" w:rsidRDefault="0037711E" w:rsidP="0037711E">
      <w:pPr>
        <w:spacing w:line="240" w:lineRule="auto"/>
        <w:jc w:val="both"/>
        <w:rPr>
          <w:sz w:val="20"/>
          <w:szCs w:val="20"/>
        </w:rPr>
      </w:pPr>
      <w:r w:rsidRPr="005F7112">
        <w:rPr>
          <w:b/>
          <w:bCs/>
          <w:sz w:val="20"/>
          <w:szCs w:val="20"/>
        </w:rPr>
        <w:t>Słowa kluczowe:</w:t>
      </w:r>
      <w:r w:rsidRPr="005F7112">
        <w:rPr>
          <w:sz w:val="20"/>
          <w:szCs w:val="20"/>
        </w:rPr>
        <w:t xml:space="preserve"> Autorytet – Biblia – Tradycja – Magisterium Kościoła - sumienie</w:t>
      </w:r>
    </w:p>
    <w:p w14:paraId="3D405AB7" w14:textId="77777777" w:rsidR="0037711E" w:rsidRPr="00B26F6E" w:rsidRDefault="0037711E" w:rsidP="0037711E">
      <w:pPr>
        <w:rPr>
          <w:b/>
          <w:bCs/>
        </w:rPr>
      </w:pPr>
    </w:p>
    <w:p w14:paraId="6EAA1FE6" w14:textId="29DE58EA" w:rsidR="003A5735" w:rsidRDefault="003A5735" w:rsidP="003A5735">
      <w:pPr>
        <w:pStyle w:val="NoSpacing"/>
        <w:ind w:firstLine="708"/>
        <w:jc w:val="both"/>
      </w:pPr>
      <w:r>
        <w:t>Cała nasza wiara katolicka jest jak wielka budowla, w której każdy element ma swoje znaczenie. Podstawą tej struktury jest autorytet – to jak fundament, na którym wszystko się opiera. Dlatego, kiedy autorytet przeżywa kryzys, to nie jest to coś małego, jak sytuacja, gdzie dzieci przestają słuchać rodziców. To ma wpływ na całe społeczeństwo i na to, jak podchodzimy do ważnych spraw, jak nasze podejście do Biblii, nauk teologicznych, władzy, a nawet do samej Stolicy Apostolskiej</w:t>
      </w:r>
      <w:r w:rsidR="0037711E">
        <w:rPr>
          <w:rStyle w:val="FootnoteReference"/>
        </w:rPr>
        <w:footnoteReference w:id="1"/>
      </w:r>
      <w:r>
        <w:t>.</w:t>
      </w:r>
    </w:p>
    <w:p w14:paraId="0D052841" w14:textId="77777777" w:rsidR="00604964" w:rsidRDefault="00604964" w:rsidP="00604964">
      <w:pPr>
        <w:pStyle w:val="NoSpacing"/>
        <w:ind w:firstLine="708"/>
        <w:jc w:val="both"/>
      </w:pPr>
      <w:r>
        <w:t>Aby zrozumieć, jak istotne jest to zagadnienie, musimy przyjrzeć się całej konstrukcji naszej wiary, jakbyśmy patrzyli na budowlę od fundamentów po sam dach. Pomyśleć o tym, jak wszystko jest ze sobą powiązane i jakie ma to dla nas znaczenie. Może na co dzień nie rozważamy takich rzeczy jak wynikanie czy logika wiary, bo mogą się wydawać zbyt skomplikowane czy wręcz nudne. Ale czasami trzeba się nad tym zastanowić, żeby lepiej zrozumieć, co jest naprawdę ważne.</w:t>
      </w:r>
    </w:p>
    <w:p w14:paraId="19E60647" w14:textId="2DDE4F2F" w:rsidR="00604964" w:rsidRPr="00687063" w:rsidRDefault="00604964" w:rsidP="00604964">
      <w:pPr>
        <w:pStyle w:val="NoSpacing"/>
        <w:ind w:firstLine="708"/>
        <w:jc w:val="both"/>
      </w:pPr>
      <w:r>
        <w:t xml:space="preserve">Żyjemy w czasie pewnego rodzaju końca świadomości historycznej. </w:t>
      </w:r>
      <w:r w:rsidRPr="00687063">
        <w:t>Z tego samego powodu podsyca się proces utraty zmysłu historycznego</w:t>
      </w:r>
      <w:r>
        <w:t xml:space="preserve">. </w:t>
      </w:r>
      <w:r w:rsidRPr="00687063">
        <w:t xml:space="preserve">Dostrzegamy kulturowe przenikanie pewnego rodzaju „dekonstrukcjonizmu”, według którego ludzka wolność próbuje budować wszystko od zera. </w:t>
      </w:r>
      <w:r>
        <w:t xml:space="preserve">Papież Franciszek dostrzegał to zagrożenie podkreślając, że dla wielu ludzi </w:t>
      </w:r>
      <w:r w:rsidRPr="00687063">
        <w:lastRenderedPageBreak/>
        <w:t xml:space="preserve">niezmienna </w:t>
      </w:r>
      <w:r>
        <w:t>p</w:t>
      </w:r>
      <w:r w:rsidRPr="00687063">
        <w:t xml:space="preserve">ozostaje jedynie potrzeba konsumpcji bez ograniczeń i akcentowanie wielu form indywidualizmu bez treści. </w:t>
      </w:r>
      <w:r>
        <w:t xml:space="preserve">Dlatego przestrzega, zwłaszcza młodych: </w:t>
      </w:r>
      <w:r w:rsidRPr="00687063">
        <w:t>„jeśli jakaś osoba składa wam propozycję i</w:t>
      </w:r>
      <w:r w:rsidR="009A20EB">
        <w:t xml:space="preserve"> mówi, byście pomijali historię,</w:t>
      </w:r>
      <w:r w:rsidRPr="00687063">
        <w:t xml:space="preserve"> czy nie doceniali doświadczenia osób starszych, pogardzali wszystkim, co minione, a patrzyli jedynie w przyszłość, którą ona wam oferuje, czyż nie jest to łatwy sposób pozyskania was dla jej propozycji, abyście robili tylko to, co ona wam mówi? Ta osoba potrzebuje, byście byli puści, wykorzenieni, nieufni wobec wszystkiego, abyście ufali jedynie jej obietnicom i podporządkowali się jej planom. Tak działają ideologie różnych kolorów, które niszczą (lub dekonstruują) wszystko, co inne, i w ten sposób mogą panować bez oporów. Potrzebują do tego ludzi młodych, którzy gardzą historią, odrzucają bogactwo duchowe i ludzkie, przekazywane przez pokolenia, którzy pomijają wszystko, co ich poprzedziło”</w:t>
      </w:r>
      <w:bookmarkStart w:id="0" w:name="_ftnref10"/>
      <w:r>
        <w:rPr>
          <w:rStyle w:val="FootnoteReference"/>
        </w:rPr>
        <w:footnoteReference w:id="2"/>
      </w:r>
      <w:bookmarkEnd w:id="0"/>
      <w:r w:rsidRPr="00687063">
        <w:t>.</w:t>
      </w:r>
    </w:p>
    <w:p w14:paraId="75DDF170" w14:textId="77777777" w:rsidR="00D65E5F" w:rsidRDefault="00D65E5F" w:rsidP="003A5735">
      <w:pPr>
        <w:pStyle w:val="NoSpacing"/>
        <w:ind w:firstLine="708"/>
        <w:jc w:val="both"/>
      </w:pPr>
    </w:p>
    <w:p w14:paraId="1672770F" w14:textId="57906A2F" w:rsidR="00D65E5F" w:rsidRPr="00D65E5F" w:rsidRDefault="00D65E5F" w:rsidP="00D65E5F">
      <w:pPr>
        <w:pStyle w:val="NoSpacing"/>
        <w:numPr>
          <w:ilvl w:val="0"/>
          <w:numId w:val="3"/>
        </w:numPr>
        <w:jc w:val="both"/>
        <w:rPr>
          <w:b/>
          <w:bCs/>
        </w:rPr>
      </w:pPr>
      <w:r w:rsidRPr="00D65E5F">
        <w:rPr>
          <w:b/>
          <w:bCs/>
        </w:rPr>
        <w:t>Autorytet w tradycji rzymskiej</w:t>
      </w:r>
    </w:p>
    <w:p w14:paraId="5E8459B6" w14:textId="77777777" w:rsidR="00D65E5F" w:rsidRDefault="00D65E5F" w:rsidP="003A5735">
      <w:pPr>
        <w:pStyle w:val="NoSpacing"/>
        <w:ind w:firstLine="708"/>
        <w:jc w:val="both"/>
      </w:pPr>
    </w:p>
    <w:p w14:paraId="30A85CF4" w14:textId="120C1DBF" w:rsidR="00D65E5F" w:rsidRDefault="00D65E5F" w:rsidP="00D65E5F">
      <w:pPr>
        <w:pStyle w:val="NoSpacing"/>
        <w:ind w:firstLine="708"/>
        <w:jc w:val="both"/>
      </w:pPr>
      <w:r>
        <w:t>Termin autorytet przeszedł poważną ewolucję. Wywodzi się on z kultury rzymskiej i pojawił się on pierwotnie w obszarze refleksji na temat władzy i sposobu jej sprawowania. Etymologicznie należy więc do rzymskiego języka politycznego. Na próżno szukać jego bezpośredniego odpowiednika w greckiej tradycji. Grecy sądzili, że rządzenie opiera się głównie na dwóch czynnikach: przymusie lub perswazji. Przymus oznaczał użycie fizycznej siły, a perswazja odnosiła się do argumentów logicznych. Ponieważ jednak tylko nieliczni potrafią korzystać z rozumu, perswazja często była wspierana argumentami religijnymi, które miały za zadanie przekonać tych, którzy opierają się racjonalnym argumentom, poprzez zapowiedź kary lub nagrody w przyszłym życiu.</w:t>
      </w:r>
    </w:p>
    <w:p w14:paraId="757523A8" w14:textId="529D443C" w:rsidR="00D65E5F" w:rsidRDefault="00D65E5F" w:rsidP="00D65E5F">
      <w:pPr>
        <w:pStyle w:val="NoSpacing"/>
        <w:ind w:firstLine="708"/>
        <w:jc w:val="both"/>
      </w:pPr>
      <w:r>
        <w:t>W rzymskiej tradycji pojawił się dodatkowy sposób myślenia o władzy – autorytet. Autorytet „wymusza” posłuszeństwo nie przez siłę fizyczną ani przez siłę argumentów, ale przez swoją naturę. To oznacza, że ludzie uznają autorytet za coś wartościowego i godnego zaufania</w:t>
      </w:r>
      <w:r w:rsidR="0037711E">
        <w:rPr>
          <w:rStyle w:val="FootnoteReference"/>
        </w:rPr>
        <w:footnoteReference w:id="3"/>
      </w:r>
      <w:r>
        <w:t>. Osoby z autorytetem inspirują, przekonują i prowadzą innych, opierając się na szacunku i uznaniu ich mądrości oraz doświadczenia.</w:t>
      </w:r>
    </w:p>
    <w:p w14:paraId="28B7A726" w14:textId="77777777" w:rsidR="00373F37" w:rsidRDefault="007E4A3C" w:rsidP="00373F37">
      <w:pPr>
        <w:pStyle w:val="NoSpacing"/>
        <w:ind w:firstLine="708"/>
        <w:jc w:val="both"/>
      </w:pPr>
      <w:r>
        <w:t xml:space="preserve">Hannah Arendt, niemiecko-amerykańska teoretyczka polityki, filozof oraz publicystka </w:t>
      </w:r>
      <w:proofErr w:type="gramStart"/>
      <w:r>
        <w:t>podkreśla</w:t>
      </w:r>
      <w:proofErr w:type="gramEnd"/>
      <w:r>
        <w:t xml:space="preserve">, że </w:t>
      </w:r>
      <w:r w:rsidRPr="007E4A3C">
        <w:rPr>
          <w:i/>
          <w:iCs/>
        </w:rPr>
        <w:t>auctoritas</w:t>
      </w:r>
      <w:r>
        <w:t xml:space="preserve"> pochodzi od czasownika </w:t>
      </w:r>
      <w:r w:rsidRPr="007E4A3C">
        <w:rPr>
          <w:i/>
          <w:iCs/>
        </w:rPr>
        <w:t>augere</w:t>
      </w:r>
      <w:r>
        <w:t xml:space="preserve">, który oznacza „powiększać”, „rozszerzać”, „umacniać”. </w:t>
      </w:r>
      <w:r w:rsidRPr="007E4A3C">
        <w:rPr>
          <w:i/>
          <w:iCs/>
        </w:rPr>
        <w:t>Auctoritas</w:t>
      </w:r>
      <w:r>
        <w:t xml:space="preserve"> jest wiec przymiotem przysługującym temu, kto jest </w:t>
      </w:r>
      <w:r w:rsidRPr="007E4A3C">
        <w:rPr>
          <w:i/>
          <w:iCs/>
        </w:rPr>
        <w:t>auctorem</w:t>
      </w:r>
      <w:r>
        <w:t xml:space="preserve">, to znaczy „posiadającym pomysł, inicjatywę”. Udziela on swojej aprobaty aktowi dokonanemu przez kogoś innego, dzięki czemu nabiera on mocy prawnej. Jednym z przykładów takiego działania jest </w:t>
      </w:r>
      <w:r w:rsidRPr="007E4A3C">
        <w:rPr>
          <w:i/>
          <w:iCs/>
        </w:rPr>
        <w:t>auctoritas</w:t>
      </w:r>
      <w:r>
        <w:t xml:space="preserve"> jakiej ojciec udzielał małżeństwu syna, czyniąc je ważnym prawnie. Z czasem szczególna </w:t>
      </w:r>
      <w:r w:rsidRPr="007E4A3C">
        <w:rPr>
          <w:i/>
          <w:iCs/>
        </w:rPr>
        <w:t>auctoritas patrum</w:t>
      </w:r>
      <w:r>
        <w:t xml:space="preserve"> przypisana zostaje rzymskiemu Senatowi, który zatwierdzał ustawy Zgromadzenia Ludowego i dokonane na nim wybory magistratury. Chodziło zwłaszcza o kwestię ich zgodności z ustrojem państwa. Senatowi nie przysługuje władza (</w:t>
      </w:r>
      <w:r w:rsidRPr="007E4A3C">
        <w:rPr>
          <w:i/>
          <w:iCs/>
        </w:rPr>
        <w:t>potestas</w:t>
      </w:r>
      <w:r>
        <w:t xml:space="preserve">), zarezerwowana dla ludu, a „jedynie” autorytet, zgodnie z zasadą: </w:t>
      </w:r>
      <w:r w:rsidRPr="007E4A3C">
        <w:rPr>
          <w:i/>
          <w:iCs/>
        </w:rPr>
        <w:t>Cum potestas in populo auctoritas in senatu sit</w:t>
      </w:r>
      <w:r>
        <w:t>. Ten sposób wywierania wpływu na politykę nie odwołuje się do perswazji czy przemocy, lecz wynika z uznania przez obie strony prawowitości hierarchii społecznej oraz własnego w niej miejsca</w:t>
      </w:r>
      <w:r>
        <w:rPr>
          <w:rStyle w:val="FootnoteReference"/>
        </w:rPr>
        <w:footnoteReference w:id="4"/>
      </w:r>
      <w:r>
        <w:t xml:space="preserve">. </w:t>
      </w:r>
    </w:p>
    <w:p w14:paraId="1AEE21E0" w14:textId="02ABD380" w:rsidR="00373F37" w:rsidRDefault="00373F37" w:rsidP="00373F37">
      <w:pPr>
        <w:pStyle w:val="NoSpacing"/>
        <w:ind w:firstLine="708"/>
        <w:jc w:val="both"/>
      </w:pPr>
      <w:r>
        <w:t xml:space="preserve">Hannah Arendt zwraca uwagę na to, że autorytet Senatu wynikał z uznania senatorów za reprezentację, a wręcz wcielenie ojców założycieli republiki rzymskiej. Ich autorytet sięgał odległej przeszłości, która, dzięki ciągłości tradycji, była namacalnie obecna w codziennym życiu Rzymian. Arendt pisze, że „w osobach senatorów rzymskich uobecniali się założyciele </w:t>
      </w:r>
      <w:r>
        <w:lastRenderedPageBreak/>
        <w:t>miasta Rzym, a wraz z nimi ożywał duch ustanowienia, początku i zasady, duch tych wydarzeń (</w:t>
      </w:r>
      <w:r w:rsidRPr="00373F37">
        <w:rPr>
          <w:i/>
          <w:iCs/>
        </w:rPr>
        <w:t>res gestae</w:t>
      </w:r>
      <w:r>
        <w:t>), które od zawsze kształtowały historię ludu rzymskiego”</w:t>
      </w:r>
      <w:r>
        <w:rPr>
          <w:rStyle w:val="FootnoteReference"/>
        </w:rPr>
        <w:footnoteReference w:id="5"/>
      </w:r>
      <w:r>
        <w:t>.</w:t>
      </w:r>
    </w:p>
    <w:p w14:paraId="7297A813" w14:textId="77777777" w:rsidR="00373F37" w:rsidRDefault="00373F37" w:rsidP="00373F37">
      <w:pPr>
        <w:pStyle w:val="NoSpacing"/>
        <w:ind w:firstLine="708"/>
        <w:jc w:val="both"/>
      </w:pPr>
      <w:r>
        <w:t xml:space="preserve">To, co miało być wzmacniane przez ten autorytet, to fundamenty miasta, które zostały położone niegdyś przez jego założycieli. Autorytet był zatem związany z ciągłością przekazywania tradycji, co pozwalało zachować pamięć o zasadach ustanowionych na początku. Arendt podkreśla, że dołączenie do tego „niewyczerpanego szeregu następców” oznaczało w Rzymie posiadanie autorytetu, a pamięć o początkach, które ustalili przodkowie, świadczyła o rzymskiej </w:t>
      </w:r>
      <w:r w:rsidRPr="00373F37">
        <w:rPr>
          <w:i/>
          <w:iCs/>
        </w:rPr>
        <w:t>pietas</w:t>
      </w:r>
      <w:r>
        <w:t xml:space="preserve"> – religijnej postawie związanej z własnymi korzeniami. Wierność tym korzeniom – poprzez kontynuację tradycji i uznanie autorytetu – zapewniała Rzymowi trwałość i stabilność. Można zatem mówić o rzymskiej trójcy: religii, autorytecie i tradycji. Kiedy jeden z tych elementów staje się wątpliwy, nie ma pewności, że pozostałe także pozostaną nienaruszone. To złożone powiązanie pokazuje, jak ważne są fundamenty wspólnoty i świadomość historii w utrzymaniu harmonii i stabilności społeczeństwa</w:t>
      </w:r>
      <w:r>
        <w:rPr>
          <w:rStyle w:val="FootnoteReference"/>
        </w:rPr>
        <w:footnoteReference w:id="6"/>
      </w:r>
      <w:r>
        <w:t>.</w:t>
      </w:r>
    </w:p>
    <w:p w14:paraId="5FB083DB" w14:textId="60295174" w:rsidR="00373F37" w:rsidRDefault="00373F37" w:rsidP="00373F37">
      <w:pPr>
        <w:pStyle w:val="NoSpacing"/>
        <w:ind w:firstLine="708"/>
        <w:jc w:val="both"/>
      </w:pPr>
      <w:r>
        <w:t>Kościół katolicki czerpał wiele z rzymskiego sposobu myślenia. Kardynał Joseph Ratzinger zauważa, że chrześcijanie z Rzymu postrzegali św. Piotra i św. Pawła jako przeciwieństwo mitycznej pary braci Romulusa i Romusa, którzy według legendy założyli Rzym. „Piotr i Paweł, z punktu widzenia ludzkiego tak różniący się między sobą i naprawdę nie wolni od konfliktów, jawią się nam jako założyciele nowego miasta, jako wcielenie nowego i prawdziwego braterstwa, które możliwe stało się tylko dzięki Ewangelii Jezusa Chrystusa”</w:t>
      </w:r>
      <w:r>
        <w:rPr>
          <w:rStyle w:val="FootnoteReference"/>
        </w:rPr>
        <w:footnoteReference w:id="7"/>
      </w:r>
      <w:r>
        <w:t xml:space="preserve">. Wydaje się, że rzymscy bracia bardziej przypominali Kaina i Abla, niż tych dwóch apostołów. </w:t>
      </w:r>
    </w:p>
    <w:p w14:paraId="2553D2CC" w14:textId="633BAAB2" w:rsidR="007E4A3C" w:rsidRDefault="00373F37" w:rsidP="00373F37">
      <w:pPr>
        <w:pStyle w:val="NoSpacing"/>
        <w:ind w:firstLine="708"/>
        <w:jc w:val="both"/>
      </w:pPr>
      <w:r>
        <w:t>To porównanie jest bardzo symboliczne. Piotr i Paweł byli nie tylko świętymi, ale także nauczycielami i liderami wspólnoty chrześcijańskiej. Dzięki swojej posłudze wnieśli do Kościoła przesłanie miłości, jedności i przebaczenia, które kontrastowało z rywalizacją i konfliktami, jakie miały miejsce w mitologii rzymskiej. Pokazuje to, jak wczesne chrześcijaństwo starało się być nowym początkiem, odwołując się do wartości, które mogły zjednoczyć ludzi zamiast dzielić ich. Rola św. Piotra i św. Pawła w historii Kościoła jest niezwykle istotna. Dzięki nim, chrześcijaństwo nie tylko wrosło w rzymską rzeczywistość, ale także przekształciło ją w duchowym sensie, wprowadzając zasady, które miały wpływ na kształtowanie się europejskiej kultury i myśli. To ciekawa lekcja o tym, jak ważne są fundamenty, na których budujemy naszą wspólnotę i jakie wartości chcemy przekazywać przyszłym pokoleniom.</w:t>
      </w:r>
    </w:p>
    <w:p w14:paraId="28C1CCF9" w14:textId="77777777" w:rsidR="003A5735" w:rsidRDefault="003A5735" w:rsidP="003A5735">
      <w:pPr>
        <w:pStyle w:val="NoSpacing"/>
        <w:ind w:firstLine="708"/>
        <w:jc w:val="both"/>
      </w:pPr>
    </w:p>
    <w:p w14:paraId="448AA6BD" w14:textId="6AC9F3CF" w:rsidR="003A5735" w:rsidRPr="00FC2C24" w:rsidRDefault="003A5735" w:rsidP="00FC2C24">
      <w:pPr>
        <w:pStyle w:val="ListParagraph"/>
        <w:numPr>
          <w:ilvl w:val="0"/>
          <w:numId w:val="3"/>
        </w:numPr>
        <w:rPr>
          <w:b/>
          <w:bCs/>
          <w:i/>
          <w:iCs/>
        </w:rPr>
      </w:pPr>
      <w:r w:rsidRPr="00FC2C24">
        <w:rPr>
          <w:b/>
          <w:bCs/>
        </w:rPr>
        <w:t xml:space="preserve">Autorytet </w:t>
      </w:r>
      <w:r w:rsidRPr="00FC2C24">
        <w:rPr>
          <w:b/>
          <w:bCs/>
          <w:i/>
          <w:iCs/>
        </w:rPr>
        <w:t>Pisma Świętego</w:t>
      </w:r>
    </w:p>
    <w:p w14:paraId="7C28D726" w14:textId="5C0B469C" w:rsidR="00604964" w:rsidRDefault="00604964" w:rsidP="00604964">
      <w:pPr>
        <w:spacing w:after="0" w:line="240" w:lineRule="auto"/>
        <w:ind w:firstLine="708"/>
        <w:jc w:val="both"/>
      </w:pPr>
      <w:r>
        <w:t xml:space="preserve">Chrześcijańska zasada autorytetu </w:t>
      </w:r>
      <w:r w:rsidRPr="00604964">
        <w:rPr>
          <w:i/>
          <w:iCs/>
        </w:rPr>
        <w:t>Biblii</w:t>
      </w:r>
      <w:r>
        <w:t xml:space="preserve"> opiera się na przekonaniu, że to Bóg jest jej Autorem i że ofiarował ją, aby prowadzić wiarę oraz zachowanie swojego ludu. Nasze wyobrażenia o Bogu i zasadach postępowania powinny być regularnie oceniane, weryfikowane i, jeśli to konieczne, korygowane w świetle nauk zawartych w </w:t>
      </w:r>
      <w:r w:rsidRPr="00604964">
        <w:rPr>
          <w:i/>
          <w:iCs/>
        </w:rPr>
        <w:t>Piśmie Świętym</w:t>
      </w:r>
      <w:r w:rsidR="001D4258" w:rsidRPr="001D4258">
        <w:rPr>
          <w:rStyle w:val="FootnoteReference"/>
        </w:rPr>
        <w:footnoteReference w:id="8"/>
      </w:r>
      <w:r>
        <w:t>.</w:t>
      </w:r>
    </w:p>
    <w:p w14:paraId="395ACFDA" w14:textId="77777777" w:rsidR="00C41DB7" w:rsidRDefault="00604964" w:rsidP="00C41DB7">
      <w:pPr>
        <w:spacing w:after="0" w:line="240" w:lineRule="auto"/>
        <w:ind w:firstLine="708"/>
        <w:jc w:val="both"/>
      </w:pPr>
      <w:r>
        <w:t xml:space="preserve">Autorytet </w:t>
      </w:r>
      <w:r w:rsidRPr="00604964">
        <w:rPr>
          <w:i/>
          <w:iCs/>
        </w:rPr>
        <w:t>Biblii</w:t>
      </w:r>
      <w:r>
        <w:t xml:space="preserve"> nie tylko wskazuje, co jest prawdą, ale także daje prawo do nakazywania. Boże Słowo, w swej prawdzie i mądrości, stanowi sposób, w jaki Bóg sprawuje nad nami władzę. Biblia pełni również rolę władzy Chrystusa nad Kościołem, a jej znaczenie jest podkreślone w siedm</w:t>
      </w:r>
      <w:r w:rsidR="00C41DB7">
        <w:t>iu listach Apokalipsy św. Jana.</w:t>
      </w:r>
    </w:p>
    <w:p w14:paraId="07A4C181" w14:textId="77777777" w:rsidR="00C41DB7" w:rsidRDefault="00604964" w:rsidP="00C41DB7">
      <w:pPr>
        <w:spacing w:after="0" w:line="240" w:lineRule="auto"/>
        <w:ind w:firstLine="708"/>
        <w:jc w:val="both"/>
      </w:pPr>
      <w:r>
        <w:t>Jednak pod</w:t>
      </w:r>
      <w:r w:rsidR="00C41DB7">
        <w:t xml:space="preserve">ejście niektórych osób do </w:t>
      </w:r>
      <w:r w:rsidR="00C41DB7" w:rsidRPr="00C41DB7">
        <w:rPr>
          <w:i/>
          <w:iCs/>
        </w:rPr>
        <w:t>Pisma Świętego</w:t>
      </w:r>
      <w:r>
        <w:t xml:space="preserve"> może osłabiać jej autorytet.</w:t>
      </w:r>
      <w:r w:rsidRPr="00604964">
        <w:t xml:space="preserve"> </w:t>
      </w:r>
      <w:r>
        <w:t xml:space="preserve">Wielu ludzi dostrzega wartość </w:t>
      </w:r>
      <w:r w:rsidRPr="00C41DB7">
        <w:rPr>
          <w:i/>
          <w:iCs/>
        </w:rPr>
        <w:t>Biblii</w:t>
      </w:r>
      <w:r>
        <w:t xml:space="preserve"> jedynie w kontekście ludzkich tematów, doświadczeń i </w:t>
      </w:r>
      <w:r>
        <w:lastRenderedPageBreak/>
        <w:t xml:space="preserve">przeżyć jej autorów. Uważają, że </w:t>
      </w:r>
      <w:r w:rsidRPr="00C41DB7">
        <w:rPr>
          <w:i/>
          <w:iCs/>
        </w:rPr>
        <w:t>Biblia</w:t>
      </w:r>
      <w:r>
        <w:t xml:space="preserve"> jest książką stworzoną przez ludzi, a nie Boskim objawieniem. Chociaż może służyć jako przewodnik w religijnych doświadczeniach, jej miejsce w hierarchii źródeł inspiracji nie wydaje się im uprzywilejowane w porównaniu do ruchów politycznych czy społecznych. Zdarza się, że głosy osłabiające jej autorytet zyskują na znaczeniu.</w:t>
      </w:r>
      <w:r w:rsidR="00C41DB7" w:rsidRPr="00C41DB7">
        <w:t xml:space="preserve"> </w:t>
      </w:r>
      <w:r w:rsidR="00C41DB7">
        <w:t xml:space="preserve">Z drugiej strony, historyczny Protestantyzm uznaje Biblię za jedyne Boże objawienie, uważając ją za natchnioną przez Boga (2 Tym 3,16). To wyjątkowe wyróżnia ją spośród innych tekstów. Biblia jest postrzegana jako nieomylna i prawdziwa we wszystkich swoich wypowiedziach, co czyni ją wystarczającą dla zbawienia i życia wiecznego. Dzięki jasności przekazu, nawet osoby bez specjalistycznego przygotowania mogą zrozumieć, czego Bóg od nas oczekuje, co sprawia, że odwoływanie się do oficjalnych interpretacji nie jest konieczne. Autorytet </w:t>
      </w:r>
      <w:r w:rsidR="00C41DB7" w:rsidRPr="00C41DB7">
        <w:rPr>
          <w:i/>
          <w:iCs/>
        </w:rPr>
        <w:t>Pisma Świętego</w:t>
      </w:r>
      <w:r w:rsidR="00C41DB7">
        <w:t xml:space="preserve"> polega na tym, jest ono głosem Boga w świecie, posiadającym autorytet oraz prawo nakazywania, które jest porównywalne z autorytetem samego Boga. </w:t>
      </w:r>
    </w:p>
    <w:p w14:paraId="1FB7F7C3" w14:textId="77777777" w:rsidR="00604964" w:rsidRDefault="00604964" w:rsidP="00604964">
      <w:pPr>
        <w:spacing w:after="0" w:line="240" w:lineRule="auto"/>
        <w:ind w:firstLine="708"/>
        <w:jc w:val="both"/>
      </w:pPr>
    </w:p>
    <w:p w14:paraId="79F51BD6" w14:textId="2449FF54" w:rsidR="003A5735" w:rsidRPr="00C96D64" w:rsidRDefault="00FC2C24" w:rsidP="00C96D64">
      <w:pPr>
        <w:ind w:firstLine="708"/>
        <w:rPr>
          <w:b/>
          <w:bCs/>
        </w:rPr>
      </w:pPr>
      <w:r>
        <w:rPr>
          <w:b/>
          <w:bCs/>
        </w:rPr>
        <w:t>3</w:t>
      </w:r>
      <w:r w:rsidR="003A5735" w:rsidRPr="00C96D64">
        <w:rPr>
          <w:b/>
          <w:bCs/>
        </w:rPr>
        <w:t>. Autorytet Tradycji Kościoła</w:t>
      </w:r>
    </w:p>
    <w:p w14:paraId="0D3A8164" w14:textId="68B99DFC" w:rsidR="00CC69C4" w:rsidRDefault="00CC69C4" w:rsidP="00775C10">
      <w:pPr>
        <w:spacing w:after="0" w:line="240" w:lineRule="auto"/>
        <w:ind w:firstLine="708"/>
        <w:jc w:val="both"/>
      </w:pPr>
      <w:r>
        <w:t>Przez długi czas niektórz</w:t>
      </w:r>
      <w:r w:rsidR="00775C10">
        <w:t>y zachodni pisarze postrzegali „Tradycję”</w:t>
      </w:r>
      <w:r>
        <w:t xml:space="preserve"> jako ślepe posłuszeństwo wobec przeszłości i mechaniczne przekazywanie bi</w:t>
      </w:r>
      <w:r w:rsidR="00775C10">
        <w:t>ernego depozytu. W ich opinii, T</w:t>
      </w:r>
      <w:r>
        <w:t>radycja to precyzyjny katalog starożytnych doktryn, kanonów i rytuałów albo muzeum dla starożytności. Dla</w:t>
      </w:r>
      <w:r w:rsidR="00775C10">
        <w:t>tego, w ich ocenie, tradycyjny K</w:t>
      </w:r>
      <w:r>
        <w:t xml:space="preserve">ościół wydaje </w:t>
      </w:r>
      <w:proofErr w:type="gramStart"/>
      <w:r>
        <w:t>się być</w:t>
      </w:r>
      <w:proofErr w:type="gramEnd"/>
      <w:r>
        <w:t xml:space="preserve"> solidnym obstrukcjonistą, przywiązanym do tego, co stare, jedynie ze względu na jego starożytność</w:t>
      </w:r>
      <w:r w:rsidR="00775C10">
        <w:rPr>
          <w:rStyle w:val="FootnoteReference"/>
        </w:rPr>
        <w:footnoteReference w:id="9"/>
      </w:r>
      <w:r>
        <w:t>.</w:t>
      </w:r>
      <w:r w:rsidR="00775C10">
        <w:t xml:space="preserve">  Protestantyzm zarzucała Kościołowi katolickiemu i Kościołom prawosławnym, że co prawda przyjmują oni </w:t>
      </w:r>
      <w:r w:rsidR="00775C10" w:rsidRPr="00775C10">
        <w:rPr>
          <w:i/>
          <w:iCs/>
        </w:rPr>
        <w:t>Biblię</w:t>
      </w:r>
      <w:r w:rsidR="00775C10">
        <w:t xml:space="preserve"> jako Bożą prawdę, ale często uważają ją za niepełną bez oficjalnej interpretacji Kościoła, prowadzonej przez Ducha Świętego. </w:t>
      </w:r>
    </w:p>
    <w:p w14:paraId="41B64F59" w14:textId="4FA9F8A7" w:rsidR="00CC69C4" w:rsidRDefault="00775C10" w:rsidP="00775C10">
      <w:pPr>
        <w:pStyle w:val="NoSpacing"/>
        <w:ind w:firstLine="708"/>
        <w:jc w:val="both"/>
      </w:pPr>
      <w:r>
        <w:t>Słowo „tradycja”</w:t>
      </w:r>
      <w:r w:rsidR="00CC69C4">
        <w:t xml:space="preserve"> w języku greckim, jak jest wspo</w:t>
      </w:r>
      <w:r>
        <w:t xml:space="preserve">mniane w Nowym Testamencie, to </w:t>
      </w:r>
      <w:r w:rsidRPr="00775C10">
        <w:rPr>
          <w:rFonts w:cs="Times New Roman"/>
          <w:i/>
          <w:iCs/>
          <w:color w:val="09090B"/>
          <w:shd w:val="clear" w:color="auto" w:fill="FFFFFF"/>
        </w:rPr>
        <w:t>παράδοση</w:t>
      </w:r>
      <w:r w:rsidRPr="00775C10">
        <w:rPr>
          <w:rFonts w:cs="Times New Roman"/>
        </w:rPr>
        <w:t xml:space="preserve"> </w:t>
      </w:r>
      <w:r w:rsidRPr="00775C10">
        <w:rPr>
          <w:rFonts w:cs="Times New Roman"/>
          <w:color w:val="09090B"/>
          <w:shd w:val="clear" w:color="auto" w:fill="FFFFFF"/>
        </w:rPr>
        <w:t>(parádosi)</w:t>
      </w:r>
      <w:r>
        <w:t>, które nie oznacza naśladowania</w:t>
      </w:r>
      <w:r w:rsidR="00CC69C4">
        <w:t xml:space="preserve">. Powiązane z nim czasownikiem jest </w:t>
      </w:r>
      <w:r w:rsidRPr="00775C10">
        <w:rPr>
          <w:rFonts w:cs="Times New Roman"/>
          <w:i/>
          <w:iCs/>
          <w:color w:val="09090B"/>
          <w:shd w:val="clear" w:color="auto" w:fill="FFFFFF"/>
        </w:rPr>
        <w:t>παραδίδομαι</w:t>
      </w:r>
      <w:r w:rsidR="00FF2872">
        <w:t xml:space="preserve"> (</w:t>
      </w:r>
      <w:r w:rsidR="00FF2872" w:rsidRPr="00FF2872">
        <w:t>paradidomai</w:t>
      </w:r>
      <w:r w:rsidR="00FF2872">
        <w:t xml:space="preserve">), które oznacza </w:t>
      </w:r>
      <w:r w:rsidR="00CC69C4">
        <w:t xml:space="preserve">przekazywanie lub </w:t>
      </w:r>
      <w:r w:rsidR="00FF2872">
        <w:t>wręczanie czegoś z ręki do ręki</w:t>
      </w:r>
      <w:r w:rsidR="00CC69C4">
        <w:t>. Blisko z t</w:t>
      </w:r>
      <w:r w:rsidR="00FF2872">
        <w:t>ym związanym czasownikiem jest</w:t>
      </w:r>
      <w:r w:rsidR="00FF2872" w:rsidRPr="00FF2872">
        <w:rPr>
          <w:rFonts w:cs="Times New Roman"/>
          <w:i/>
          <w:iCs/>
        </w:rPr>
        <w:t xml:space="preserve"> </w:t>
      </w:r>
      <w:r w:rsidR="00FF2872" w:rsidRPr="00FF2872">
        <w:rPr>
          <w:rFonts w:cs="Times New Roman"/>
          <w:i/>
          <w:iCs/>
          <w:color w:val="09090B"/>
          <w:shd w:val="clear" w:color="auto" w:fill="FFFFFF"/>
        </w:rPr>
        <w:t>παραλαμβάνω</w:t>
      </w:r>
      <w:r w:rsidR="00FF2872" w:rsidRPr="00FF2872">
        <w:rPr>
          <w:rFonts w:cs="Times New Roman"/>
          <w:i/>
          <w:iCs/>
        </w:rPr>
        <w:t xml:space="preserve"> </w:t>
      </w:r>
      <w:r w:rsidR="00FF2872">
        <w:t>(</w:t>
      </w:r>
      <w:r w:rsidR="00CC69C4">
        <w:t>paralambano</w:t>
      </w:r>
      <w:r w:rsidR="00FF2872">
        <w:t xml:space="preserve">), co oznacza </w:t>
      </w:r>
      <w:r w:rsidR="00CC69C4">
        <w:t>otrzy</w:t>
      </w:r>
      <w:r w:rsidR="00FF2872">
        <w:t>mywanie czegoś lub przyjmowanie</w:t>
      </w:r>
      <w:r w:rsidR="00CC69C4">
        <w:t>.</w:t>
      </w:r>
    </w:p>
    <w:p w14:paraId="23A53A18" w14:textId="77777777" w:rsidR="00FF2872" w:rsidRDefault="00CC69C4" w:rsidP="00FF2872">
      <w:pPr>
        <w:pStyle w:val="NoSpacing"/>
        <w:ind w:firstLine="708"/>
        <w:jc w:val="both"/>
      </w:pPr>
      <w:r>
        <w:t xml:space="preserve">W języku hebrajskim istnieją dwa terminy odpowiadające tym greckim czasownikom: </w:t>
      </w:r>
      <w:r w:rsidR="00FF2872" w:rsidRPr="00FF2872">
        <w:rPr>
          <w:rFonts w:cs="Times New Roman"/>
          <w:color w:val="09090B"/>
          <w:shd w:val="clear" w:color="auto" w:fill="FFFFFF"/>
          <w:rtl/>
          <w:lang w:bidi="he-IL"/>
        </w:rPr>
        <w:t>מָסַר</w:t>
      </w:r>
      <w:r w:rsidR="00FF2872" w:rsidRPr="00FF2872">
        <w:rPr>
          <w:rFonts w:cs="Times New Roman"/>
        </w:rPr>
        <w:t xml:space="preserve"> </w:t>
      </w:r>
      <w:r w:rsidR="00FF2872">
        <w:t xml:space="preserve">(masar) oznaczający przekazywać lub </w:t>
      </w:r>
      <w:proofErr w:type="gramStart"/>
      <w:r w:rsidR="00FF2872">
        <w:t>dostarczać  oraz</w:t>
      </w:r>
      <w:proofErr w:type="gramEnd"/>
      <w:r w:rsidR="00FF2872">
        <w:t xml:space="preserve"> termin </w:t>
      </w:r>
      <w:r w:rsidR="00FF2872" w:rsidRPr="00FF2872">
        <w:rPr>
          <w:rFonts w:cs="Times New Roman"/>
          <w:color w:val="09090B"/>
          <w:shd w:val="clear" w:color="auto" w:fill="FFFFFF"/>
          <w:rtl/>
          <w:lang w:bidi="he-IL"/>
        </w:rPr>
        <w:t>קִבֵּל</w:t>
      </w:r>
      <w:r w:rsidR="00FF2872">
        <w:t xml:space="preserve"> (</w:t>
      </w:r>
      <w:r>
        <w:t>qibbel</w:t>
      </w:r>
      <w:r w:rsidR="00FF2872">
        <w:t>) oznaczający: odbierać</w:t>
      </w:r>
      <w:r>
        <w:t>.</w:t>
      </w:r>
    </w:p>
    <w:p w14:paraId="0882C2A9" w14:textId="39FBC2BC" w:rsidR="003A5735" w:rsidRDefault="00CC69C4" w:rsidP="00FF2872">
      <w:pPr>
        <w:pStyle w:val="NoSpacing"/>
        <w:ind w:firstLine="708"/>
        <w:jc w:val="both"/>
      </w:pPr>
      <w:r>
        <w:t>Zatem sło</w:t>
      </w:r>
      <w:r w:rsidR="00FF2872">
        <w:t xml:space="preserve">wo </w:t>
      </w:r>
      <w:r w:rsidRPr="00FF2872">
        <w:rPr>
          <w:i/>
          <w:iCs/>
        </w:rPr>
        <w:t>tradycja</w:t>
      </w:r>
      <w:r w:rsidR="00FF2872">
        <w:t xml:space="preserve"> nie oznacza ograniczenia przeszłości, lecz biblijnie oznacza </w:t>
      </w:r>
      <w:r>
        <w:t>przekazywan</w:t>
      </w:r>
      <w:r w:rsidR="00FF2872">
        <w:t>ie depozytu i jego otrzymywanie</w:t>
      </w:r>
      <w:r>
        <w:t>. Jedno pokolenie przekazuje wiarę, a kolejne ją otrzymuje.</w:t>
      </w:r>
    </w:p>
    <w:p w14:paraId="4021D95E" w14:textId="3902BE98" w:rsidR="00781C1B" w:rsidRDefault="00CF0CED" w:rsidP="00781C1B">
      <w:pPr>
        <w:pStyle w:val="NoSpacing"/>
        <w:ind w:firstLine="708"/>
        <w:jc w:val="both"/>
      </w:pPr>
      <w:r>
        <w:t>Autorytet Trad</w:t>
      </w:r>
      <w:r w:rsidR="00781C1B">
        <w:t>ycji opiera się na autorytecie Chrystusa, który w rzeczywistości nie dostarczył swoim uczniom i apostołom pisemnego dokumentu, ale przygotował ich, aby podążali za Nim i przyjmowali Jego obecność w swoich sercach. Słyszeli, jak naucza, towarzyszyli Mu wszędzie; widzieli, jak modli się, pociesza ludzi, życzliwie traktuje grzeszników, leczy chorych, przywraca życie umarłym. Obserwowali Jego celebrację Ostatniej Wieczerzy oraz to, jak po Jego zmartwychwstaniu obdarzył ich pokojem. Na koniec posłał im swojego Ducha Świętego, nie tylko po to, aby przypominał im Jego słowa i pomagał naśladować Jego przykład, ale aby osiągnęli jedność z Nim i uczestniczyli w Jego boskim życiu.</w:t>
      </w:r>
    </w:p>
    <w:p w14:paraId="34269999" w14:textId="77AE19DF" w:rsidR="00781C1B" w:rsidRDefault="00781C1B" w:rsidP="00781C1B">
      <w:pPr>
        <w:pStyle w:val="NoSpacing"/>
        <w:ind w:firstLine="708"/>
        <w:jc w:val="both"/>
      </w:pPr>
      <w:r>
        <w:t>To jest istota naszej tradycji, to jedność z Chrystusem przez Ducha Świętego. Bo Bóg Ojciec dał nam swojego S</w:t>
      </w:r>
      <w:r w:rsidR="009A20EB">
        <w:t>yna, a Syn wydał się za nas (Ga</w:t>
      </w:r>
      <w:r>
        <w:t xml:space="preserve"> 2,20; Ef 5,2).</w:t>
      </w:r>
    </w:p>
    <w:p w14:paraId="7B2C8468" w14:textId="368FC28D" w:rsidR="00781C1B" w:rsidRDefault="00781C1B" w:rsidP="00B26F6E">
      <w:pPr>
        <w:pStyle w:val="NoSpacing"/>
        <w:ind w:firstLine="708"/>
        <w:jc w:val="both"/>
      </w:pPr>
      <w:r>
        <w:t>To jest Tradycja, czyli „wiara</w:t>
      </w:r>
      <w:r w:rsidR="00B26F6E">
        <w:t>, która raz została przekazana świętym” (Jud</w:t>
      </w:r>
      <w:r>
        <w:t xml:space="preserve"> 3), lub „Ewangelia” zapisana w naszym życiu i wyryta w naszych sercach. To żywa rzecz, otrzymana </w:t>
      </w:r>
      <w:r>
        <w:lastRenderedPageBreak/>
        <w:t>przez apostołów, którzy przekazali ją swoim uczniom przez Ducha Świętego, który świadczy o Chrystusie w życiu Kościoła i łączy go z</w:t>
      </w:r>
      <w:r w:rsidR="005F73AB">
        <w:t>e</w:t>
      </w:r>
      <w:r>
        <w:t xml:space="preserve"> Zbawicielem.</w:t>
      </w:r>
    </w:p>
    <w:p w14:paraId="3AD876CE" w14:textId="77777777" w:rsidR="00B26F6E" w:rsidRDefault="00B26F6E" w:rsidP="00B26F6E">
      <w:pPr>
        <w:pStyle w:val="NoSpacing"/>
        <w:ind w:firstLine="708"/>
        <w:jc w:val="both"/>
      </w:pPr>
      <w:r>
        <w:t>Innymi słowy, działanie przekazywania realizuje się nie tylko przez pisma apostołów, ale przede wszystkim przez Ducha Świętego, który kierował ich uczuciami, postawami, kultem, zachowaniem i ich nauczaniem. To On obdarzył ich nowym życiem, czyli „życiem w Chrystusie”. To działanie Ducha Świętego sprawia, że „tradycja Chrystusa” jest zachowywana w życiu Kościoła przez kolejne pokolenia, gdyż On zawsze żyje i działa w Kościele wczoraj, dziś i jutro - inspiruje jego życie i czyni je ciągłością życia, wiary i miłości, a nie mechanicznym powtarzaniem przeszłości.</w:t>
      </w:r>
    </w:p>
    <w:p w14:paraId="0209D7F1" w14:textId="5656EF0E" w:rsidR="00B26F6E" w:rsidRDefault="00B26F6E" w:rsidP="00B26F6E">
      <w:pPr>
        <w:pStyle w:val="NoSpacing"/>
        <w:ind w:firstLine="708"/>
        <w:jc w:val="both"/>
      </w:pPr>
      <w:r>
        <w:t>W ten sposób tradycja jest dla nas autorytetem - żywym strumieniem jednego życia Kościoła, który przywołuje przeszłość we wszystkich jej aspektach jako żywe teraz i wydłuża teraźniejszość ku przyszłości bez deformacji.</w:t>
      </w:r>
    </w:p>
    <w:p w14:paraId="45D50F02" w14:textId="77777777" w:rsidR="00FC2C24" w:rsidRDefault="00FC2C24" w:rsidP="00B26F6E">
      <w:pPr>
        <w:pStyle w:val="NoSpacing"/>
        <w:ind w:firstLine="708"/>
        <w:jc w:val="both"/>
      </w:pPr>
    </w:p>
    <w:p w14:paraId="19ADA33C" w14:textId="00084199" w:rsidR="00FC2C24" w:rsidRPr="00FC2C24" w:rsidRDefault="00FC2C24" w:rsidP="00B26F6E">
      <w:pPr>
        <w:pStyle w:val="NoSpacing"/>
        <w:ind w:firstLine="708"/>
        <w:jc w:val="both"/>
        <w:rPr>
          <w:rFonts w:cs="Times New Roman"/>
        </w:rPr>
      </w:pPr>
      <w:r w:rsidRPr="00FC2C24">
        <w:rPr>
          <w:rFonts w:cs="Times New Roman"/>
          <w:b/>
          <w:bCs/>
        </w:rPr>
        <w:t>4.</w:t>
      </w:r>
      <w:r w:rsidRPr="00FC2C24">
        <w:rPr>
          <w:rFonts w:eastAsia="Times New Roman" w:cs="Times New Roman"/>
          <w:b/>
          <w:bCs/>
          <w:color w:val="0A0A0A"/>
          <w:kern w:val="0"/>
          <w:lang w:eastAsia="pl-PL" w:bidi="he-IL"/>
          <w14:ligatures w14:val="none"/>
        </w:rPr>
        <w:t xml:space="preserve"> </w:t>
      </w:r>
      <w:r>
        <w:rPr>
          <w:rFonts w:eastAsia="Times New Roman" w:cs="Times New Roman"/>
          <w:b/>
          <w:bCs/>
          <w:color w:val="0A0A0A"/>
          <w:kern w:val="0"/>
          <w:lang w:eastAsia="pl-PL" w:bidi="he-IL"/>
          <w14:ligatures w14:val="none"/>
        </w:rPr>
        <w:t>Autorytet Urzę</w:t>
      </w:r>
      <w:r w:rsidRPr="00FC2C24">
        <w:rPr>
          <w:rFonts w:eastAsia="Times New Roman" w:cs="Times New Roman"/>
          <w:b/>
          <w:bCs/>
          <w:color w:val="0A0A0A"/>
          <w:kern w:val="0"/>
          <w:lang w:eastAsia="pl-PL" w:bidi="he-IL"/>
          <w14:ligatures w14:val="none"/>
        </w:rPr>
        <w:t>d</w:t>
      </w:r>
      <w:r>
        <w:rPr>
          <w:rFonts w:eastAsia="Times New Roman" w:cs="Times New Roman"/>
          <w:b/>
          <w:bCs/>
          <w:color w:val="0A0A0A"/>
          <w:kern w:val="0"/>
          <w:lang w:eastAsia="pl-PL" w:bidi="he-IL"/>
          <w14:ligatures w14:val="none"/>
        </w:rPr>
        <w:t>u</w:t>
      </w:r>
      <w:r w:rsidRPr="00FC2C24">
        <w:rPr>
          <w:rFonts w:eastAsia="Times New Roman" w:cs="Times New Roman"/>
          <w:b/>
          <w:bCs/>
          <w:color w:val="0A0A0A"/>
          <w:kern w:val="0"/>
          <w:lang w:eastAsia="pl-PL" w:bidi="he-IL"/>
          <w14:ligatures w14:val="none"/>
        </w:rPr>
        <w:t xml:space="preserve"> Nauczycielski</w:t>
      </w:r>
      <w:r>
        <w:rPr>
          <w:rFonts w:eastAsia="Times New Roman" w:cs="Times New Roman"/>
          <w:b/>
          <w:bCs/>
          <w:color w:val="0A0A0A"/>
          <w:kern w:val="0"/>
          <w:lang w:eastAsia="pl-PL" w:bidi="he-IL"/>
          <w14:ligatures w14:val="none"/>
        </w:rPr>
        <w:t>ego</w:t>
      </w:r>
      <w:r w:rsidRPr="00FC2C24">
        <w:rPr>
          <w:rFonts w:eastAsia="Times New Roman" w:cs="Times New Roman"/>
          <w:b/>
          <w:bCs/>
          <w:color w:val="0A0A0A"/>
          <w:kern w:val="0"/>
          <w:lang w:eastAsia="pl-PL" w:bidi="he-IL"/>
          <w14:ligatures w14:val="none"/>
        </w:rPr>
        <w:t xml:space="preserve"> Kościoła (Magisterium)</w:t>
      </w:r>
    </w:p>
    <w:p w14:paraId="355BF0AA" w14:textId="77777777" w:rsidR="00FC2C24" w:rsidRDefault="00FC2C24" w:rsidP="00B26F6E">
      <w:pPr>
        <w:pStyle w:val="NoSpacing"/>
        <w:ind w:firstLine="708"/>
        <w:jc w:val="both"/>
      </w:pPr>
    </w:p>
    <w:p w14:paraId="657FD959" w14:textId="24E1B679" w:rsidR="00FC2C24" w:rsidRDefault="00FC2C24" w:rsidP="00FC2C24">
      <w:pPr>
        <w:pStyle w:val="NoSpacing"/>
        <w:ind w:firstLine="708"/>
        <w:jc w:val="both"/>
      </w:pPr>
      <w:r>
        <w:t>Autorytet Urzędu Nauczycielskiego Kościoła, znany również jako Magisterium, odnosi się do władzy nauczania i interpretacji doktryny, jaką posiada Kościół. To pojęcie obejmuje zarówno biskupów</w:t>
      </w:r>
      <w:r w:rsidR="0037711E">
        <w:rPr>
          <w:rStyle w:val="FootnoteReference"/>
        </w:rPr>
        <w:footnoteReference w:id="10"/>
      </w:r>
      <w:r>
        <w:t>, jak i papieża, którzy są odpowiedzialni za głoszenie i przekazywanie wiary katolickiej w sposób autorytatywny</w:t>
      </w:r>
      <w:r w:rsidR="00990021">
        <w:rPr>
          <w:rStyle w:val="FootnoteReference"/>
        </w:rPr>
        <w:footnoteReference w:id="11"/>
      </w:r>
      <w:r>
        <w:t>.</w:t>
      </w:r>
    </w:p>
    <w:p w14:paraId="544723E5" w14:textId="77777777" w:rsidR="00FC2C24" w:rsidRDefault="00FC2C24" w:rsidP="00FC2C24">
      <w:pPr>
        <w:pStyle w:val="NoSpacing"/>
        <w:ind w:firstLine="708"/>
        <w:jc w:val="both"/>
      </w:pPr>
      <w:r>
        <w:t>Magisterium opiera się na przekonaniu, że władza nauczycielska Kościoła została przekazana przez samego Chrystusa apostołom, a następnie kontynuowana przez ich następców. W związku z tym, autorytet ten ma na celu prowadzenie wiernych w prawdzie, ochranianie ich przed błędami oraz zachowanie wierności nauce objawionej w Piśmie Świętym i Tradycji.</w:t>
      </w:r>
    </w:p>
    <w:p w14:paraId="232C889E" w14:textId="42D61470" w:rsidR="00FC2C24" w:rsidRDefault="00FC2C24" w:rsidP="002B3548">
      <w:pPr>
        <w:pStyle w:val="NoSpacing"/>
        <w:ind w:firstLine="708"/>
        <w:jc w:val="both"/>
      </w:pPr>
      <w:r>
        <w:t>Urzędowe nauczanie Kościoła obejmuje dogmaty</w:t>
      </w:r>
      <w:r w:rsidR="002B3548">
        <w:t xml:space="preserve"> </w:t>
      </w:r>
      <w:r>
        <w:t>oraz zasady moralne, które kierują życiem chrześcijan</w:t>
      </w:r>
      <w:r w:rsidR="001D4258">
        <w:rPr>
          <w:rStyle w:val="FootnoteReference"/>
        </w:rPr>
        <w:footnoteReference w:id="12"/>
      </w:r>
      <w:r>
        <w:t>. Dzięki temu Magisterium ma kluczowe znaczenie w formowaniu sumień wiernych oraz w kształtowaniu życia duchowego wspólnoty. Autorytet Magisterium jest szczególnie podkreślany w kontekście takich wydarzeń jak sobory</w:t>
      </w:r>
      <w:r w:rsidR="002B3548">
        <w:t xml:space="preserve"> </w:t>
      </w:r>
      <w:r>
        <w:t>c</w:t>
      </w:r>
      <w:r w:rsidR="002B3548">
        <w:t>zy nauczanie</w:t>
      </w:r>
      <w:r>
        <w:t xml:space="preserve"> papieskie, które mają na celu odpowiedź na współczesne wyzwania i pytania dotyczące wiary.</w:t>
      </w:r>
    </w:p>
    <w:p w14:paraId="08C5B13B" w14:textId="6BF8A179" w:rsidR="00641641" w:rsidRDefault="00641641" w:rsidP="000052E7">
      <w:pPr>
        <w:pStyle w:val="NoSpacing"/>
        <w:ind w:firstLine="708"/>
        <w:jc w:val="both"/>
        <w:rPr>
          <w:rFonts w:cs="Times New Roman"/>
          <w:color w:val="000000"/>
          <w:shd w:val="clear" w:color="auto" w:fill="FFFFFF"/>
        </w:rPr>
      </w:pPr>
      <w:r w:rsidRPr="0003716E">
        <w:rPr>
          <w:rFonts w:cs="Times New Roman"/>
          <w:color w:val="000000"/>
          <w:shd w:val="clear" w:color="auto" w:fill="FFFFFF"/>
        </w:rPr>
        <w:t>Jan Paweł II podkreślał, że w kształtowaniu sumienia chrześcijan bardzo pomaga chrześcijanom Kościół i jego Magisterium</w:t>
      </w:r>
      <w:r w:rsidRPr="0003716E">
        <w:rPr>
          <w:rStyle w:val="FootnoteReference"/>
          <w:rFonts w:cs="Times New Roman"/>
          <w:color w:val="000000"/>
          <w:shd w:val="clear" w:color="auto" w:fill="FFFFFF"/>
        </w:rPr>
        <w:footnoteReference w:id="13"/>
      </w:r>
      <w:r w:rsidRPr="0003716E">
        <w:rPr>
          <w:rFonts w:cs="Times New Roman"/>
          <w:color w:val="000000"/>
          <w:shd w:val="clear" w:color="auto" w:fill="FFFFFF"/>
        </w:rPr>
        <w:t xml:space="preserve">. Nawiązuje on do II Soboru Watykańskiego, który podkreślał, że: „Chrześcijanie zaś w kształtowaniu swego sumienia powinni pilnie </w:t>
      </w:r>
      <w:proofErr w:type="gramStart"/>
      <w:r w:rsidRPr="0003716E">
        <w:rPr>
          <w:rFonts w:cs="Times New Roman"/>
          <w:color w:val="000000"/>
          <w:shd w:val="clear" w:color="auto" w:fill="FFFFFF"/>
        </w:rPr>
        <w:t>baczyć</w:t>
      </w:r>
      <w:proofErr w:type="gramEnd"/>
      <w:r w:rsidRPr="0003716E">
        <w:rPr>
          <w:rFonts w:cs="Times New Roman"/>
          <w:color w:val="000000"/>
          <w:shd w:val="clear" w:color="auto" w:fill="FFFFFF"/>
        </w:rPr>
        <w:t xml:space="preserve"> na świętą i pewną naukę Kościoła. Z woli bowiem Chrystusa Kościół katolicki jest nauczycielem prawdy i ciąży na nim obowiązek, aby głosił i autentycznie nauczał Prawdy, którą jest Chrystus, a zarazem powagą swoją wyjaśniał i potwierdzał zasady porządku moralnego, wynikające z samej natury ludzkiej”</w:t>
      </w:r>
      <w:r w:rsidRPr="0003716E">
        <w:rPr>
          <w:rStyle w:val="FootnoteReference"/>
          <w:rFonts w:cs="Times New Roman"/>
          <w:color w:val="000000"/>
          <w:shd w:val="clear" w:color="auto" w:fill="FFFFFF"/>
        </w:rPr>
        <w:footnoteReference w:id="14"/>
      </w:r>
      <w:bookmarkStart w:id="1" w:name="-33"/>
      <w:bookmarkEnd w:id="1"/>
      <w:r w:rsidR="000052E7">
        <w:rPr>
          <w:rFonts w:cs="Times New Roman"/>
          <w:color w:val="000000"/>
          <w:shd w:val="clear" w:color="auto" w:fill="FFFFFF"/>
        </w:rPr>
        <w:t>.</w:t>
      </w:r>
      <w:r w:rsidRPr="0003716E">
        <w:rPr>
          <w:rFonts w:cs="Times New Roman"/>
          <w:color w:val="000000"/>
          <w:shd w:val="clear" w:color="auto" w:fill="FFFFFF"/>
        </w:rPr>
        <w:t xml:space="preserve"> Tak więc władza Kościoła, gdy wypowiada się w kwestiach moralnych, nie narusza w żaden sposób wolności sumienia chrześcijan: nie tylko dlatego, że wolność sumienia nie jest nigdy wolnością „od” prawdy, ale zawsze i wyłącznie „w” prawdzie, lecz także dlatego, iż </w:t>
      </w:r>
      <w:r w:rsidR="0003716E">
        <w:rPr>
          <w:rFonts w:cs="Times New Roman"/>
          <w:color w:val="000000"/>
          <w:shd w:val="clear" w:color="auto" w:fill="FFFFFF"/>
        </w:rPr>
        <w:t xml:space="preserve">Urząd Nauczycielski Kościoła </w:t>
      </w:r>
      <w:r w:rsidRPr="0003716E">
        <w:rPr>
          <w:rFonts w:cs="Times New Roman"/>
          <w:color w:val="000000"/>
          <w:shd w:val="clear" w:color="auto" w:fill="FFFFFF"/>
        </w:rPr>
        <w:t>nie wprowadza do chrześcijańskiego sumienia prawd mu obcych, a tylko objawia prawdy, które sumienie powinno już znać i rozwijać je, wychodząc od pierwotnego aktu wiary. Kościół pragnie jedynie </w:t>
      </w:r>
      <w:r w:rsidRPr="0003716E">
        <w:rPr>
          <w:rFonts w:cs="Times New Roman"/>
          <w:i/>
          <w:iCs/>
          <w:color w:val="000000"/>
          <w:shd w:val="clear" w:color="auto" w:fill="FFFFFF"/>
        </w:rPr>
        <w:t>służyć sumieniu</w:t>
      </w:r>
      <w:r w:rsidRPr="0003716E">
        <w:rPr>
          <w:rFonts w:cs="Times New Roman"/>
          <w:color w:val="000000"/>
          <w:shd w:val="clear" w:color="auto" w:fill="FFFFFF"/>
        </w:rPr>
        <w:t xml:space="preserve">, pomagać mu, aby nie poruszał nim każdy powiew nauki na </w:t>
      </w:r>
      <w:r w:rsidRPr="0003716E">
        <w:rPr>
          <w:rFonts w:cs="Times New Roman"/>
          <w:color w:val="000000"/>
          <w:shd w:val="clear" w:color="auto" w:fill="FFFFFF"/>
        </w:rPr>
        <w:lastRenderedPageBreak/>
        <w:t>skutek oszustwa ze strony ludzi (por. Ef 4, 14) i aby nie odchodziło ono od prawdy o dobru człowieka, ale by mogło pewną drogą dojść do prawdy i w niej trwać</w:t>
      </w:r>
      <w:r w:rsidR="0003716E">
        <w:rPr>
          <w:rStyle w:val="FootnoteReference"/>
          <w:rFonts w:cs="Times New Roman"/>
          <w:color w:val="000000"/>
          <w:shd w:val="clear" w:color="auto" w:fill="FFFFFF"/>
        </w:rPr>
        <w:footnoteReference w:id="15"/>
      </w:r>
      <w:r w:rsidRPr="0003716E">
        <w:rPr>
          <w:rFonts w:cs="Times New Roman"/>
          <w:color w:val="000000"/>
          <w:shd w:val="clear" w:color="auto" w:fill="FFFFFF"/>
        </w:rPr>
        <w:t>.</w:t>
      </w:r>
    </w:p>
    <w:p w14:paraId="3C579425" w14:textId="39623ED1" w:rsidR="000052E7" w:rsidRPr="0003716E" w:rsidRDefault="000052E7" w:rsidP="000052E7">
      <w:pPr>
        <w:pStyle w:val="NoSpacing"/>
        <w:ind w:firstLine="708"/>
        <w:jc w:val="both"/>
        <w:rPr>
          <w:rFonts w:cs="Times New Roman"/>
        </w:rPr>
      </w:pPr>
      <w:r>
        <w:t>Autorytet papieża potrzebny jest szczególnie w czasach kryzysu Kościoła, gdy jest on poddawany presji, by odstąpić od nauczania Chrystusa i przeżywa trudności zbliżone do tych, które były doświadczeniem chrześcijan z Galacji. Autorytet Urzędu Nauczycielskiego Kościoła potrzebny jest, aby powiedzieć z mocą: „Innej jednak Ewangelii nie ma. Są tylko tacy, którzy sieją zamęt wśród was i chcą fałszować Ewangelię Chrystusa” (Ga 1,7). Papież Paweł VI, poddawany presji zmiany moralnego nauczania napisał: „Czy należy prawo moralne obniżyć do poziomu tego, co ludzie zwykle robią, a więc sprowadzić moralność do poziomu obyczajów (które, nawiasem mówiąc, jutro mogą być jeszcze gorsze niż dzisiaj, i dokąd wówczas dojdziemy)? Czy też przeciwnie, należy utrzymać wysoki poziom ideału, nawet jeśli on jest trudny do osiągnięcia, nawet jeśli zwykły człowiek czuje się niezdolny, żeby do niego dojść, albo winny? Sądzę, że razem ze wszystkimi mędrcami, bohaterami i świętymi, powiedziałbym: wszyscy prawdziwi przyjaciele ludzkiej natury i prawdziwego ludzkiego szczęścia (wierzący i niewierzący), chociażby nawet protestowali i stawiali opór, w głębi serca podziękują autorytetowi, który będzie posiadał dosyć światła, siły i ufności na to, żeby nie obniżyć ideału. Nigdy prorocy Izraela ani apostołowie Kościoła nie zgodzili się na pomniejszenie ideału, nigdy nie złagodzili pojęcia doskonałości, nie starali się zmniejszyć odległości między ideałem a naturą. Nigdy oni nie zacieśnili pojęcia grzechu – wręcz przeciwnie”</w:t>
      </w:r>
      <w:r>
        <w:rPr>
          <w:rStyle w:val="FootnoteReference"/>
        </w:rPr>
        <w:footnoteReference w:id="16"/>
      </w:r>
      <w:r>
        <w:t xml:space="preserve">. </w:t>
      </w:r>
    </w:p>
    <w:p w14:paraId="1298978A" w14:textId="77777777" w:rsidR="00CF0CED" w:rsidRDefault="00CF0CED" w:rsidP="002B3548">
      <w:pPr>
        <w:pStyle w:val="NoSpacing"/>
        <w:ind w:firstLine="708"/>
        <w:jc w:val="both"/>
      </w:pPr>
    </w:p>
    <w:p w14:paraId="02FA4AD9" w14:textId="62787F13" w:rsidR="00CF0CED" w:rsidRPr="00CF0CED" w:rsidRDefault="00CF0CED" w:rsidP="002B3548">
      <w:pPr>
        <w:pStyle w:val="NoSpacing"/>
        <w:ind w:firstLine="708"/>
        <w:jc w:val="both"/>
        <w:rPr>
          <w:b/>
          <w:bCs/>
        </w:rPr>
      </w:pPr>
      <w:r w:rsidRPr="00CF0CED">
        <w:rPr>
          <w:b/>
          <w:bCs/>
        </w:rPr>
        <w:t>5. Autorytet sumienia</w:t>
      </w:r>
    </w:p>
    <w:p w14:paraId="1BA1E82E" w14:textId="77777777" w:rsidR="00CF0CED" w:rsidRDefault="00CF0CED" w:rsidP="002B3548">
      <w:pPr>
        <w:pStyle w:val="NoSpacing"/>
        <w:ind w:firstLine="708"/>
        <w:jc w:val="both"/>
      </w:pPr>
    </w:p>
    <w:p w14:paraId="67D45AE2" w14:textId="4C9CB54C" w:rsidR="00CF0CED" w:rsidRDefault="00CF0CED" w:rsidP="00CF0CED">
      <w:pPr>
        <w:pStyle w:val="NoSpacing"/>
        <w:ind w:firstLine="708"/>
        <w:jc w:val="both"/>
      </w:pPr>
      <w:r>
        <w:t>Akceptacja autorytetu i jego istotnej roli w życiu każdego człowieka jest trudna do osiągnięcia w przypadku pewnych skrajnych założeń. Na przykład, jeśli nie uznaje się możliwości poznania obiektywnej prawdy lub głosi się całkowitą niezależność jednostki od innych członków społeczności, wówczas autorytet jednej osoby względem drugiej może wydawać się albo zbędny, albo wręcz szkodliwy. Skrajny indywidualizm, racjonalizm, sceptycyzm i relatywizm mogą bowiem blokować możliwość pozytywnego spojrzenia na autorytet</w:t>
      </w:r>
      <w:r>
        <w:rPr>
          <w:rStyle w:val="FootnoteReference"/>
        </w:rPr>
        <w:footnoteReference w:id="17"/>
      </w:r>
      <w:r>
        <w:t>.</w:t>
      </w:r>
    </w:p>
    <w:p w14:paraId="6ABC3FF0" w14:textId="5E53BBA7" w:rsidR="00CF0CED" w:rsidRDefault="00CF0CED" w:rsidP="00CF0CED">
      <w:pPr>
        <w:pStyle w:val="NoSpacing"/>
        <w:ind w:firstLine="708"/>
        <w:jc w:val="both"/>
      </w:pPr>
      <w:r>
        <w:t xml:space="preserve">Jednak w praktyce te skrajne postawy rzadko występują w czystej formie. Raczej ich wpływ nie jest całkowity </w:t>
      </w:r>
      <w:proofErr w:type="gramStart"/>
      <w:r>
        <w:t>i,</w:t>
      </w:r>
      <w:proofErr w:type="gramEnd"/>
      <w:r>
        <w:t xml:space="preserve"> gdy się pojawia, to stawia granice przed pozytywną koncepcją autorytetu. Dlatego, mimo różnych zastrzeżeń wobec autorytetu, mało kto całkowicie neguje jego ważną rolę i konieczność w życiu człowieka. Nawet zagorzałe krytyki autorytetów mają swoje własne źródła autorytetu</w:t>
      </w:r>
      <w:r w:rsidR="00990021">
        <w:rPr>
          <w:rStyle w:val="FootnoteReference"/>
        </w:rPr>
        <w:footnoteReference w:id="18"/>
      </w:r>
      <w:r>
        <w:t>, co pokazuje, że w głębi ducha wszyscy poszukujemy wartościowych odniesień i fundamentów, na których możemy oprzeć nasze przekonania i działania</w:t>
      </w:r>
      <w:r>
        <w:rPr>
          <w:rStyle w:val="FootnoteReference"/>
        </w:rPr>
        <w:footnoteReference w:id="19"/>
      </w:r>
      <w:r>
        <w:t>.</w:t>
      </w:r>
    </w:p>
    <w:p w14:paraId="30D6BEAE" w14:textId="0158363F" w:rsidR="00CF0CED" w:rsidRDefault="00CF0CED" w:rsidP="00CF0CED">
      <w:pPr>
        <w:pStyle w:val="NoSpacing"/>
        <w:ind w:firstLine="708"/>
        <w:jc w:val="both"/>
      </w:pPr>
      <w:r>
        <w:t>Natura autorytetu polega na tym, że ma on wpływ na ludzkie sumienia. Aby jednak sumienia mogły zachować swoją wartość, muszą być wolne. Wolność sumienia można zrozumieć jako brak ograniczeń narzucanych przez coś innego niż sama prawda</w:t>
      </w:r>
      <w:r>
        <w:rPr>
          <w:rStyle w:val="FootnoteReference"/>
        </w:rPr>
        <w:footnoteReference w:id="20"/>
      </w:r>
      <w:r>
        <w:t>. Prawda nie odbiera sumieniu wolności, lecz wręcz ją kształtuje i wzmacnia. Natomiast każdy inny wpływ na sumienie, który determinuje je w sposób różny od prawdy, ogranicza jego wolność.</w:t>
      </w:r>
    </w:p>
    <w:p w14:paraId="66D2E882" w14:textId="426FBFEB" w:rsidR="00CF0CED" w:rsidRDefault="00CF0CED" w:rsidP="00CF0CED">
      <w:pPr>
        <w:pStyle w:val="NoSpacing"/>
        <w:ind w:firstLine="708"/>
        <w:jc w:val="both"/>
      </w:pPr>
      <w:r>
        <w:lastRenderedPageBreak/>
        <w:t>Sumienie traci swoją wolność, gdy człowiek jest przymuszany – zarówno w sposób fizyczny, jak i psychiczny – do działania wbrew temu, co naprawdę odczuwa. Również działania, które zmuszają osobę do postępowania zgodnie z jej sumieniem, ale poprzez wprowadzenie jej w błąd lub ograniczenie dostępu do prawdy, również pozbawiają sumienie swobody</w:t>
      </w:r>
      <w:r w:rsidR="00990021">
        <w:rPr>
          <w:rStyle w:val="FootnoteReference"/>
        </w:rPr>
        <w:footnoteReference w:id="21"/>
      </w:r>
      <w:r>
        <w:t>. Takie manipulacje mogą sprawić, że człowiek podejmuje decyzje, które są zgodne z narzuconym mu rozumieniem, ale nie z jego autentycznym sumieniem.</w:t>
      </w:r>
    </w:p>
    <w:p w14:paraId="150CF626" w14:textId="77777777" w:rsidR="00D02C6F" w:rsidRDefault="00CF0CED" w:rsidP="00D02C6F">
      <w:pPr>
        <w:pStyle w:val="NoSpacing"/>
        <w:ind w:firstLine="708"/>
        <w:jc w:val="both"/>
      </w:pPr>
      <w:r>
        <w:t>Warto zauważyć, że wolność sumienia jest fundamentem uczciwego i odpowiedzialnego działania. Ostatecznie, autorytet powinien inspirować i prowadzić, a nie ograniczać wolność jednostki do podejmowania moralnych decyzji, które są zgodne z jej wewnętrznymi przekonaniami.</w:t>
      </w:r>
    </w:p>
    <w:p w14:paraId="7BDC9B00" w14:textId="2F560FE4" w:rsidR="00D02C6F" w:rsidRDefault="00CF0CED" w:rsidP="00D02C6F">
      <w:pPr>
        <w:pStyle w:val="NoSpacing"/>
        <w:ind w:firstLine="708"/>
        <w:jc w:val="both"/>
      </w:pPr>
      <w:r>
        <w:t>Można jednak wpływać na sumienie w taki sposób, aby skłonić jednostkę do wyciągania własnych wniosków w zgodzie z prawdą; w takim przypadku nie pozbawia się jej wolności. Każdy człowiek ma prawo do wolności sumienia i ma obowiązek postępować zgodnie z tym, co podpowiada mu jego własne sumienie</w:t>
      </w:r>
      <w:r w:rsidR="00D02C6F">
        <w:rPr>
          <w:rStyle w:val="FootnoteReference"/>
        </w:rPr>
        <w:footnoteReference w:id="22"/>
      </w:r>
      <w:r>
        <w:t xml:space="preserve">. Wolność sumienia nie oznacza bowiem wolności od </w:t>
      </w:r>
      <w:proofErr w:type="gramStart"/>
      <w:r>
        <w:t>sumienia,</w:t>
      </w:r>
      <w:proofErr w:type="gramEnd"/>
      <w:r>
        <w:t xml:space="preserve"> ani tym bardziej nie polega na dobrowolnym rezygnowaniu z jego głosu.</w:t>
      </w:r>
    </w:p>
    <w:p w14:paraId="376719C5" w14:textId="77777777" w:rsidR="00641641" w:rsidRDefault="00CF0CED" w:rsidP="00641641">
      <w:pPr>
        <w:pStyle w:val="NoSpacing"/>
        <w:ind w:firstLine="708"/>
        <w:jc w:val="both"/>
      </w:pPr>
      <w:r>
        <w:t>Prawo do wolności sumienia jest powiązane z dwoma istotnymi obowiązkami, które obowiązują innych członków społeczności. Po pierwsze, istnieje bezwzględny zakaz zmuszania kogokolwiek do działania wbrew jego sumieniu – ten zakaz jest absolutny. Po drugie, obowiązuje zakaz przeszkadzania innym w działaniu zgodnym z ich sumieniem, chociaż ten drugi zakaz nie jest absolutny. Można go znieść, jeśli jego realizacja kolidowałaby z dobrem wspólnym</w:t>
      </w:r>
      <w:r w:rsidR="00D02C6F">
        <w:rPr>
          <w:rStyle w:val="FootnoteReference"/>
        </w:rPr>
        <w:footnoteReference w:id="23"/>
      </w:r>
      <w:r>
        <w:t>.</w:t>
      </w:r>
    </w:p>
    <w:p w14:paraId="03F82E62" w14:textId="4A57710B" w:rsidR="00C96D64" w:rsidRDefault="00CF0CED" w:rsidP="00641641">
      <w:pPr>
        <w:pStyle w:val="NoSpacing"/>
        <w:ind w:firstLine="708"/>
        <w:jc w:val="both"/>
      </w:pPr>
      <w:r>
        <w:t>Wolność sumienia zakłada również możliwość dokonania oceny, która może być sprzeczna z nauczaniem autorytetu władzy kościelnej, co oznacza, że może stać w sprzeczności z doktryną i dyscypliną Kościoła. W przypadku konfliktu między osobistym sumieniem a stanowiskiem autorytetu w Kościele teoretycznie może zdarzyć się, że rację ma indywidualne sumienie, a nie autorytet</w:t>
      </w:r>
      <w:r w:rsidR="00641641">
        <w:rPr>
          <w:rStyle w:val="FootnoteReference"/>
        </w:rPr>
        <w:footnoteReference w:id="24"/>
      </w:r>
      <w:r>
        <w:t>. Taka sytuacja jednak zdarza się niezwykle rzadko.</w:t>
      </w:r>
      <w:r w:rsidR="00D02C6F">
        <w:t xml:space="preserve"> </w:t>
      </w:r>
      <w:r>
        <w:t>Jednakże prawo do wolności sumienia może być nadużywane jako pretekst do usprawiedliwienia nieposłuszeństwa wobec autorytetu. Dlatego tak ważne jest, abyśmy podchodzili do tej kwestii z rozwagą, pamiętając, że wolność powinna współistnieć z odpowiedzialnością oraz szacunkiem dla samego siebie i dla wspólnoty, w której żyjemy</w:t>
      </w:r>
      <w:r w:rsidR="001D4258">
        <w:rPr>
          <w:rStyle w:val="FootnoteReference"/>
        </w:rPr>
        <w:footnoteReference w:id="25"/>
      </w:r>
      <w:r>
        <w:t>.</w:t>
      </w:r>
    </w:p>
    <w:p w14:paraId="6AA9EDD2" w14:textId="77777777" w:rsidR="0003716E" w:rsidRDefault="0003716E" w:rsidP="00641641">
      <w:pPr>
        <w:pStyle w:val="NoSpacing"/>
        <w:ind w:firstLine="708"/>
        <w:jc w:val="both"/>
      </w:pPr>
    </w:p>
    <w:p w14:paraId="141590D2" w14:textId="496EB13C" w:rsidR="0003716E" w:rsidRPr="0003716E" w:rsidRDefault="0003716E" w:rsidP="00641641">
      <w:pPr>
        <w:pStyle w:val="NoSpacing"/>
        <w:ind w:firstLine="708"/>
        <w:jc w:val="both"/>
        <w:rPr>
          <w:b/>
          <w:bCs/>
        </w:rPr>
      </w:pPr>
      <w:r w:rsidRPr="0003716E">
        <w:rPr>
          <w:b/>
          <w:bCs/>
        </w:rPr>
        <w:t>Podsumowanie</w:t>
      </w:r>
    </w:p>
    <w:p w14:paraId="29B615CA" w14:textId="77777777" w:rsidR="0003716E" w:rsidRDefault="0003716E" w:rsidP="00641641">
      <w:pPr>
        <w:pStyle w:val="NoSpacing"/>
        <w:ind w:firstLine="708"/>
        <w:jc w:val="both"/>
      </w:pPr>
    </w:p>
    <w:p w14:paraId="2FD68023" w14:textId="122B499C" w:rsidR="0003716E" w:rsidRDefault="003A5735" w:rsidP="001C3FF9">
      <w:pPr>
        <w:spacing w:after="0" w:line="240" w:lineRule="auto"/>
        <w:ind w:firstLine="708"/>
        <w:jc w:val="both"/>
      </w:pPr>
      <w:r w:rsidRPr="003A5735">
        <w:t xml:space="preserve">Kościołowi katolickiemu tak bardzo zależy na utrzymaniu pojęcia autorytetu. </w:t>
      </w:r>
      <w:r w:rsidR="000052E7">
        <w:t>Odrzucenie autorytetu</w:t>
      </w:r>
      <w:r w:rsidR="0003716E">
        <w:t xml:space="preserve"> równałoby się bowiem z</w:t>
      </w:r>
      <w:r w:rsidR="0003716E" w:rsidRPr="0003716E">
        <w:t xml:space="preserve"> podważaniem własnych korzeni.</w:t>
      </w:r>
      <w:r w:rsidR="0003716E">
        <w:t xml:space="preserve"> Martwi postawa niektórych wiernych o skrajnych poglądach, zarówno z tradycyjnych, jak i charyzmatycznych środowisk, którzy negują potrzebę posłuszeństwa wobec hierarchii Kościoła oraz kwestionują Tradycję.  Poszanowanie autorytetów: </w:t>
      </w:r>
      <w:proofErr w:type="gramStart"/>
      <w:r w:rsidR="0003716E">
        <w:t>Biblii,  Tradycji</w:t>
      </w:r>
      <w:proofErr w:type="gramEnd"/>
      <w:r w:rsidR="0003716E">
        <w:t>, Urzędu Nauczycielskiego Kościoła oraz sumienia jest kluczowe dla budowania zdrowej wspólnoty opartej na wzajemnym zrozumieniu i wsparciu. Ważne jest, aby podchodzić do tych problemów z otwartym umysłem i chęcią dialogu.</w:t>
      </w:r>
    </w:p>
    <w:p w14:paraId="7C8E2833" w14:textId="53922A5F" w:rsidR="001C3FF9" w:rsidRDefault="001C3FF9" w:rsidP="00B6031B">
      <w:pPr>
        <w:spacing w:after="0" w:line="240" w:lineRule="auto"/>
        <w:ind w:firstLine="708"/>
        <w:jc w:val="both"/>
      </w:pPr>
      <w:r>
        <w:t xml:space="preserve">W niniejszym numerze Międzynarodowego Przeglądu Teologicznego </w:t>
      </w:r>
      <w:r w:rsidRPr="001C3FF9">
        <w:rPr>
          <w:i/>
          <w:iCs/>
        </w:rPr>
        <w:t>Communio</w:t>
      </w:r>
      <w:r>
        <w:t xml:space="preserve"> podejmujemy temat autorytetu, który jest kluczowy dla zrozumienia struktury i dynamiki Kościoła oraz jego posłania w dzisiejszym świecie. W obliczu różnych wyzwań, jakie stawia współczesność, analiza autorytetu w kontekście teologicznym staje się nie tylko istotna, ale także pilna. Ks. Jarosław M. Lipniak w artykule </w:t>
      </w:r>
      <w:r w:rsidRPr="001C3FF9">
        <w:rPr>
          <w:i/>
          <w:iCs/>
        </w:rPr>
        <w:t>Czy</w:t>
      </w:r>
      <w:r>
        <w:rPr>
          <w:i/>
          <w:iCs/>
        </w:rPr>
        <w:t>m</w:t>
      </w:r>
      <w:r w:rsidRPr="001C3FF9">
        <w:rPr>
          <w:i/>
          <w:iCs/>
        </w:rPr>
        <w:t xml:space="preserve"> jest autorytet?</w:t>
      </w:r>
      <w:r>
        <w:t xml:space="preserve"> stawia fundamentalne pytania dotyczące natury autorytetu, zachęcając do głębszej refleksji na jego temat. David C. Schindler w tekście </w:t>
      </w:r>
      <w:r w:rsidRPr="001C3FF9">
        <w:rPr>
          <w:i/>
          <w:iCs/>
        </w:rPr>
        <w:t>Kryzys autorytetu</w:t>
      </w:r>
      <w:r>
        <w:t xml:space="preserve"> bada współczesne zjawiska, które prowadzą do osłabienia autorytetu w Kościele oraz jego skutki. Ks. Bernhard K</w:t>
      </w:r>
      <w:r w:rsidR="00B6031B">
        <w:t xml:space="preserve">örner w artykule </w:t>
      </w:r>
      <w:r w:rsidRPr="00B6031B">
        <w:rPr>
          <w:i/>
          <w:iCs/>
        </w:rPr>
        <w:t>Autorytet w teologii</w:t>
      </w:r>
      <w:r>
        <w:t xml:space="preserve"> eksploruje teologiczne fundamenty autorytetu, wskazując na jego znaczenie w kontekście wiary i życia duszpasterskiego.</w:t>
      </w:r>
      <w:r w:rsidR="00B6031B">
        <w:t xml:space="preserve"> </w:t>
      </w:r>
      <w:r>
        <w:t>Ks. Libero G</w:t>
      </w:r>
      <w:r w:rsidR="00B6031B">
        <w:t xml:space="preserve">erosa, w pracy </w:t>
      </w:r>
      <w:r w:rsidRPr="00B6031B">
        <w:rPr>
          <w:i/>
          <w:iCs/>
        </w:rPr>
        <w:t>Autentyczna synodalność. Cooperatio wszystkich wiernych w exercitium władzy kierowania w Kościele</w:t>
      </w:r>
      <w:r>
        <w:t>, podkreśla rolę współpracy wszystkich wiernych w realizacji autorytetu oraz kierowaniu Kościołem, co jest istotnym elementem współczesnej eklezjologii. Thomas S</w:t>
      </w:r>
      <w:r w:rsidR="00B6031B">
        <w:t xml:space="preserve">öding w artykule </w:t>
      </w:r>
      <w:r w:rsidRPr="00B6031B">
        <w:rPr>
          <w:i/>
          <w:iCs/>
        </w:rPr>
        <w:t>Autorytet od Boga dla ludzi. Autorytet Jezusa i Jego zbawcza posługa w świetle Ewangelii</w:t>
      </w:r>
      <w:r>
        <w:t xml:space="preserve"> odnosi się do źródła autorytetu w osobie Jezusa, analizując Jego zbawczą misję.</w:t>
      </w:r>
      <w:r w:rsidR="00B6031B">
        <w:t xml:space="preserve"> </w:t>
      </w:r>
      <w:r>
        <w:t>Ks. Bertram S</w:t>
      </w:r>
      <w:r w:rsidR="00B6031B">
        <w:t xml:space="preserve">tubenrauch w </w:t>
      </w:r>
      <w:r w:rsidRPr="00B6031B">
        <w:rPr>
          <w:i/>
          <w:iCs/>
        </w:rPr>
        <w:t>Niepomylone i Niepodzielone. Magisterium Kościoła we Wspólnocie Kościelnej</w:t>
      </w:r>
      <w:r>
        <w:t xml:space="preserve"> ukazuje niezawodność i </w:t>
      </w:r>
      <w:r w:rsidR="00F11B1A">
        <w:t>jedność Magisterium, które są</w:t>
      </w:r>
      <w:r>
        <w:t xml:space="preserve"> kluczowe dla spójności Kościoła oraz jego nauczania. Jean-Marie S</w:t>
      </w:r>
      <w:r w:rsidR="00B6031B">
        <w:t>alamito</w:t>
      </w:r>
      <w:r>
        <w:t xml:space="preserve"> w a</w:t>
      </w:r>
      <w:r w:rsidR="00B6031B">
        <w:t xml:space="preserve">rtykule </w:t>
      </w:r>
      <w:r w:rsidRPr="00B6031B">
        <w:rPr>
          <w:i/>
          <w:iCs/>
        </w:rPr>
        <w:t>Władza, opór, autorytet. Antyczne interpretacje Nowego Testamentu</w:t>
      </w:r>
      <w:r>
        <w:t xml:space="preserve"> bada, w jaki sposób starożytne interpretacje wpływają na współczesne rozumienie władzy i autorytetu w kontekście biblijnym.</w:t>
      </w:r>
      <w:r w:rsidR="00B6031B">
        <w:t xml:space="preserve"> </w:t>
      </w:r>
      <w:r>
        <w:t>Nicholas J. H</w:t>
      </w:r>
      <w:r w:rsidR="00B6031B">
        <w:t xml:space="preserve">ealy, w </w:t>
      </w:r>
      <w:r w:rsidRPr="00B6031B">
        <w:rPr>
          <w:i/>
          <w:iCs/>
        </w:rPr>
        <w:t>Władza Biskupia i eklezjologia Communio: Kilka lekcji z historii</w:t>
      </w:r>
      <w:r>
        <w:t>, przedstawia historyczną perspektywę władzy biskupiej oraz jej związki z eklezjologią Communio. Ostatni artykuł, autorstwa Paoli S. D</w:t>
      </w:r>
      <w:r w:rsidR="00B6031B">
        <w:t xml:space="preserve">elbosco, </w:t>
      </w:r>
      <w:r w:rsidR="00B6031B">
        <w:rPr>
          <w:i/>
          <w:iCs/>
        </w:rPr>
        <w:t>C</w:t>
      </w:r>
      <w:r w:rsidR="00B6031B" w:rsidRPr="00B6031B">
        <w:rPr>
          <w:i/>
          <w:iCs/>
        </w:rPr>
        <w:t xml:space="preserve">zym jest autentyczny </w:t>
      </w:r>
      <w:proofErr w:type="gramStart"/>
      <w:r w:rsidR="00B6031B" w:rsidRPr="00B6031B">
        <w:rPr>
          <w:i/>
          <w:iCs/>
        </w:rPr>
        <w:t>autorytet?</w:t>
      </w:r>
      <w:r>
        <w:t>,</w:t>
      </w:r>
      <w:proofErr w:type="gramEnd"/>
      <w:r>
        <w:t xml:space="preserve"> zmusza nas do przemyślenia natury i autentyczności autorytetu w kontekście współczesnych wyzwań.</w:t>
      </w:r>
      <w:r w:rsidR="00B6031B">
        <w:t xml:space="preserve"> </w:t>
      </w:r>
      <w:r>
        <w:t>Serdecznie zapraszamy do zapoznania się z prezentowanymi artykułami, które dostarczą cennych refleksji oraz inspiracji do dalszych badań nad autorytetem w Kościele i życiu chrześcijańskim.</w:t>
      </w:r>
    </w:p>
    <w:p w14:paraId="71C130B0" w14:textId="77777777" w:rsidR="001C3FF9" w:rsidRDefault="001C3FF9" w:rsidP="00B6031B">
      <w:pPr>
        <w:spacing w:line="240" w:lineRule="auto"/>
        <w:jc w:val="both"/>
      </w:pPr>
    </w:p>
    <w:p w14:paraId="2C7C9CD6" w14:textId="77777777" w:rsidR="00B6031B" w:rsidRPr="00B902BF" w:rsidRDefault="00B6031B" w:rsidP="00B6031B">
      <w:pPr>
        <w:ind w:firstLine="708"/>
        <w:jc w:val="both"/>
        <w:rPr>
          <w:rFonts w:cs="Times New Roman"/>
        </w:rPr>
      </w:pPr>
      <w:r w:rsidRPr="00462B3D">
        <w:rPr>
          <w:rFonts w:cs="Times New Roman"/>
          <w:b/>
          <w:bCs/>
        </w:rPr>
        <w:t>Nota o autorze:</w:t>
      </w:r>
      <w:r w:rsidRPr="00462B3D">
        <w:rPr>
          <w:rFonts w:cs="Times New Roman"/>
        </w:rPr>
        <w:t xml:space="preserve"> Jarosław M. Lipniak: urodzony 2 lutego 1973 roku w Oławie, prezbiter Diecezji Świdnickiej, doktor habilitowany teologii dogmatycznej, Redaktor Naczelny Międzynarodowego Przeglądu Teologicznego „Communio”, Kierownik Katedry Ekumenizmu i Dialogu Międzykulturowego Papieskiego Wydziału Teologicznego we Wrocławiu, Prezes Dolnośląskiego Instytutu Dialogu i Tolerancji, przedstawiciel Biskupa Świdnickiego do spraw Ekumenizmu i Dialogu Międzyreligijnego, Proboszcz parafii pw. </w:t>
      </w:r>
      <w:r w:rsidRPr="00B902BF">
        <w:rPr>
          <w:rFonts w:cs="Times New Roman"/>
        </w:rPr>
        <w:t>Nawiedzenia NMP w Witoszowie Dolnym.</w:t>
      </w:r>
    </w:p>
    <w:p w14:paraId="00C39C3E" w14:textId="6BA29571" w:rsidR="00B6031B" w:rsidRDefault="00B6031B" w:rsidP="00B6031B">
      <w:pPr>
        <w:spacing w:after="0" w:line="240" w:lineRule="auto"/>
        <w:jc w:val="both"/>
        <w:rPr>
          <w:b/>
          <w:bCs/>
        </w:rPr>
      </w:pPr>
      <w:r w:rsidRPr="00B6031B">
        <w:rPr>
          <w:b/>
          <w:bCs/>
        </w:rPr>
        <w:t xml:space="preserve">Bibliografia: </w:t>
      </w:r>
    </w:p>
    <w:p w14:paraId="79D1881D" w14:textId="77777777" w:rsidR="00B6031B" w:rsidRPr="00B6031B" w:rsidRDefault="00B6031B" w:rsidP="00B6031B">
      <w:pPr>
        <w:pStyle w:val="FootnoteText"/>
        <w:ind w:left="1134" w:hanging="1134"/>
        <w:jc w:val="both"/>
        <w:rPr>
          <w:sz w:val="24"/>
          <w:szCs w:val="24"/>
        </w:rPr>
      </w:pPr>
      <w:r w:rsidRPr="00B6031B">
        <w:rPr>
          <w:sz w:val="24"/>
          <w:szCs w:val="24"/>
        </w:rPr>
        <w:t>Arendt</w:t>
      </w:r>
      <w:r>
        <w:rPr>
          <w:sz w:val="24"/>
          <w:szCs w:val="24"/>
        </w:rPr>
        <w:t xml:space="preserve"> </w:t>
      </w:r>
      <w:r w:rsidRPr="00B6031B">
        <w:rPr>
          <w:sz w:val="24"/>
          <w:szCs w:val="24"/>
        </w:rPr>
        <w:t xml:space="preserve">H., </w:t>
      </w:r>
      <w:r w:rsidRPr="00B6031B">
        <w:rPr>
          <w:i/>
          <w:iCs/>
          <w:sz w:val="24"/>
          <w:szCs w:val="24"/>
        </w:rPr>
        <w:t>Między czasem minionym a przyszłym. Osiem ćwiczeń z myśli politycznej</w:t>
      </w:r>
      <w:r w:rsidRPr="00B6031B">
        <w:rPr>
          <w:sz w:val="24"/>
          <w:szCs w:val="24"/>
        </w:rPr>
        <w:t xml:space="preserve">, </w:t>
      </w:r>
      <w:r>
        <w:rPr>
          <w:sz w:val="24"/>
          <w:szCs w:val="24"/>
        </w:rPr>
        <w:t>Warszawa 2011</w:t>
      </w:r>
      <w:r w:rsidRPr="00B6031B">
        <w:rPr>
          <w:sz w:val="24"/>
          <w:szCs w:val="24"/>
        </w:rPr>
        <w:t>.</w:t>
      </w:r>
    </w:p>
    <w:p w14:paraId="765FAF34" w14:textId="77777777" w:rsidR="00B6031B" w:rsidRPr="00B6031B" w:rsidRDefault="00B6031B" w:rsidP="00B6031B">
      <w:pPr>
        <w:pStyle w:val="FootnoteText"/>
        <w:ind w:left="1134" w:hanging="1134"/>
        <w:rPr>
          <w:sz w:val="24"/>
          <w:szCs w:val="24"/>
        </w:rPr>
      </w:pPr>
      <w:r w:rsidRPr="00B6031B">
        <w:rPr>
          <w:sz w:val="24"/>
          <w:szCs w:val="24"/>
        </w:rPr>
        <w:t>Aymans</w:t>
      </w:r>
      <w:r>
        <w:rPr>
          <w:sz w:val="24"/>
          <w:szCs w:val="24"/>
        </w:rPr>
        <w:t xml:space="preserve"> </w:t>
      </w:r>
      <w:r w:rsidRPr="00B6031B">
        <w:rPr>
          <w:sz w:val="24"/>
          <w:szCs w:val="24"/>
        </w:rPr>
        <w:t xml:space="preserve">W., </w:t>
      </w:r>
      <w:r w:rsidRPr="00B6031B">
        <w:rPr>
          <w:i/>
          <w:iCs/>
          <w:sz w:val="24"/>
          <w:szCs w:val="24"/>
        </w:rPr>
        <w:t>Autorytet apostolski w Ludzie Bożym</w:t>
      </w:r>
      <w:r w:rsidRPr="00B6031B">
        <w:rPr>
          <w:sz w:val="24"/>
          <w:szCs w:val="24"/>
        </w:rPr>
        <w:t xml:space="preserve">, w: </w:t>
      </w:r>
      <w:r w:rsidRPr="00B6031B">
        <w:rPr>
          <w:i/>
          <w:iCs/>
          <w:sz w:val="24"/>
          <w:szCs w:val="24"/>
        </w:rPr>
        <w:t>Communio</w:t>
      </w:r>
      <w:r w:rsidRPr="00B6031B">
        <w:rPr>
          <w:sz w:val="24"/>
          <w:szCs w:val="24"/>
        </w:rPr>
        <w:t xml:space="preserve"> 4(1984)3, s. 88-105.</w:t>
      </w:r>
    </w:p>
    <w:p w14:paraId="4FD15999" w14:textId="77777777" w:rsidR="00B6031B" w:rsidRDefault="00B6031B" w:rsidP="00B6031B">
      <w:pPr>
        <w:pStyle w:val="FootnoteText"/>
        <w:ind w:left="1134" w:hanging="1134"/>
        <w:jc w:val="both"/>
        <w:rPr>
          <w:sz w:val="24"/>
          <w:szCs w:val="24"/>
        </w:rPr>
      </w:pPr>
      <w:r w:rsidRPr="00B6031B">
        <w:rPr>
          <w:sz w:val="24"/>
          <w:szCs w:val="24"/>
        </w:rPr>
        <w:lastRenderedPageBreak/>
        <w:t>Chantraine</w:t>
      </w:r>
      <w:r>
        <w:rPr>
          <w:sz w:val="24"/>
          <w:szCs w:val="24"/>
        </w:rPr>
        <w:t xml:space="preserve"> </w:t>
      </w:r>
      <w:r w:rsidRPr="00B6031B">
        <w:rPr>
          <w:sz w:val="24"/>
          <w:szCs w:val="24"/>
        </w:rPr>
        <w:t xml:space="preserve">G., </w:t>
      </w:r>
      <w:r w:rsidRPr="00B6031B">
        <w:rPr>
          <w:i/>
          <w:iCs/>
          <w:sz w:val="24"/>
          <w:szCs w:val="24"/>
        </w:rPr>
        <w:t xml:space="preserve">Niełaski czy łaska autorytetu </w:t>
      </w:r>
      <w:proofErr w:type="gramStart"/>
      <w:r w:rsidRPr="00B6031B">
        <w:rPr>
          <w:i/>
          <w:iCs/>
          <w:sz w:val="24"/>
          <w:szCs w:val="24"/>
        </w:rPr>
        <w:t>biskupiego?</w:t>
      </w:r>
      <w:r w:rsidRPr="00B6031B">
        <w:rPr>
          <w:sz w:val="24"/>
          <w:szCs w:val="24"/>
        </w:rPr>
        <w:t>,</w:t>
      </w:r>
      <w:proofErr w:type="gramEnd"/>
      <w:r w:rsidRPr="00B6031B">
        <w:rPr>
          <w:sz w:val="24"/>
          <w:szCs w:val="24"/>
        </w:rPr>
        <w:t xml:space="preserve"> w: </w:t>
      </w:r>
      <w:r w:rsidRPr="00B6031B">
        <w:rPr>
          <w:i/>
          <w:iCs/>
          <w:sz w:val="24"/>
          <w:szCs w:val="24"/>
        </w:rPr>
        <w:t>Kolekcja Communio</w:t>
      </w:r>
      <w:r>
        <w:rPr>
          <w:sz w:val="24"/>
          <w:szCs w:val="24"/>
        </w:rPr>
        <w:t xml:space="preserve"> 3(1988), s.163-165.</w:t>
      </w:r>
      <w:r w:rsidRPr="00B6031B">
        <w:rPr>
          <w:sz w:val="24"/>
          <w:szCs w:val="24"/>
        </w:rPr>
        <w:t xml:space="preserve"> </w:t>
      </w:r>
    </w:p>
    <w:p w14:paraId="2D67183A" w14:textId="77777777" w:rsidR="00B6031B" w:rsidRPr="00B6031B" w:rsidRDefault="00B6031B" w:rsidP="00B6031B">
      <w:pPr>
        <w:pStyle w:val="FootnoteText"/>
        <w:ind w:left="1134" w:hanging="1134"/>
        <w:jc w:val="both"/>
        <w:rPr>
          <w:sz w:val="24"/>
          <w:szCs w:val="24"/>
        </w:rPr>
      </w:pPr>
      <w:r w:rsidRPr="00B6031B">
        <w:rPr>
          <w:sz w:val="24"/>
          <w:szCs w:val="24"/>
        </w:rPr>
        <w:t>Duchesne</w:t>
      </w:r>
      <w:r>
        <w:rPr>
          <w:sz w:val="24"/>
          <w:szCs w:val="24"/>
        </w:rPr>
        <w:t xml:space="preserve"> </w:t>
      </w:r>
      <w:r w:rsidRPr="00B6031B">
        <w:rPr>
          <w:sz w:val="24"/>
          <w:szCs w:val="24"/>
        </w:rPr>
        <w:t xml:space="preserve">J., </w:t>
      </w:r>
      <w:r w:rsidRPr="00B6031B">
        <w:rPr>
          <w:i/>
          <w:iCs/>
          <w:sz w:val="24"/>
          <w:szCs w:val="24"/>
        </w:rPr>
        <w:t>Autorytet biskupa</w:t>
      </w:r>
      <w:r w:rsidRPr="00B6031B">
        <w:rPr>
          <w:sz w:val="24"/>
          <w:szCs w:val="24"/>
        </w:rPr>
        <w:t xml:space="preserve">, w: </w:t>
      </w:r>
      <w:r w:rsidRPr="00B6031B">
        <w:rPr>
          <w:i/>
          <w:iCs/>
          <w:sz w:val="24"/>
          <w:szCs w:val="24"/>
        </w:rPr>
        <w:t>Kolekcja Communio</w:t>
      </w:r>
      <w:r w:rsidRPr="00B6031B">
        <w:rPr>
          <w:sz w:val="24"/>
          <w:szCs w:val="24"/>
        </w:rPr>
        <w:t xml:space="preserve"> 3(1988), s.152-162.</w:t>
      </w:r>
    </w:p>
    <w:p w14:paraId="67193425" w14:textId="77777777" w:rsidR="00B6031B" w:rsidRDefault="00B6031B" w:rsidP="00B6031B">
      <w:pPr>
        <w:pStyle w:val="FootnoteText"/>
        <w:ind w:left="1134" w:hanging="1134"/>
        <w:jc w:val="both"/>
        <w:rPr>
          <w:sz w:val="24"/>
          <w:szCs w:val="24"/>
        </w:rPr>
      </w:pPr>
      <w:r w:rsidRPr="00B6031B">
        <w:rPr>
          <w:sz w:val="24"/>
          <w:szCs w:val="24"/>
        </w:rPr>
        <w:t xml:space="preserve">Franciszek, Encyklika </w:t>
      </w:r>
      <w:r w:rsidRPr="00B6031B">
        <w:rPr>
          <w:i/>
          <w:iCs/>
          <w:sz w:val="24"/>
          <w:szCs w:val="24"/>
        </w:rPr>
        <w:t>Fratelli tutti,</w:t>
      </w:r>
      <w:r w:rsidRPr="00B6031B">
        <w:rPr>
          <w:sz w:val="24"/>
          <w:szCs w:val="24"/>
        </w:rPr>
        <w:t xml:space="preserve"> Watykan 2015</w:t>
      </w:r>
      <w:r>
        <w:rPr>
          <w:sz w:val="24"/>
          <w:szCs w:val="24"/>
        </w:rPr>
        <w:t>.</w:t>
      </w:r>
    </w:p>
    <w:p w14:paraId="4CF26FCB" w14:textId="77777777" w:rsidR="00B6031B" w:rsidRPr="00B6031B" w:rsidRDefault="00B6031B" w:rsidP="00B6031B">
      <w:pPr>
        <w:pStyle w:val="FootnoteText"/>
        <w:ind w:left="1134" w:hanging="1134"/>
        <w:jc w:val="both"/>
        <w:rPr>
          <w:sz w:val="24"/>
          <w:szCs w:val="24"/>
        </w:rPr>
      </w:pPr>
      <w:r w:rsidRPr="00B6031B">
        <w:rPr>
          <w:sz w:val="24"/>
          <w:szCs w:val="24"/>
        </w:rPr>
        <w:t xml:space="preserve">Franciszek, </w:t>
      </w:r>
      <w:r w:rsidRPr="00B6031B">
        <w:rPr>
          <w:i/>
          <w:iCs/>
          <w:sz w:val="24"/>
          <w:szCs w:val="24"/>
        </w:rPr>
        <w:t>Przemówienie do korpusu dyplomatycznego</w:t>
      </w:r>
      <w:r w:rsidRPr="00B6031B">
        <w:rPr>
          <w:sz w:val="24"/>
          <w:szCs w:val="24"/>
        </w:rPr>
        <w:t xml:space="preserve"> (8 stycznia 2007): w: </w:t>
      </w:r>
      <w:r w:rsidRPr="00B6031B">
        <w:rPr>
          <w:i/>
          <w:iCs/>
          <w:sz w:val="24"/>
          <w:szCs w:val="24"/>
        </w:rPr>
        <w:t>AAS</w:t>
      </w:r>
      <w:r w:rsidRPr="00B6031B">
        <w:rPr>
          <w:sz w:val="24"/>
          <w:szCs w:val="24"/>
        </w:rPr>
        <w:t> 99 (2007), s. 73.</w:t>
      </w:r>
    </w:p>
    <w:p w14:paraId="0BB79E5C" w14:textId="77777777" w:rsidR="00B6031B" w:rsidRPr="00B6031B" w:rsidRDefault="00B6031B" w:rsidP="00B6031B">
      <w:pPr>
        <w:pStyle w:val="FootnoteText"/>
        <w:ind w:left="1134" w:hanging="1134"/>
        <w:rPr>
          <w:sz w:val="24"/>
          <w:szCs w:val="24"/>
        </w:rPr>
      </w:pPr>
      <w:r w:rsidRPr="00B6031B">
        <w:rPr>
          <w:sz w:val="24"/>
          <w:szCs w:val="24"/>
        </w:rPr>
        <w:t>Gillet-Challiol</w:t>
      </w:r>
      <w:r>
        <w:rPr>
          <w:sz w:val="24"/>
          <w:szCs w:val="24"/>
        </w:rPr>
        <w:t xml:space="preserve"> </w:t>
      </w:r>
      <w:r w:rsidRPr="00B6031B">
        <w:rPr>
          <w:sz w:val="24"/>
          <w:szCs w:val="24"/>
        </w:rPr>
        <w:t xml:space="preserve">M.C., </w:t>
      </w:r>
      <w:r w:rsidRPr="00B6031B">
        <w:rPr>
          <w:i/>
          <w:iCs/>
          <w:sz w:val="24"/>
          <w:szCs w:val="24"/>
        </w:rPr>
        <w:t xml:space="preserve">Czy istnieje sumienie </w:t>
      </w:r>
      <w:proofErr w:type="gramStart"/>
      <w:r w:rsidRPr="00B6031B">
        <w:rPr>
          <w:i/>
          <w:iCs/>
          <w:sz w:val="24"/>
          <w:szCs w:val="24"/>
        </w:rPr>
        <w:t>chrześcijańskie?</w:t>
      </w:r>
      <w:r w:rsidRPr="00B6031B">
        <w:rPr>
          <w:sz w:val="24"/>
          <w:szCs w:val="24"/>
        </w:rPr>
        <w:t>,</w:t>
      </w:r>
      <w:proofErr w:type="gramEnd"/>
      <w:r w:rsidRPr="00B6031B">
        <w:rPr>
          <w:sz w:val="24"/>
          <w:szCs w:val="24"/>
        </w:rPr>
        <w:t xml:space="preserve"> w: </w:t>
      </w:r>
      <w:r w:rsidRPr="00B6031B">
        <w:rPr>
          <w:i/>
          <w:iCs/>
          <w:sz w:val="24"/>
          <w:szCs w:val="24"/>
        </w:rPr>
        <w:t>Communio</w:t>
      </w:r>
      <w:r w:rsidRPr="00B6031B">
        <w:rPr>
          <w:sz w:val="24"/>
          <w:szCs w:val="24"/>
        </w:rPr>
        <w:t xml:space="preserve"> 14(1994)5, s. 40-46.</w:t>
      </w:r>
    </w:p>
    <w:p w14:paraId="1E42DA35" w14:textId="77777777" w:rsidR="00B6031B" w:rsidRPr="00B6031B" w:rsidRDefault="00B6031B" w:rsidP="00B6031B">
      <w:pPr>
        <w:pStyle w:val="FootnoteText"/>
        <w:ind w:left="1134" w:hanging="1134"/>
        <w:rPr>
          <w:sz w:val="24"/>
          <w:szCs w:val="24"/>
        </w:rPr>
      </w:pPr>
      <w:r w:rsidRPr="00B6031B">
        <w:rPr>
          <w:sz w:val="24"/>
          <w:szCs w:val="24"/>
        </w:rPr>
        <w:t>Guitton</w:t>
      </w:r>
      <w:r>
        <w:rPr>
          <w:sz w:val="24"/>
          <w:szCs w:val="24"/>
        </w:rPr>
        <w:t xml:space="preserve"> </w:t>
      </w:r>
      <w:r w:rsidRPr="00B6031B">
        <w:rPr>
          <w:sz w:val="24"/>
          <w:szCs w:val="24"/>
        </w:rPr>
        <w:t xml:space="preserve">J., </w:t>
      </w:r>
      <w:r w:rsidRPr="00B6031B">
        <w:rPr>
          <w:i/>
          <w:iCs/>
          <w:sz w:val="24"/>
          <w:szCs w:val="24"/>
        </w:rPr>
        <w:t>Dialogi z Pawłem VI</w:t>
      </w:r>
      <w:r w:rsidRPr="00B6031B">
        <w:rPr>
          <w:sz w:val="24"/>
          <w:szCs w:val="24"/>
        </w:rPr>
        <w:t>, Poznań 1969.</w:t>
      </w:r>
    </w:p>
    <w:p w14:paraId="05B9F23B" w14:textId="77777777" w:rsidR="00B6031B" w:rsidRPr="00B6031B" w:rsidRDefault="00B6031B" w:rsidP="00B6031B">
      <w:pPr>
        <w:pStyle w:val="FootnoteText"/>
        <w:ind w:left="1134" w:hanging="1134"/>
        <w:rPr>
          <w:sz w:val="24"/>
          <w:szCs w:val="24"/>
        </w:rPr>
      </w:pPr>
      <w:r w:rsidRPr="00B6031B">
        <w:rPr>
          <w:sz w:val="24"/>
          <w:szCs w:val="24"/>
        </w:rPr>
        <w:t xml:space="preserve">II Sobór </w:t>
      </w:r>
      <w:proofErr w:type="gramStart"/>
      <w:r w:rsidRPr="00B6031B">
        <w:rPr>
          <w:sz w:val="24"/>
          <w:szCs w:val="24"/>
        </w:rPr>
        <w:t xml:space="preserve">Watykański,  </w:t>
      </w:r>
      <w:r w:rsidRPr="00B6031B">
        <w:rPr>
          <w:rStyle w:val="Emphasis"/>
          <w:rFonts w:cs="Times New Roman"/>
          <w:i w:val="0"/>
          <w:iCs w:val="0"/>
          <w:sz w:val="24"/>
          <w:szCs w:val="24"/>
          <w:shd w:val="clear" w:color="auto" w:fill="FFFFFF"/>
        </w:rPr>
        <w:t>Deklaracja</w:t>
      </w:r>
      <w:proofErr w:type="gramEnd"/>
      <w:r w:rsidRPr="00B6031B">
        <w:rPr>
          <w:rStyle w:val="Emphasis"/>
          <w:rFonts w:cs="Times New Roman"/>
          <w:i w:val="0"/>
          <w:iCs w:val="0"/>
          <w:sz w:val="24"/>
          <w:szCs w:val="24"/>
          <w:shd w:val="clear" w:color="auto" w:fill="FFFFFF"/>
        </w:rPr>
        <w:t xml:space="preserve"> o wolności religijnej </w:t>
      </w:r>
      <w:r w:rsidRPr="00B6031B">
        <w:rPr>
          <w:i/>
          <w:iCs/>
          <w:sz w:val="24"/>
          <w:szCs w:val="24"/>
        </w:rPr>
        <w:t>Dignitatis humanae</w:t>
      </w:r>
      <w:r>
        <w:rPr>
          <w:sz w:val="24"/>
          <w:szCs w:val="24"/>
        </w:rPr>
        <w:t>,</w:t>
      </w:r>
      <w:r w:rsidRPr="00B6031B">
        <w:rPr>
          <w:sz w:val="24"/>
          <w:szCs w:val="24"/>
        </w:rPr>
        <w:t xml:space="preserve"> Watykan 1965.</w:t>
      </w:r>
    </w:p>
    <w:p w14:paraId="498E8625" w14:textId="77777777" w:rsidR="00B6031B" w:rsidRPr="00B6031B" w:rsidRDefault="00B6031B" w:rsidP="00B6031B">
      <w:pPr>
        <w:pStyle w:val="FootnoteText"/>
        <w:ind w:left="1134" w:hanging="1134"/>
        <w:rPr>
          <w:sz w:val="24"/>
          <w:szCs w:val="24"/>
          <w:lang w:val="en-US"/>
        </w:rPr>
      </w:pPr>
      <w:r w:rsidRPr="00B6031B">
        <w:rPr>
          <w:sz w:val="24"/>
          <w:szCs w:val="24"/>
          <w:lang w:val="en-US"/>
        </w:rPr>
        <w:t xml:space="preserve">Jan Paweł II, Encyklika </w:t>
      </w:r>
      <w:r w:rsidRPr="00B6031B">
        <w:rPr>
          <w:i/>
          <w:iCs/>
          <w:sz w:val="24"/>
          <w:szCs w:val="24"/>
          <w:lang w:val="en-US"/>
        </w:rPr>
        <w:t>Veritatis splendor</w:t>
      </w:r>
      <w:r w:rsidRPr="00B6031B">
        <w:rPr>
          <w:sz w:val="24"/>
          <w:szCs w:val="24"/>
          <w:lang w:val="en-US"/>
        </w:rPr>
        <w:t xml:space="preserve">, </w:t>
      </w:r>
      <w:r>
        <w:rPr>
          <w:sz w:val="24"/>
          <w:szCs w:val="24"/>
          <w:lang w:val="en-US"/>
        </w:rPr>
        <w:t>Watykan 1993</w:t>
      </w:r>
      <w:r w:rsidRPr="00B6031B">
        <w:rPr>
          <w:sz w:val="24"/>
          <w:szCs w:val="24"/>
          <w:lang w:val="en-US"/>
        </w:rPr>
        <w:t>.</w:t>
      </w:r>
    </w:p>
    <w:p w14:paraId="7BBD0291" w14:textId="77777777" w:rsidR="00B6031B" w:rsidRPr="00B6031B" w:rsidRDefault="00B6031B" w:rsidP="00B6031B">
      <w:pPr>
        <w:pStyle w:val="FootnoteText"/>
        <w:ind w:left="1134" w:hanging="1134"/>
        <w:jc w:val="both"/>
        <w:rPr>
          <w:sz w:val="24"/>
          <w:szCs w:val="24"/>
        </w:rPr>
      </w:pPr>
      <w:r w:rsidRPr="00B6031B">
        <w:rPr>
          <w:sz w:val="24"/>
          <w:szCs w:val="24"/>
        </w:rPr>
        <w:t>Leandro</w:t>
      </w:r>
      <w:r>
        <w:rPr>
          <w:sz w:val="24"/>
          <w:szCs w:val="24"/>
        </w:rPr>
        <w:t xml:space="preserve"> </w:t>
      </w:r>
      <w:r w:rsidRPr="00B6031B">
        <w:rPr>
          <w:sz w:val="24"/>
          <w:szCs w:val="24"/>
        </w:rPr>
        <w:t xml:space="preserve">I.P., </w:t>
      </w:r>
      <w:r w:rsidRPr="00B6031B">
        <w:rPr>
          <w:i/>
          <w:iCs/>
          <w:sz w:val="24"/>
          <w:szCs w:val="24"/>
        </w:rPr>
        <w:t>Osobiste sumienie jako kryterium działania chrześcijańskiego</w:t>
      </w:r>
      <w:r w:rsidRPr="00B6031B">
        <w:rPr>
          <w:sz w:val="24"/>
          <w:szCs w:val="24"/>
        </w:rPr>
        <w:t xml:space="preserve">, w: </w:t>
      </w:r>
      <w:r w:rsidRPr="00B6031B">
        <w:rPr>
          <w:i/>
          <w:iCs/>
          <w:sz w:val="24"/>
          <w:szCs w:val="24"/>
        </w:rPr>
        <w:t>Communio</w:t>
      </w:r>
      <w:r w:rsidRPr="00B6031B">
        <w:rPr>
          <w:sz w:val="24"/>
          <w:szCs w:val="24"/>
        </w:rPr>
        <w:t xml:space="preserve"> 14(1994)5, s. 19-30.</w:t>
      </w:r>
    </w:p>
    <w:p w14:paraId="1D187FAC" w14:textId="77777777" w:rsidR="00B6031B" w:rsidRPr="00107FA7" w:rsidRDefault="00B6031B" w:rsidP="00B6031B">
      <w:pPr>
        <w:pStyle w:val="FootnoteText"/>
        <w:ind w:left="1134" w:hanging="1134"/>
        <w:jc w:val="both"/>
        <w:rPr>
          <w:sz w:val="24"/>
          <w:szCs w:val="24"/>
          <w:lang w:val="en-GB"/>
        </w:rPr>
      </w:pPr>
      <w:r w:rsidRPr="00107FA7">
        <w:rPr>
          <w:sz w:val="24"/>
          <w:szCs w:val="24"/>
          <w:lang w:val="en-GB"/>
        </w:rPr>
        <w:t xml:space="preserve">Leon XIII, Encyklika </w:t>
      </w:r>
      <w:r w:rsidRPr="00107FA7">
        <w:rPr>
          <w:i/>
          <w:iCs/>
          <w:sz w:val="24"/>
          <w:szCs w:val="24"/>
          <w:lang w:val="en-GB"/>
        </w:rPr>
        <w:t>Libertas praestantissimum,</w:t>
      </w:r>
      <w:r w:rsidRPr="00107FA7">
        <w:rPr>
          <w:sz w:val="24"/>
          <w:szCs w:val="24"/>
          <w:lang w:val="en-GB"/>
        </w:rPr>
        <w:t xml:space="preserve"> Watykan 1888.</w:t>
      </w:r>
    </w:p>
    <w:p w14:paraId="4FE69ADD" w14:textId="77777777" w:rsidR="00B6031B" w:rsidRPr="00107FA7" w:rsidRDefault="00B6031B" w:rsidP="00B6031B">
      <w:pPr>
        <w:pStyle w:val="FootnoteText"/>
        <w:ind w:left="1134" w:hanging="1134"/>
        <w:rPr>
          <w:sz w:val="24"/>
          <w:szCs w:val="24"/>
          <w:lang w:val="en-GB"/>
        </w:rPr>
      </w:pPr>
      <w:r w:rsidRPr="00107FA7">
        <w:rPr>
          <w:sz w:val="24"/>
          <w:szCs w:val="24"/>
          <w:lang w:val="en-GB"/>
        </w:rPr>
        <w:t xml:space="preserve">Malaty T.Y., </w:t>
      </w:r>
      <w:r w:rsidRPr="00107FA7">
        <w:rPr>
          <w:i/>
          <w:iCs/>
          <w:sz w:val="24"/>
          <w:szCs w:val="24"/>
          <w:lang w:val="en-GB"/>
        </w:rPr>
        <w:t>Tradition and Orthodoxy</w:t>
      </w:r>
      <w:r w:rsidRPr="00107FA7">
        <w:rPr>
          <w:sz w:val="24"/>
          <w:szCs w:val="24"/>
          <w:lang w:val="en-GB"/>
        </w:rPr>
        <w:t>, Alexandria 1979.</w:t>
      </w:r>
    </w:p>
    <w:p w14:paraId="5CCFDEA9" w14:textId="77777777" w:rsidR="00B6031B" w:rsidRPr="00B6031B" w:rsidRDefault="00B6031B" w:rsidP="00B6031B">
      <w:pPr>
        <w:pStyle w:val="FootnoteText"/>
        <w:ind w:left="1134" w:hanging="1134"/>
        <w:rPr>
          <w:sz w:val="24"/>
          <w:szCs w:val="24"/>
        </w:rPr>
      </w:pPr>
      <w:r w:rsidRPr="00B6031B">
        <w:rPr>
          <w:sz w:val="24"/>
          <w:szCs w:val="24"/>
        </w:rPr>
        <w:t>Palos</w:t>
      </w:r>
      <w:r>
        <w:rPr>
          <w:sz w:val="24"/>
          <w:szCs w:val="24"/>
        </w:rPr>
        <w:t xml:space="preserve"> </w:t>
      </w:r>
      <w:r w:rsidRPr="00B6031B">
        <w:rPr>
          <w:sz w:val="24"/>
          <w:szCs w:val="24"/>
        </w:rPr>
        <w:t xml:space="preserve">J.A., </w:t>
      </w:r>
      <w:r w:rsidRPr="00B6031B">
        <w:rPr>
          <w:i/>
          <w:iCs/>
          <w:sz w:val="24"/>
          <w:szCs w:val="24"/>
        </w:rPr>
        <w:t>Bóg a sumienie w Tradycji biblijnej</w:t>
      </w:r>
      <w:r w:rsidRPr="00B6031B">
        <w:rPr>
          <w:sz w:val="24"/>
          <w:szCs w:val="24"/>
        </w:rPr>
        <w:t xml:space="preserve">, w: </w:t>
      </w:r>
      <w:r w:rsidRPr="00B6031B">
        <w:rPr>
          <w:i/>
          <w:iCs/>
          <w:sz w:val="24"/>
          <w:szCs w:val="24"/>
        </w:rPr>
        <w:t>Communio</w:t>
      </w:r>
      <w:r w:rsidRPr="00B6031B">
        <w:rPr>
          <w:sz w:val="24"/>
          <w:szCs w:val="24"/>
        </w:rPr>
        <w:t xml:space="preserve"> 14(1994)5, s. 3-18.</w:t>
      </w:r>
    </w:p>
    <w:p w14:paraId="2D9DD316" w14:textId="77777777" w:rsidR="00B6031B" w:rsidRPr="00B6031B" w:rsidRDefault="00B6031B" w:rsidP="00B6031B">
      <w:pPr>
        <w:pStyle w:val="FootnoteText"/>
        <w:ind w:left="1134" w:hanging="1134"/>
        <w:rPr>
          <w:sz w:val="24"/>
          <w:szCs w:val="24"/>
          <w:lang w:val="en-US"/>
        </w:rPr>
      </w:pPr>
      <w:r w:rsidRPr="00B6031B">
        <w:rPr>
          <w:sz w:val="24"/>
          <w:szCs w:val="24"/>
          <w:lang w:val="en-US"/>
        </w:rPr>
        <w:t>Peschke</w:t>
      </w:r>
      <w:r>
        <w:rPr>
          <w:sz w:val="24"/>
          <w:szCs w:val="24"/>
          <w:lang w:val="en-US"/>
        </w:rPr>
        <w:t xml:space="preserve"> </w:t>
      </w:r>
      <w:r w:rsidRPr="00B6031B">
        <w:rPr>
          <w:sz w:val="24"/>
          <w:szCs w:val="24"/>
          <w:lang w:val="en-US"/>
        </w:rPr>
        <w:t xml:space="preserve">K.H., </w:t>
      </w:r>
      <w:r w:rsidRPr="00B6031B">
        <w:rPr>
          <w:i/>
          <w:iCs/>
          <w:sz w:val="24"/>
          <w:szCs w:val="24"/>
          <w:lang w:val="en-US"/>
        </w:rPr>
        <w:t>Christian Ethics. Moral Theology in the Light of Vatican II</w:t>
      </w:r>
      <w:r w:rsidRPr="00B6031B">
        <w:rPr>
          <w:sz w:val="24"/>
          <w:szCs w:val="24"/>
          <w:lang w:val="en-US"/>
        </w:rPr>
        <w:t xml:space="preserve">, t. I: </w:t>
      </w:r>
      <w:r w:rsidRPr="00B6031B">
        <w:rPr>
          <w:i/>
          <w:iCs/>
          <w:sz w:val="24"/>
          <w:szCs w:val="24"/>
          <w:lang w:val="en-US"/>
        </w:rPr>
        <w:t>General Moral Theology</w:t>
      </w:r>
      <w:r w:rsidRPr="00B6031B">
        <w:rPr>
          <w:sz w:val="24"/>
          <w:szCs w:val="24"/>
          <w:lang w:val="en-US"/>
        </w:rPr>
        <w:t xml:space="preserve">, Alcester </w:t>
      </w:r>
      <w:r>
        <w:rPr>
          <w:sz w:val="24"/>
          <w:szCs w:val="24"/>
          <w:lang w:val="en-US"/>
        </w:rPr>
        <w:t>1989</w:t>
      </w:r>
      <w:r w:rsidRPr="00B6031B">
        <w:rPr>
          <w:sz w:val="24"/>
          <w:szCs w:val="24"/>
          <w:lang w:val="en-US"/>
        </w:rPr>
        <w:t>.</w:t>
      </w:r>
    </w:p>
    <w:p w14:paraId="1AB7B6BB" w14:textId="77777777" w:rsidR="00B6031B" w:rsidRPr="00B6031B" w:rsidRDefault="00B6031B" w:rsidP="00B6031B">
      <w:pPr>
        <w:pStyle w:val="FootnoteText"/>
        <w:ind w:left="1134" w:hanging="1134"/>
        <w:rPr>
          <w:sz w:val="24"/>
          <w:szCs w:val="24"/>
        </w:rPr>
      </w:pPr>
      <w:r w:rsidRPr="00B6031B">
        <w:rPr>
          <w:sz w:val="24"/>
          <w:szCs w:val="24"/>
        </w:rPr>
        <w:t>Pinckaers</w:t>
      </w:r>
      <w:r>
        <w:rPr>
          <w:sz w:val="24"/>
          <w:szCs w:val="24"/>
        </w:rPr>
        <w:t xml:space="preserve"> </w:t>
      </w:r>
      <w:r w:rsidRPr="00B6031B">
        <w:rPr>
          <w:sz w:val="24"/>
          <w:szCs w:val="24"/>
        </w:rPr>
        <w:t xml:space="preserve">S., </w:t>
      </w:r>
      <w:r w:rsidRPr="00B6031B">
        <w:rPr>
          <w:i/>
          <w:iCs/>
          <w:sz w:val="24"/>
          <w:szCs w:val="24"/>
        </w:rPr>
        <w:t>Sumienia a błąd</w:t>
      </w:r>
      <w:r w:rsidRPr="00B6031B">
        <w:rPr>
          <w:sz w:val="24"/>
          <w:szCs w:val="24"/>
        </w:rPr>
        <w:t xml:space="preserve">, w: </w:t>
      </w:r>
      <w:r w:rsidRPr="00B6031B">
        <w:rPr>
          <w:i/>
          <w:iCs/>
          <w:sz w:val="24"/>
          <w:szCs w:val="24"/>
        </w:rPr>
        <w:t>Communio</w:t>
      </w:r>
      <w:r w:rsidRPr="00B6031B">
        <w:rPr>
          <w:sz w:val="24"/>
          <w:szCs w:val="24"/>
        </w:rPr>
        <w:t xml:space="preserve"> 14(1994)5, s. 60-72.</w:t>
      </w:r>
    </w:p>
    <w:p w14:paraId="14E9DF34" w14:textId="77777777" w:rsidR="00B6031B" w:rsidRPr="00B6031B" w:rsidRDefault="00B6031B" w:rsidP="00B6031B">
      <w:pPr>
        <w:pStyle w:val="FootnoteText"/>
        <w:ind w:left="1134" w:hanging="1134"/>
        <w:rPr>
          <w:sz w:val="24"/>
          <w:szCs w:val="24"/>
        </w:rPr>
      </w:pPr>
      <w:r w:rsidRPr="00B6031B">
        <w:rPr>
          <w:sz w:val="24"/>
          <w:szCs w:val="24"/>
        </w:rPr>
        <w:t>Plich</w:t>
      </w:r>
      <w:r>
        <w:rPr>
          <w:sz w:val="24"/>
          <w:szCs w:val="24"/>
        </w:rPr>
        <w:t xml:space="preserve"> </w:t>
      </w:r>
      <w:r w:rsidRPr="00B6031B">
        <w:rPr>
          <w:sz w:val="24"/>
          <w:szCs w:val="24"/>
        </w:rPr>
        <w:t xml:space="preserve">J., </w:t>
      </w:r>
      <w:r w:rsidRPr="00B6031B">
        <w:rPr>
          <w:i/>
          <w:iCs/>
          <w:sz w:val="24"/>
          <w:szCs w:val="24"/>
        </w:rPr>
        <w:t>Sumienie a autorytet Urzędu Nauczycielskiego Kościoła</w:t>
      </w:r>
      <w:r w:rsidRPr="00B6031B">
        <w:rPr>
          <w:sz w:val="24"/>
          <w:szCs w:val="24"/>
        </w:rPr>
        <w:t xml:space="preserve">, w: </w:t>
      </w:r>
      <w:r w:rsidRPr="00B6031B">
        <w:rPr>
          <w:i/>
          <w:iCs/>
          <w:sz w:val="24"/>
          <w:szCs w:val="24"/>
        </w:rPr>
        <w:t>Przegląd Tomistyczny</w:t>
      </w:r>
      <w:r w:rsidRPr="00B6031B">
        <w:rPr>
          <w:sz w:val="24"/>
          <w:szCs w:val="24"/>
        </w:rPr>
        <w:t>, t. XVIII (2012), s. 183–196.</w:t>
      </w:r>
    </w:p>
    <w:p w14:paraId="6B249B5D" w14:textId="77777777" w:rsidR="00B6031B" w:rsidRPr="00B6031B" w:rsidRDefault="00B6031B" w:rsidP="00B6031B">
      <w:pPr>
        <w:pStyle w:val="FootnoteText"/>
        <w:ind w:left="1134" w:hanging="1134"/>
        <w:rPr>
          <w:sz w:val="24"/>
          <w:szCs w:val="24"/>
        </w:rPr>
      </w:pPr>
      <w:r w:rsidRPr="00B6031B">
        <w:rPr>
          <w:sz w:val="24"/>
          <w:szCs w:val="24"/>
        </w:rPr>
        <w:t>Ratzinger</w:t>
      </w:r>
      <w:r>
        <w:rPr>
          <w:sz w:val="24"/>
          <w:szCs w:val="24"/>
        </w:rPr>
        <w:t xml:space="preserve"> </w:t>
      </w:r>
      <w:proofErr w:type="gramStart"/>
      <w:r>
        <w:rPr>
          <w:sz w:val="24"/>
          <w:szCs w:val="24"/>
        </w:rPr>
        <w:t xml:space="preserve">J. </w:t>
      </w:r>
      <w:r w:rsidRPr="00B6031B">
        <w:rPr>
          <w:sz w:val="24"/>
          <w:szCs w:val="24"/>
        </w:rPr>
        <w:t>,</w:t>
      </w:r>
      <w:proofErr w:type="gramEnd"/>
      <w:r w:rsidRPr="00B6031B">
        <w:rPr>
          <w:sz w:val="24"/>
          <w:szCs w:val="24"/>
        </w:rPr>
        <w:t xml:space="preserve"> </w:t>
      </w:r>
      <w:r w:rsidRPr="00B6031B">
        <w:rPr>
          <w:i/>
          <w:iCs/>
          <w:sz w:val="24"/>
          <w:szCs w:val="24"/>
        </w:rPr>
        <w:t xml:space="preserve">Obrazy nadziei. Wędrówki przez rok </w:t>
      </w:r>
      <w:proofErr w:type="gramStart"/>
      <w:r w:rsidRPr="00B6031B">
        <w:rPr>
          <w:i/>
          <w:iCs/>
          <w:sz w:val="24"/>
          <w:szCs w:val="24"/>
        </w:rPr>
        <w:t>kościelny</w:t>
      </w:r>
      <w:r w:rsidRPr="00B6031B">
        <w:rPr>
          <w:sz w:val="24"/>
          <w:szCs w:val="24"/>
        </w:rPr>
        <w:t>,  Poznań</w:t>
      </w:r>
      <w:proofErr w:type="gramEnd"/>
      <w:r w:rsidRPr="00B6031B">
        <w:rPr>
          <w:sz w:val="24"/>
          <w:szCs w:val="24"/>
        </w:rPr>
        <w:t xml:space="preserve"> 1998.</w:t>
      </w:r>
    </w:p>
    <w:p w14:paraId="766937F1" w14:textId="77777777" w:rsidR="00B6031B" w:rsidRPr="00B6031B" w:rsidRDefault="00B6031B" w:rsidP="00B6031B">
      <w:pPr>
        <w:pStyle w:val="FootnoteText"/>
        <w:ind w:left="1134" w:hanging="1134"/>
        <w:rPr>
          <w:sz w:val="24"/>
          <w:szCs w:val="24"/>
        </w:rPr>
      </w:pPr>
      <w:r w:rsidRPr="00B6031B">
        <w:rPr>
          <w:sz w:val="24"/>
          <w:szCs w:val="24"/>
        </w:rPr>
        <w:t>Ruggieri</w:t>
      </w:r>
      <w:r>
        <w:rPr>
          <w:sz w:val="24"/>
          <w:szCs w:val="24"/>
        </w:rPr>
        <w:t xml:space="preserve"> </w:t>
      </w:r>
      <w:r w:rsidRPr="00B6031B">
        <w:rPr>
          <w:sz w:val="24"/>
          <w:szCs w:val="24"/>
        </w:rPr>
        <w:t xml:space="preserve">G., </w:t>
      </w:r>
      <w:r w:rsidRPr="00B6031B">
        <w:rPr>
          <w:i/>
          <w:iCs/>
          <w:sz w:val="24"/>
          <w:szCs w:val="24"/>
        </w:rPr>
        <w:t>Autorytet teologii w Kościele</w:t>
      </w:r>
      <w:r w:rsidRPr="00B6031B">
        <w:rPr>
          <w:sz w:val="24"/>
          <w:szCs w:val="24"/>
        </w:rPr>
        <w:t xml:space="preserve">, w: </w:t>
      </w:r>
      <w:r w:rsidRPr="00B6031B">
        <w:rPr>
          <w:i/>
          <w:iCs/>
          <w:sz w:val="24"/>
          <w:szCs w:val="24"/>
        </w:rPr>
        <w:t>Kolekcja Communio</w:t>
      </w:r>
      <w:r w:rsidRPr="00B6031B">
        <w:rPr>
          <w:sz w:val="24"/>
          <w:szCs w:val="24"/>
        </w:rPr>
        <w:t xml:space="preserve"> 6(1991), s. 243-252.</w:t>
      </w:r>
    </w:p>
    <w:p w14:paraId="3D940DD0" w14:textId="77777777" w:rsidR="00B6031B" w:rsidRPr="00B6031B" w:rsidRDefault="00B6031B" w:rsidP="00B6031B">
      <w:pPr>
        <w:pStyle w:val="FootnoteText"/>
        <w:ind w:left="1134" w:hanging="1134"/>
        <w:jc w:val="both"/>
        <w:rPr>
          <w:sz w:val="24"/>
          <w:szCs w:val="24"/>
        </w:rPr>
      </w:pPr>
      <w:r w:rsidRPr="00B6031B">
        <w:rPr>
          <w:sz w:val="24"/>
          <w:szCs w:val="24"/>
        </w:rPr>
        <w:t>Sareło</w:t>
      </w:r>
      <w:r>
        <w:rPr>
          <w:sz w:val="24"/>
          <w:szCs w:val="24"/>
        </w:rPr>
        <w:t xml:space="preserve"> </w:t>
      </w:r>
      <w:r w:rsidRPr="00B6031B">
        <w:rPr>
          <w:sz w:val="24"/>
          <w:szCs w:val="24"/>
        </w:rPr>
        <w:t xml:space="preserve">Z., </w:t>
      </w:r>
      <w:r w:rsidRPr="00B6031B">
        <w:rPr>
          <w:i/>
          <w:iCs/>
          <w:sz w:val="24"/>
          <w:szCs w:val="24"/>
        </w:rPr>
        <w:t>Sumienie w relacji do prawa w nauczaniu Magisterium</w:t>
      </w:r>
      <w:r w:rsidRPr="00B6031B">
        <w:rPr>
          <w:sz w:val="24"/>
          <w:szCs w:val="24"/>
        </w:rPr>
        <w:t xml:space="preserve">, w: </w:t>
      </w:r>
      <w:r w:rsidRPr="00B6031B">
        <w:rPr>
          <w:i/>
          <w:iCs/>
          <w:sz w:val="24"/>
          <w:szCs w:val="24"/>
        </w:rPr>
        <w:t>Communio</w:t>
      </w:r>
      <w:r w:rsidRPr="00B6031B">
        <w:rPr>
          <w:sz w:val="24"/>
          <w:szCs w:val="24"/>
        </w:rPr>
        <w:t xml:space="preserve"> 14(1994)5, s. 96-105.</w:t>
      </w:r>
    </w:p>
    <w:p w14:paraId="73E2C8BD" w14:textId="77777777" w:rsidR="00B6031B" w:rsidRPr="00B6031B" w:rsidRDefault="00B6031B" w:rsidP="00B6031B">
      <w:pPr>
        <w:pStyle w:val="FootnoteText"/>
        <w:ind w:left="1134" w:hanging="1134"/>
        <w:jc w:val="both"/>
        <w:rPr>
          <w:sz w:val="24"/>
          <w:szCs w:val="24"/>
        </w:rPr>
      </w:pPr>
      <w:r w:rsidRPr="00B6031B">
        <w:rPr>
          <w:sz w:val="24"/>
          <w:szCs w:val="24"/>
        </w:rPr>
        <w:t>Schlögel</w:t>
      </w:r>
      <w:r>
        <w:rPr>
          <w:sz w:val="24"/>
          <w:szCs w:val="24"/>
        </w:rPr>
        <w:t xml:space="preserve"> </w:t>
      </w:r>
      <w:r w:rsidRPr="00B6031B">
        <w:rPr>
          <w:sz w:val="24"/>
          <w:szCs w:val="24"/>
        </w:rPr>
        <w:t xml:space="preserve">H., </w:t>
      </w:r>
      <w:r w:rsidRPr="00B6031B">
        <w:rPr>
          <w:i/>
          <w:iCs/>
          <w:sz w:val="24"/>
          <w:szCs w:val="24"/>
        </w:rPr>
        <w:t>Punkt ciężkości – sąd sumienia</w:t>
      </w:r>
      <w:r w:rsidRPr="00B6031B">
        <w:rPr>
          <w:sz w:val="24"/>
          <w:szCs w:val="24"/>
        </w:rPr>
        <w:t xml:space="preserve">, w: </w:t>
      </w:r>
      <w:r w:rsidRPr="00B6031B">
        <w:rPr>
          <w:i/>
          <w:iCs/>
          <w:sz w:val="24"/>
          <w:szCs w:val="24"/>
        </w:rPr>
        <w:t>Communio</w:t>
      </w:r>
      <w:r w:rsidRPr="00B6031B">
        <w:rPr>
          <w:sz w:val="24"/>
          <w:szCs w:val="24"/>
        </w:rPr>
        <w:t xml:space="preserve"> 14(1994)5, s. 31-39.</w:t>
      </w:r>
    </w:p>
    <w:p w14:paraId="76D63E16" w14:textId="77777777" w:rsidR="00B6031B" w:rsidRPr="00B6031B" w:rsidRDefault="00B6031B" w:rsidP="00B6031B">
      <w:pPr>
        <w:spacing w:line="240" w:lineRule="auto"/>
        <w:jc w:val="both"/>
        <w:rPr>
          <w:b/>
          <w:bCs/>
        </w:rPr>
      </w:pPr>
    </w:p>
    <w:sectPr w:rsidR="00B6031B" w:rsidRPr="00B603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41DD0" w14:textId="77777777" w:rsidR="00B631DC" w:rsidRDefault="00B631DC" w:rsidP="00687063">
      <w:pPr>
        <w:spacing w:after="0" w:line="240" w:lineRule="auto"/>
      </w:pPr>
      <w:r>
        <w:separator/>
      </w:r>
    </w:p>
  </w:endnote>
  <w:endnote w:type="continuationSeparator" w:id="0">
    <w:p w14:paraId="2936C9A4" w14:textId="77777777" w:rsidR="00B631DC" w:rsidRDefault="00B631DC" w:rsidP="00687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30E2" w14:textId="77777777" w:rsidR="00B631DC" w:rsidRDefault="00B631DC" w:rsidP="00687063">
      <w:pPr>
        <w:spacing w:after="0" w:line="240" w:lineRule="auto"/>
      </w:pPr>
      <w:r>
        <w:separator/>
      </w:r>
    </w:p>
  </w:footnote>
  <w:footnote w:type="continuationSeparator" w:id="0">
    <w:p w14:paraId="4FC0E00F" w14:textId="77777777" w:rsidR="00B631DC" w:rsidRDefault="00B631DC" w:rsidP="00687063">
      <w:pPr>
        <w:spacing w:after="0" w:line="240" w:lineRule="auto"/>
      </w:pPr>
      <w:r>
        <w:continuationSeparator/>
      </w:r>
    </w:p>
  </w:footnote>
  <w:footnote w:id="1">
    <w:p w14:paraId="5205E338" w14:textId="6AB5E611" w:rsidR="0037711E" w:rsidRDefault="0037711E">
      <w:pPr>
        <w:pStyle w:val="FootnoteText"/>
      </w:pPr>
      <w:r>
        <w:rPr>
          <w:rStyle w:val="FootnoteReference"/>
        </w:rPr>
        <w:footnoteRef/>
      </w:r>
      <w:r>
        <w:t xml:space="preserve"> G. Ruggieri, </w:t>
      </w:r>
      <w:r w:rsidRPr="0037711E">
        <w:rPr>
          <w:i/>
          <w:iCs/>
        </w:rPr>
        <w:t>Autorytet teologii w Kościele</w:t>
      </w:r>
      <w:r>
        <w:t xml:space="preserve">, w: </w:t>
      </w:r>
      <w:r w:rsidRPr="0037711E">
        <w:rPr>
          <w:i/>
          <w:iCs/>
        </w:rPr>
        <w:t>Kolekcja Communio</w:t>
      </w:r>
      <w:r>
        <w:t xml:space="preserve"> 6(1991), s. 243-252.</w:t>
      </w:r>
    </w:p>
  </w:footnote>
  <w:footnote w:id="2">
    <w:p w14:paraId="288BA245" w14:textId="77777777" w:rsidR="00604964" w:rsidRDefault="00604964" w:rsidP="00604964">
      <w:pPr>
        <w:pStyle w:val="FootnoteText"/>
        <w:jc w:val="both"/>
      </w:pPr>
      <w:r>
        <w:rPr>
          <w:rStyle w:val="FootnoteReference"/>
        </w:rPr>
        <w:footnoteRef/>
      </w:r>
      <w:r>
        <w:t xml:space="preserve"> Franciszek, Encyklika </w:t>
      </w:r>
      <w:r w:rsidRPr="00687063">
        <w:rPr>
          <w:i/>
          <w:iCs/>
        </w:rPr>
        <w:t>Fratelli tutti</w:t>
      </w:r>
      <w:r>
        <w:rPr>
          <w:i/>
          <w:iCs/>
        </w:rPr>
        <w:t>,</w:t>
      </w:r>
      <w:r w:rsidRPr="00687063">
        <w:t xml:space="preserve"> </w:t>
      </w:r>
      <w:r>
        <w:t>W</w:t>
      </w:r>
      <w:r w:rsidRPr="00687063">
        <w:t>atykan 20</w:t>
      </w:r>
      <w:r>
        <w:t>15</w:t>
      </w:r>
      <w:r w:rsidRPr="00687063">
        <w:t>, 13.</w:t>
      </w:r>
      <w:r>
        <w:t xml:space="preserve"> Zob. Franciszek, </w:t>
      </w:r>
      <w:r w:rsidRPr="00275F0A">
        <w:rPr>
          <w:i/>
          <w:iCs/>
        </w:rPr>
        <w:t>Przemówienie do korpusu dyplomatycznego</w:t>
      </w:r>
      <w:r w:rsidRPr="00275F0A">
        <w:t> (8 stycznia 2007): </w:t>
      </w:r>
      <w:r>
        <w:t xml:space="preserve">w: </w:t>
      </w:r>
      <w:r w:rsidRPr="00275F0A">
        <w:rPr>
          <w:i/>
          <w:iCs/>
        </w:rPr>
        <w:t>AAS</w:t>
      </w:r>
      <w:r w:rsidRPr="00275F0A">
        <w:t xml:space="preserve"> 99 (2007), </w:t>
      </w:r>
      <w:r>
        <w:t xml:space="preserve">s. </w:t>
      </w:r>
      <w:r w:rsidRPr="00275F0A">
        <w:t>73.</w:t>
      </w:r>
    </w:p>
  </w:footnote>
  <w:footnote w:id="3">
    <w:p w14:paraId="764F8F14" w14:textId="07199900" w:rsidR="0037711E" w:rsidRDefault="0037711E">
      <w:pPr>
        <w:pStyle w:val="FootnoteText"/>
      </w:pPr>
      <w:r>
        <w:rPr>
          <w:rStyle w:val="FootnoteReference"/>
        </w:rPr>
        <w:footnoteRef/>
      </w:r>
      <w:r>
        <w:t xml:space="preserve"> W. Aymans, </w:t>
      </w:r>
      <w:r w:rsidRPr="0037711E">
        <w:rPr>
          <w:i/>
          <w:iCs/>
        </w:rPr>
        <w:t>Autorytet apostolski w Ludzie Bożym</w:t>
      </w:r>
      <w:r>
        <w:t xml:space="preserve">, w: </w:t>
      </w:r>
      <w:r w:rsidRPr="0037711E">
        <w:rPr>
          <w:i/>
          <w:iCs/>
        </w:rPr>
        <w:t>Communio</w:t>
      </w:r>
      <w:r>
        <w:t xml:space="preserve"> 4(1984)3, s. 88-105.</w:t>
      </w:r>
    </w:p>
  </w:footnote>
  <w:footnote w:id="4">
    <w:p w14:paraId="17FC6EBC" w14:textId="478DD240" w:rsidR="007E4A3C" w:rsidRDefault="007E4A3C" w:rsidP="00373F37">
      <w:pPr>
        <w:pStyle w:val="FootnoteText"/>
        <w:jc w:val="both"/>
      </w:pPr>
      <w:r>
        <w:rPr>
          <w:rStyle w:val="FootnoteReference"/>
        </w:rPr>
        <w:footnoteRef/>
      </w:r>
      <w:r>
        <w:t xml:space="preserve"> H. Arendt, </w:t>
      </w:r>
      <w:r w:rsidRPr="007E4A3C">
        <w:rPr>
          <w:i/>
          <w:iCs/>
        </w:rPr>
        <w:t>Między czasem minionym a przyszłym. Osiem ćwiczeń z myśli politycznej</w:t>
      </w:r>
      <w:r>
        <w:t>, Warszawa 2011, s. 111.</w:t>
      </w:r>
    </w:p>
  </w:footnote>
  <w:footnote w:id="5">
    <w:p w14:paraId="14DD7D4A" w14:textId="66033FF7" w:rsidR="00373F37" w:rsidRDefault="00373F37">
      <w:pPr>
        <w:pStyle w:val="FootnoteText"/>
      </w:pPr>
      <w:r>
        <w:rPr>
          <w:rStyle w:val="FootnoteReference"/>
        </w:rPr>
        <w:footnoteRef/>
      </w:r>
      <w:r>
        <w:t xml:space="preserve"> Tamże, s. 203.</w:t>
      </w:r>
    </w:p>
  </w:footnote>
  <w:footnote w:id="6">
    <w:p w14:paraId="1DF19EA9" w14:textId="44DC28D4" w:rsidR="00373F37" w:rsidRDefault="00373F37">
      <w:pPr>
        <w:pStyle w:val="FootnoteText"/>
      </w:pPr>
      <w:r>
        <w:rPr>
          <w:rStyle w:val="FootnoteReference"/>
        </w:rPr>
        <w:footnoteRef/>
      </w:r>
      <w:r>
        <w:t xml:space="preserve"> Tamże.</w:t>
      </w:r>
    </w:p>
  </w:footnote>
  <w:footnote w:id="7">
    <w:p w14:paraId="1C0AE2DC" w14:textId="7918B007" w:rsidR="00373F37" w:rsidRDefault="00373F37" w:rsidP="00373F37">
      <w:pPr>
        <w:pStyle w:val="FootnoteText"/>
      </w:pPr>
      <w:r>
        <w:rPr>
          <w:rStyle w:val="FootnoteReference"/>
        </w:rPr>
        <w:footnoteRef/>
      </w:r>
      <w:r>
        <w:t xml:space="preserve"> J. Ratzinger, </w:t>
      </w:r>
      <w:r w:rsidRPr="00373F37">
        <w:rPr>
          <w:i/>
          <w:iCs/>
        </w:rPr>
        <w:t xml:space="preserve">Obrazy nadziei. Wędrówki przez rok </w:t>
      </w:r>
      <w:proofErr w:type="gramStart"/>
      <w:r w:rsidRPr="00373F37">
        <w:rPr>
          <w:i/>
          <w:iCs/>
        </w:rPr>
        <w:t>kościelny</w:t>
      </w:r>
      <w:r>
        <w:t>,  Poznań</w:t>
      </w:r>
      <w:proofErr w:type="gramEnd"/>
      <w:r>
        <w:t xml:space="preserve"> 1998, s. 24.</w:t>
      </w:r>
    </w:p>
  </w:footnote>
  <w:footnote w:id="8">
    <w:p w14:paraId="37A0A657" w14:textId="47AD048C" w:rsidR="001D4258" w:rsidRPr="001D4258" w:rsidRDefault="001D4258">
      <w:pPr>
        <w:pStyle w:val="FootnoteText"/>
      </w:pPr>
      <w:r>
        <w:rPr>
          <w:rStyle w:val="FootnoteReference"/>
        </w:rPr>
        <w:footnoteRef/>
      </w:r>
      <w:r w:rsidRPr="001D4258">
        <w:t xml:space="preserve"> J.A. Palos, </w:t>
      </w:r>
      <w:r w:rsidRPr="001D4258">
        <w:rPr>
          <w:i/>
          <w:iCs/>
        </w:rPr>
        <w:t>Bóg a sumienie w Tradycji biblijnej</w:t>
      </w:r>
      <w:r>
        <w:t xml:space="preserve">, w: </w:t>
      </w:r>
      <w:r w:rsidRPr="001D4258">
        <w:rPr>
          <w:i/>
          <w:iCs/>
        </w:rPr>
        <w:t>Communio</w:t>
      </w:r>
      <w:r>
        <w:t xml:space="preserve"> 14(1994)5, s. 3-18.</w:t>
      </w:r>
    </w:p>
  </w:footnote>
  <w:footnote w:id="9">
    <w:p w14:paraId="33EEC9C1" w14:textId="3A0F868D" w:rsidR="00775C10" w:rsidRPr="00775C10" w:rsidRDefault="00775C10">
      <w:pPr>
        <w:pStyle w:val="FootnoteText"/>
        <w:rPr>
          <w:lang w:val="en-US"/>
        </w:rPr>
      </w:pPr>
      <w:r>
        <w:rPr>
          <w:rStyle w:val="FootnoteReference"/>
        </w:rPr>
        <w:footnoteRef/>
      </w:r>
      <w:r w:rsidRPr="00775C10">
        <w:rPr>
          <w:lang w:val="en-US"/>
        </w:rPr>
        <w:t xml:space="preserve"> T.Y. Malaty, </w:t>
      </w:r>
      <w:r w:rsidRPr="00775C10">
        <w:rPr>
          <w:i/>
          <w:iCs/>
          <w:lang w:val="en-US"/>
        </w:rPr>
        <w:t>Tradition and Orthodoxy</w:t>
      </w:r>
      <w:r>
        <w:rPr>
          <w:lang w:val="en-US"/>
        </w:rPr>
        <w:t>, Alexandria 1979, s. 7.</w:t>
      </w:r>
    </w:p>
  </w:footnote>
  <w:footnote w:id="10">
    <w:p w14:paraId="0221F3E3" w14:textId="01B9DEF6" w:rsidR="0037711E" w:rsidRDefault="0037711E" w:rsidP="0037711E">
      <w:pPr>
        <w:pStyle w:val="FootnoteText"/>
        <w:jc w:val="both"/>
      </w:pPr>
      <w:r>
        <w:rPr>
          <w:rStyle w:val="FootnoteReference"/>
        </w:rPr>
        <w:footnoteRef/>
      </w:r>
      <w:r>
        <w:t xml:space="preserve"> G. Chantraine, </w:t>
      </w:r>
      <w:r w:rsidRPr="0037711E">
        <w:rPr>
          <w:i/>
          <w:iCs/>
        </w:rPr>
        <w:t xml:space="preserve">Niełaski czy łaska autorytetu </w:t>
      </w:r>
      <w:proofErr w:type="gramStart"/>
      <w:r w:rsidRPr="0037711E">
        <w:rPr>
          <w:i/>
          <w:iCs/>
        </w:rPr>
        <w:t>biskupiego?</w:t>
      </w:r>
      <w:r>
        <w:t>,</w:t>
      </w:r>
      <w:proofErr w:type="gramEnd"/>
      <w:r>
        <w:t xml:space="preserve"> w: </w:t>
      </w:r>
      <w:r w:rsidRPr="0037711E">
        <w:rPr>
          <w:i/>
          <w:iCs/>
        </w:rPr>
        <w:t>Kolekcja Communio</w:t>
      </w:r>
      <w:r>
        <w:t xml:space="preserve"> 3(1988), s.163-165; J. Duchesne, </w:t>
      </w:r>
      <w:r w:rsidRPr="0037711E">
        <w:rPr>
          <w:i/>
          <w:iCs/>
        </w:rPr>
        <w:t>Autorytet biskupa</w:t>
      </w:r>
      <w:r>
        <w:t xml:space="preserve">, w: </w:t>
      </w:r>
      <w:r w:rsidRPr="0037711E">
        <w:rPr>
          <w:i/>
          <w:iCs/>
        </w:rPr>
        <w:t>Kolekcja Communio</w:t>
      </w:r>
      <w:r>
        <w:t xml:space="preserve"> 3(1988), s.152-162.</w:t>
      </w:r>
    </w:p>
  </w:footnote>
  <w:footnote w:id="11">
    <w:p w14:paraId="4EC657F1" w14:textId="1C9F6AA3" w:rsidR="00990021" w:rsidRDefault="00990021" w:rsidP="0037711E">
      <w:pPr>
        <w:pStyle w:val="FootnoteText"/>
        <w:jc w:val="both"/>
      </w:pPr>
      <w:r>
        <w:rPr>
          <w:rStyle w:val="FootnoteReference"/>
        </w:rPr>
        <w:footnoteRef/>
      </w:r>
      <w:r>
        <w:t xml:space="preserve"> Z. Sareło, </w:t>
      </w:r>
      <w:r w:rsidRPr="00B6031B">
        <w:rPr>
          <w:i/>
          <w:iCs/>
        </w:rPr>
        <w:t>Sumienie w relacji do prawa w nauczaniu Magisterium</w:t>
      </w:r>
      <w:r>
        <w:t xml:space="preserve">, w: </w:t>
      </w:r>
      <w:r w:rsidRPr="001D4258">
        <w:rPr>
          <w:i/>
          <w:iCs/>
        </w:rPr>
        <w:t>Communio</w:t>
      </w:r>
      <w:r>
        <w:t xml:space="preserve"> 14(1994)5, s. 96-105.</w:t>
      </w:r>
    </w:p>
  </w:footnote>
  <w:footnote w:id="12">
    <w:p w14:paraId="29DAEBEC" w14:textId="1EC6CDA2" w:rsidR="001D4258" w:rsidRPr="001D4258" w:rsidRDefault="001D4258" w:rsidP="0037711E">
      <w:pPr>
        <w:pStyle w:val="FootnoteText"/>
        <w:jc w:val="both"/>
      </w:pPr>
      <w:r>
        <w:rPr>
          <w:rStyle w:val="FootnoteReference"/>
        </w:rPr>
        <w:footnoteRef/>
      </w:r>
      <w:r w:rsidRPr="001D4258">
        <w:t xml:space="preserve"> H. Schlögel, </w:t>
      </w:r>
      <w:r w:rsidRPr="00B6031B">
        <w:rPr>
          <w:i/>
          <w:iCs/>
        </w:rPr>
        <w:t>Punkt ciężkości – sąd sumienia</w:t>
      </w:r>
      <w:r>
        <w:t xml:space="preserve">, w: </w:t>
      </w:r>
      <w:r w:rsidRPr="001D4258">
        <w:rPr>
          <w:i/>
          <w:iCs/>
        </w:rPr>
        <w:t>Communio</w:t>
      </w:r>
      <w:r>
        <w:t xml:space="preserve"> 14(1994)5, s. 31-39.</w:t>
      </w:r>
    </w:p>
  </w:footnote>
  <w:footnote w:id="13">
    <w:p w14:paraId="0B45D1D9" w14:textId="020C04EC" w:rsidR="00641641" w:rsidRPr="00641641" w:rsidRDefault="00641641">
      <w:pPr>
        <w:pStyle w:val="FootnoteText"/>
        <w:rPr>
          <w:lang w:val="en-US"/>
        </w:rPr>
      </w:pPr>
      <w:r>
        <w:rPr>
          <w:rStyle w:val="FootnoteReference"/>
        </w:rPr>
        <w:footnoteRef/>
      </w:r>
      <w:r w:rsidRPr="00641641">
        <w:rPr>
          <w:lang w:val="en-US"/>
        </w:rPr>
        <w:t xml:space="preserve"> Jan Paweł II, Encyklika </w:t>
      </w:r>
      <w:r w:rsidRPr="00641641">
        <w:rPr>
          <w:i/>
          <w:iCs/>
          <w:lang w:val="en-US"/>
        </w:rPr>
        <w:t>Veritatis splendor</w:t>
      </w:r>
      <w:r w:rsidRPr="00641641">
        <w:rPr>
          <w:lang w:val="en-US"/>
        </w:rPr>
        <w:t>,</w:t>
      </w:r>
      <w:r>
        <w:rPr>
          <w:lang w:val="en-US"/>
        </w:rPr>
        <w:t xml:space="preserve"> Watykan 1993, 64.</w:t>
      </w:r>
    </w:p>
  </w:footnote>
  <w:footnote w:id="14">
    <w:p w14:paraId="30033473" w14:textId="5F2ECACC" w:rsidR="00641641" w:rsidRDefault="00641641">
      <w:pPr>
        <w:pStyle w:val="FootnoteText"/>
      </w:pPr>
      <w:r>
        <w:rPr>
          <w:rStyle w:val="FootnoteReference"/>
        </w:rPr>
        <w:footnoteRef/>
      </w:r>
      <w:r>
        <w:t xml:space="preserve"> </w:t>
      </w:r>
      <w:r w:rsidR="0003716E">
        <w:t xml:space="preserve">Por. II Sobór </w:t>
      </w:r>
      <w:proofErr w:type="gramStart"/>
      <w:r w:rsidR="0003716E">
        <w:t xml:space="preserve">Watykański,  </w:t>
      </w:r>
      <w:r w:rsidR="0003716E" w:rsidRPr="00CF0CED">
        <w:rPr>
          <w:rStyle w:val="Emphasis"/>
          <w:rFonts w:cs="Times New Roman"/>
          <w:i w:val="0"/>
          <w:iCs w:val="0"/>
          <w:shd w:val="clear" w:color="auto" w:fill="FFFFFF"/>
        </w:rPr>
        <w:t>Deklaracja</w:t>
      </w:r>
      <w:proofErr w:type="gramEnd"/>
      <w:r w:rsidR="0003716E" w:rsidRPr="00CF0CED">
        <w:rPr>
          <w:rStyle w:val="Emphasis"/>
          <w:rFonts w:cs="Times New Roman"/>
          <w:i w:val="0"/>
          <w:iCs w:val="0"/>
          <w:shd w:val="clear" w:color="auto" w:fill="FFFFFF"/>
        </w:rPr>
        <w:t xml:space="preserve"> o wolności religijnej </w:t>
      </w:r>
      <w:r w:rsidR="0003716E" w:rsidRPr="00CF0CED">
        <w:rPr>
          <w:i/>
          <w:iCs/>
        </w:rPr>
        <w:t>Dignitatis humanae</w:t>
      </w:r>
      <w:r w:rsidR="0003716E">
        <w:t>, 14, Watykan 1965.</w:t>
      </w:r>
    </w:p>
  </w:footnote>
  <w:footnote w:id="15">
    <w:p w14:paraId="614DB928" w14:textId="4C72C986" w:rsidR="0003716E" w:rsidRPr="0003716E" w:rsidRDefault="0003716E" w:rsidP="0003716E">
      <w:pPr>
        <w:pStyle w:val="FootnoteText"/>
        <w:rPr>
          <w:lang w:val="en-US"/>
        </w:rPr>
      </w:pPr>
      <w:r>
        <w:rPr>
          <w:rStyle w:val="FootnoteReference"/>
        </w:rPr>
        <w:footnoteRef/>
      </w:r>
      <w:r w:rsidRPr="0003716E">
        <w:rPr>
          <w:lang w:val="en-US"/>
        </w:rPr>
        <w:t xml:space="preserve"> </w:t>
      </w:r>
      <w:r>
        <w:rPr>
          <w:lang w:val="en-US"/>
        </w:rPr>
        <w:t>Jan Paweł II,</w:t>
      </w:r>
      <w:r w:rsidRPr="00641641">
        <w:rPr>
          <w:lang w:val="en-US"/>
        </w:rPr>
        <w:t xml:space="preserve"> </w:t>
      </w:r>
      <w:r w:rsidRPr="00641641">
        <w:rPr>
          <w:i/>
          <w:iCs/>
          <w:lang w:val="en-US"/>
        </w:rPr>
        <w:t>Veritatis splendor</w:t>
      </w:r>
      <w:r>
        <w:rPr>
          <w:lang w:val="en-US"/>
        </w:rPr>
        <w:t>, 64.</w:t>
      </w:r>
    </w:p>
  </w:footnote>
  <w:footnote w:id="16">
    <w:p w14:paraId="3D8EDF6D" w14:textId="4CFDA2FA" w:rsidR="000052E7" w:rsidRDefault="000052E7">
      <w:pPr>
        <w:pStyle w:val="FootnoteText"/>
      </w:pPr>
      <w:r>
        <w:rPr>
          <w:rStyle w:val="FootnoteReference"/>
        </w:rPr>
        <w:footnoteRef/>
      </w:r>
      <w:r>
        <w:t xml:space="preserve"> J. Guitton, </w:t>
      </w:r>
      <w:r w:rsidRPr="000052E7">
        <w:rPr>
          <w:i/>
          <w:iCs/>
        </w:rPr>
        <w:t>Dialogi z Pawłem VI</w:t>
      </w:r>
      <w:r>
        <w:t>, Poznań 1969, s. 296.</w:t>
      </w:r>
    </w:p>
  </w:footnote>
  <w:footnote w:id="17">
    <w:p w14:paraId="32E4039F" w14:textId="00F09BE2" w:rsidR="00CF0CED" w:rsidRDefault="00CF0CED">
      <w:pPr>
        <w:pStyle w:val="FootnoteText"/>
      </w:pPr>
      <w:r>
        <w:rPr>
          <w:rStyle w:val="FootnoteReference"/>
        </w:rPr>
        <w:footnoteRef/>
      </w:r>
      <w:r>
        <w:t xml:space="preserve"> J. Plich, </w:t>
      </w:r>
      <w:r w:rsidRPr="00CF0CED">
        <w:rPr>
          <w:i/>
          <w:iCs/>
        </w:rPr>
        <w:t>S</w:t>
      </w:r>
      <w:r>
        <w:rPr>
          <w:i/>
          <w:iCs/>
        </w:rPr>
        <w:t>umienie a autorytet Urzędu Nauczycielskiego K</w:t>
      </w:r>
      <w:r w:rsidRPr="00CF0CED">
        <w:rPr>
          <w:i/>
          <w:iCs/>
        </w:rPr>
        <w:t>ościoła</w:t>
      </w:r>
      <w:r>
        <w:t xml:space="preserve">, w: </w:t>
      </w:r>
      <w:r w:rsidRPr="00CF0CED">
        <w:rPr>
          <w:i/>
          <w:iCs/>
        </w:rPr>
        <w:t>Przegląd Tomistyczny</w:t>
      </w:r>
      <w:r>
        <w:t>, t. XVIII (2012), s. 183–196, tutaj s. 183.</w:t>
      </w:r>
    </w:p>
  </w:footnote>
  <w:footnote w:id="18">
    <w:p w14:paraId="4D52D906" w14:textId="34849767" w:rsidR="00990021" w:rsidRDefault="00990021">
      <w:pPr>
        <w:pStyle w:val="FootnoteText"/>
      </w:pPr>
      <w:r>
        <w:rPr>
          <w:rStyle w:val="FootnoteReference"/>
        </w:rPr>
        <w:footnoteRef/>
      </w:r>
      <w:r>
        <w:t xml:space="preserve"> M.C. Gillet-Challiol, </w:t>
      </w:r>
      <w:r w:rsidRPr="0037711E">
        <w:rPr>
          <w:i/>
          <w:iCs/>
        </w:rPr>
        <w:t xml:space="preserve">Czy istnieje sumienie </w:t>
      </w:r>
      <w:proofErr w:type="gramStart"/>
      <w:r w:rsidRPr="0037711E">
        <w:rPr>
          <w:i/>
          <w:iCs/>
        </w:rPr>
        <w:t>chrześcijańskie?</w:t>
      </w:r>
      <w:r>
        <w:t>,</w:t>
      </w:r>
      <w:proofErr w:type="gramEnd"/>
      <w:r>
        <w:t xml:space="preserve"> w: </w:t>
      </w:r>
      <w:r w:rsidRPr="001D4258">
        <w:rPr>
          <w:i/>
          <w:iCs/>
        </w:rPr>
        <w:t>Communio</w:t>
      </w:r>
      <w:r>
        <w:t xml:space="preserve"> 14(1994)5, s. 40-46.</w:t>
      </w:r>
    </w:p>
  </w:footnote>
  <w:footnote w:id="19">
    <w:p w14:paraId="5A0D064D" w14:textId="0CE6EC77" w:rsidR="00CF0CED" w:rsidRPr="00107FA7" w:rsidRDefault="00CF0CED">
      <w:pPr>
        <w:pStyle w:val="FootnoteText"/>
        <w:rPr>
          <w:lang w:val="en-GB"/>
        </w:rPr>
      </w:pPr>
      <w:r>
        <w:rPr>
          <w:rStyle w:val="FootnoteReference"/>
        </w:rPr>
        <w:footnoteRef/>
      </w:r>
      <w:r w:rsidRPr="00107FA7">
        <w:rPr>
          <w:lang w:val="en-GB"/>
        </w:rPr>
        <w:t xml:space="preserve"> Tamże.</w:t>
      </w:r>
    </w:p>
  </w:footnote>
  <w:footnote w:id="20">
    <w:p w14:paraId="3025BB8C" w14:textId="2AFDA1A4" w:rsidR="00CF0CED" w:rsidRPr="00107FA7" w:rsidRDefault="00CF0CED" w:rsidP="00CF0CED">
      <w:pPr>
        <w:pStyle w:val="FootnoteText"/>
        <w:rPr>
          <w:lang w:val="en-GB"/>
        </w:rPr>
      </w:pPr>
      <w:r>
        <w:rPr>
          <w:rStyle w:val="FootnoteReference"/>
        </w:rPr>
        <w:footnoteRef/>
      </w:r>
      <w:r w:rsidRPr="00107FA7">
        <w:rPr>
          <w:lang w:val="en-GB"/>
        </w:rPr>
        <w:t xml:space="preserve"> Por. II Sobór Watykański,  </w:t>
      </w:r>
      <w:r w:rsidRPr="00107FA7">
        <w:rPr>
          <w:i/>
          <w:iCs/>
          <w:lang w:val="en-GB"/>
        </w:rPr>
        <w:t>Dignitatis humanae</w:t>
      </w:r>
      <w:r w:rsidRPr="00107FA7">
        <w:rPr>
          <w:lang w:val="en-GB"/>
        </w:rPr>
        <w:t xml:space="preserve">, 1. </w:t>
      </w:r>
    </w:p>
  </w:footnote>
  <w:footnote w:id="21">
    <w:p w14:paraId="54227E66" w14:textId="5B8BF871" w:rsidR="00990021" w:rsidRPr="00107FA7" w:rsidRDefault="00990021">
      <w:pPr>
        <w:pStyle w:val="FootnoteText"/>
        <w:rPr>
          <w:lang w:val="en-GB"/>
        </w:rPr>
      </w:pPr>
      <w:r>
        <w:rPr>
          <w:rStyle w:val="FootnoteReference"/>
        </w:rPr>
        <w:footnoteRef/>
      </w:r>
      <w:r w:rsidRPr="00107FA7">
        <w:rPr>
          <w:lang w:val="en-GB"/>
        </w:rPr>
        <w:t xml:space="preserve"> S. Pinckaers, </w:t>
      </w:r>
      <w:r w:rsidRPr="00107FA7">
        <w:rPr>
          <w:i/>
          <w:iCs/>
          <w:lang w:val="en-GB"/>
        </w:rPr>
        <w:t>Sumienia a błąd</w:t>
      </w:r>
      <w:r w:rsidRPr="00107FA7">
        <w:rPr>
          <w:lang w:val="en-GB"/>
        </w:rPr>
        <w:t xml:space="preserve">, w: </w:t>
      </w:r>
      <w:r w:rsidRPr="00107FA7">
        <w:rPr>
          <w:i/>
          <w:iCs/>
          <w:lang w:val="en-GB"/>
        </w:rPr>
        <w:t>Communio</w:t>
      </w:r>
      <w:r w:rsidRPr="00107FA7">
        <w:rPr>
          <w:lang w:val="en-GB"/>
        </w:rPr>
        <w:t xml:space="preserve"> 14(1994)5, s. 60-72.</w:t>
      </w:r>
    </w:p>
  </w:footnote>
  <w:footnote w:id="22">
    <w:p w14:paraId="13AC5FFE" w14:textId="0A880362" w:rsidR="00D02C6F" w:rsidRPr="00D02C6F" w:rsidRDefault="00D02C6F" w:rsidP="00D02C6F">
      <w:pPr>
        <w:pStyle w:val="FootnoteText"/>
        <w:rPr>
          <w:lang w:val="en-US"/>
        </w:rPr>
      </w:pPr>
      <w:r>
        <w:rPr>
          <w:rStyle w:val="FootnoteReference"/>
        </w:rPr>
        <w:footnoteRef/>
      </w:r>
      <w:r w:rsidRPr="00990021">
        <w:rPr>
          <w:lang w:val="en-US"/>
        </w:rPr>
        <w:t xml:space="preserve"> K.H. Peschke, </w:t>
      </w:r>
      <w:r w:rsidRPr="00990021">
        <w:rPr>
          <w:i/>
          <w:iCs/>
          <w:lang w:val="en-US"/>
        </w:rPr>
        <w:t xml:space="preserve">Christian Ethics. </w:t>
      </w:r>
      <w:r w:rsidRPr="00D02C6F">
        <w:rPr>
          <w:i/>
          <w:iCs/>
          <w:lang w:val="en-US"/>
        </w:rPr>
        <w:t xml:space="preserve">Moral </w:t>
      </w:r>
      <w:r>
        <w:rPr>
          <w:i/>
          <w:iCs/>
          <w:lang w:val="en-US"/>
        </w:rPr>
        <w:t>T</w:t>
      </w:r>
      <w:r w:rsidRPr="00D02C6F">
        <w:rPr>
          <w:i/>
          <w:iCs/>
          <w:lang w:val="en-US"/>
        </w:rPr>
        <w:t>heology in the Light of Vatican II</w:t>
      </w:r>
      <w:r w:rsidRPr="00D02C6F">
        <w:rPr>
          <w:lang w:val="en-US"/>
        </w:rPr>
        <w:t xml:space="preserve">, t. I: </w:t>
      </w:r>
      <w:r w:rsidRPr="00D02C6F">
        <w:rPr>
          <w:i/>
          <w:iCs/>
          <w:lang w:val="en-US"/>
        </w:rPr>
        <w:t>General Moral Theology</w:t>
      </w:r>
      <w:r w:rsidRPr="00D02C6F">
        <w:rPr>
          <w:lang w:val="en-US"/>
        </w:rPr>
        <w:t>, Alcester</w:t>
      </w:r>
      <w:r>
        <w:rPr>
          <w:lang w:val="en-US"/>
        </w:rPr>
        <w:t xml:space="preserve"> </w:t>
      </w:r>
      <w:r w:rsidRPr="00D02C6F">
        <w:rPr>
          <w:lang w:val="en-US"/>
        </w:rPr>
        <w:t>1989, s. 243</w:t>
      </w:r>
      <w:r>
        <w:rPr>
          <w:lang w:val="en-US"/>
        </w:rPr>
        <w:t>.</w:t>
      </w:r>
    </w:p>
  </w:footnote>
  <w:footnote w:id="23">
    <w:p w14:paraId="1C0A7EE1" w14:textId="673A3229" w:rsidR="00D02C6F" w:rsidRPr="00D02C6F" w:rsidRDefault="00D02C6F" w:rsidP="00641641">
      <w:pPr>
        <w:pStyle w:val="FootnoteText"/>
        <w:jc w:val="both"/>
        <w:rPr>
          <w:lang w:val="en-US"/>
        </w:rPr>
      </w:pPr>
      <w:r>
        <w:rPr>
          <w:rStyle w:val="FootnoteReference"/>
        </w:rPr>
        <w:footnoteRef/>
      </w:r>
      <w:r w:rsidRPr="00D02C6F">
        <w:rPr>
          <w:lang w:val="en-US"/>
        </w:rPr>
        <w:t xml:space="preserve"> Leon XIII, Encyklika </w:t>
      </w:r>
      <w:r w:rsidRPr="00D02C6F">
        <w:rPr>
          <w:i/>
          <w:iCs/>
          <w:lang w:val="en-US"/>
        </w:rPr>
        <w:t>Libertas praestantissimum,</w:t>
      </w:r>
      <w:r w:rsidRPr="00D02C6F">
        <w:rPr>
          <w:lang w:val="en-US"/>
        </w:rPr>
        <w:t xml:space="preserve"> Watykan 1888, </w:t>
      </w:r>
      <w:proofErr w:type="gramStart"/>
      <w:r w:rsidRPr="00D02C6F">
        <w:rPr>
          <w:lang w:val="en-US"/>
        </w:rPr>
        <w:t>30 :</w:t>
      </w:r>
      <w:proofErr w:type="gramEnd"/>
      <w:r w:rsidRPr="00D02C6F">
        <w:rPr>
          <w:lang w:val="en-US"/>
        </w:rPr>
        <w:t xml:space="preserve"> </w:t>
      </w:r>
      <w:proofErr w:type="gramStart"/>
      <w:r>
        <w:rPr>
          <w:lang w:val="en-US"/>
        </w:rPr>
        <w:t>“</w:t>
      </w:r>
      <w:r w:rsidRPr="00D02C6F">
        <w:rPr>
          <w:lang w:val="en-US"/>
        </w:rPr>
        <w:t> </w:t>
      </w:r>
      <w:r w:rsidRPr="00D02C6F">
        <w:rPr>
          <w:rFonts w:cs="Times New Roman"/>
          <w:color w:val="000000"/>
          <w:shd w:val="clear" w:color="auto" w:fill="FFFFFF"/>
          <w:lang w:val="en-US"/>
        </w:rPr>
        <w:t>Illa</w:t>
      </w:r>
      <w:proofErr w:type="gramEnd"/>
      <w:r w:rsidRPr="00D02C6F">
        <w:rPr>
          <w:rFonts w:cs="Times New Roman"/>
          <w:color w:val="000000"/>
          <w:shd w:val="clear" w:color="auto" w:fill="FFFFFF"/>
          <w:lang w:val="en-US"/>
        </w:rPr>
        <w:t xml:space="preserve"> quoque magnopere praedicatur, quam </w:t>
      </w:r>
      <w:r w:rsidRPr="00D02C6F">
        <w:rPr>
          <w:rFonts w:cs="Times New Roman"/>
          <w:i/>
          <w:iCs/>
          <w:color w:val="000000"/>
          <w:shd w:val="clear" w:color="auto" w:fill="FFFFFF"/>
          <w:lang w:val="en-US"/>
        </w:rPr>
        <w:t>conscientiae libertatem</w:t>
      </w:r>
      <w:r w:rsidRPr="00D02C6F">
        <w:rPr>
          <w:rFonts w:cs="Times New Roman"/>
          <w:color w:val="000000"/>
          <w:shd w:val="clear" w:color="auto" w:fill="FFFFFF"/>
          <w:lang w:val="en-US"/>
        </w:rPr>
        <w:t xml:space="preserve"> nominant: quae si ita accipiatur, ut suo cuique arbitratu aeque liceat Deum colere, non colere, argumentis quae supra allata sunt, satis convincitur. — Sed potest etiam in hanc sententiam accipi, ut homini ex conscientia officii, Dei voluntatem sequi et iussa facere, nulla re impediente, in civitate liceat. Haec quidem vera, haec digna filiis Dei libertas, quae humanae dignitatem personae honestissime tuetur, est omni vi iniuriaque maior: eademque Ecclesiae semper optata ac praecipue cara. Huius generis libertatem sibi constanter vindicavere Apostoli, sanxere scriptis Apologetae, Martyres ingenti numero sanguine suo consecravere. Et merito quidem: propterea quod maximam iustissimamque Dei in homines potestatem, vicissimque hominum adversus Deum princeps maximumque officium, libertas haec christiana testatur. Nihil habet ipsa cum animo seditioso nec obediente commune: neque ullo pacto putanda est, velle ab obsequio publicae potestatis desciscere, propterea quod imperare atque imperata exigere, eatenus potestati humanae ius est, quatenus cum potestate Dei nihil dissentiat, constitutoque divinitus modo se contineat. At vero cura quidquam praecipitur quod cum divina voluntate aperte discrepet, tum longe ab illo modo disceditur, simulque cum auctoritate divina </w:t>
      </w:r>
      <w:proofErr w:type="gramStart"/>
      <w:r w:rsidRPr="00D02C6F">
        <w:rPr>
          <w:rFonts w:cs="Times New Roman"/>
          <w:color w:val="000000"/>
          <w:shd w:val="clear" w:color="auto" w:fill="FFFFFF"/>
          <w:lang w:val="en-US"/>
        </w:rPr>
        <w:t>confugitur :</w:t>
      </w:r>
      <w:proofErr w:type="gramEnd"/>
      <w:r w:rsidRPr="00D02C6F">
        <w:rPr>
          <w:rFonts w:cs="Times New Roman"/>
          <w:color w:val="000000"/>
          <w:shd w:val="clear" w:color="auto" w:fill="FFFFFF"/>
          <w:lang w:val="en-US"/>
        </w:rPr>
        <w:t xml:space="preserve"> ergo rectum est non parere”.</w:t>
      </w:r>
    </w:p>
  </w:footnote>
  <w:footnote w:id="24">
    <w:p w14:paraId="66DF340F" w14:textId="663EE2CA" w:rsidR="00641641" w:rsidRPr="00641641" w:rsidRDefault="00641641">
      <w:pPr>
        <w:pStyle w:val="FootnoteText"/>
      </w:pPr>
      <w:r>
        <w:rPr>
          <w:rStyle w:val="FootnoteReference"/>
        </w:rPr>
        <w:footnoteRef/>
      </w:r>
      <w:r>
        <w:t xml:space="preserve"> J. Plich, </w:t>
      </w:r>
      <w:r w:rsidRPr="00CF0CED">
        <w:rPr>
          <w:i/>
          <w:iCs/>
        </w:rPr>
        <w:t>S</w:t>
      </w:r>
      <w:r>
        <w:rPr>
          <w:i/>
          <w:iCs/>
        </w:rPr>
        <w:t>umienie a autorytet…</w:t>
      </w:r>
      <w:r>
        <w:t>, s. 189-190.</w:t>
      </w:r>
    </w:p>
  </w:footnote>
  <w:footnote w:id="25">
    <w:p w14:paraId="17987DDA" w14:textId="2568E14E" w:rsidR="001D4258" w:rsidRDefault="001D4258" w:rsidP="001D4258">
      <w:pPr>
        <w:pStyle w:val="FootnoteText"/>
        <w:jc w:val="both"/>
      </w:pPr>
      <w:r>
        <w:rPr>
          <w:rStyle w:val="FootnoteReference"/>
        </w:rPr>
        <w:footnoteRef/>
      </w:r>
      <w:r>
        <w:t xml:space="preserve"> I.P. Leandro, </w:t>
      </w:r>
      <w:r w:rsidRPr="001D4258">
        <w:rPr>
          <w:i/>
          <w:iCs/>
        </w:rPr>
        <w:t>Osobiste sumienie jako kryterium działania chrześcijańskiego</w:t>
      </w:r>
      <w:r>
        <w:t xml:space="preserve">, w: </w:t>
      </w:r>
      <w:r w:rsidRPr="001D4258">
        <w:rPr>
          <w:i/>
          <w:iCs/>
        </w:rPr>
        <w:t>Communio</w:t>
      </w:r>
      <w:r>
        <w:t xml:space="preserve"> 14(1994)5, s. 19-30.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93A3E"/>
    <w:multiLevelType w:val="hybridMultilevel"/>
    <w:tmpl w:val="8DE4C768"/>
    <w:lvl w:ilvl="0" w:tplc="554E22B8">
      <w:start w:val="1"/>
      <w:numFmt w:val="decimal"/>
      <w:lvlText w:val="%1."/>
      <w:lvlJc w:val="left"/>
      <w:pPr>
        <w:ind w:left="1068" w:hanging="360"/>
      </w:pPr>
      <w:rPr>
        <w:rFonts w:hint="default"/>
        <w:i w:val="0"/>
        <w:i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73AE1D21"/>
    <w:multiLevelType w:val="multilevel"/>
    <w:tmpl w:val="6CB6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61BD3"/>
    <w:multiLevelType w:val="hybridMultilevel"/>
    <w:tmpl w:val="ECB8EBC2"/>
    <w:lvl w:ilvl="0" w:tplc="24369844">
      <w:start w:val="1"/>
      <w:numFmt w:val="decimal"/>
      <w:lvlText w:val="%1."/>
      <w:lvlJc w:val="left"/>
      <w:pPr>
        <w:ind w:left="1068" w:hanging="360"/>
      </w:pPr>
      <w:rPr>
        <w:rFonts w:hint="default"/>
        <w:i w:val="0"/>
        <w:i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441849084">
    <w:abstractNumId w:val="0"/>
  </w:num>
  <w:num w:numId="2" w16cid:durableId="167334457">
    <w:abstractNumId w:val="1"/>
  </w:num>
  <w:num w:numId="3" w16cid:durableId="2005164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D35"/>
    <w:rsid w:val="00001308"/>
    <w:rsid w:val="0000314C"/>
    <w:rsid w:val="000052E7"/>
    <w:rsid w:val="00007B5E"/>
    <w:rsid w:val="0003716E"/>
    <w:rsid w:val="00107FA7"/>
    <w:rsid w:val="00126363"/>
    <w:rsid w:val="001C3FF9"/>
    <w:rsid w:val="001D4258"/>
    <w:rsid w:val="00243D35"/>
    <w:rsid w:val="00275F0A"/>
    <w:rsid w:val="002B3548"/>
    <w:rsid w:val="002D7E9F"/>
    <w:rsid w:val="00373F37"/>
    <w:rsid w:val="0037711E"/>
    <w:rsid w:val="003A5735"/>
    <w:rsid w:val="003A5F1C"/>
    <w:rsid w:val="00593020"/>
    <w:rsid w:val="005F7112"/>
    <w:rsid w:val="005F73AB"/>
    <w:rsid w:val="00604964"/>
    <w:rsid w:val="00641641"/>
    <w:rsid w:val="00687063"/>
    <w:rsid w:val="0071556C"/>
    <w:rsid w:val="00775C10"/>
    <w:rsid w:val="00781C1B"/>
    <w:rsid w:val="007E11DD"/>
    <w:rsid w:val="007E4A3C"/>
    <w:rsid w:val="00813F31"/>
    <w:rsid w:val="00990021"/>
    <w:rsid w:val="009A20EB"/>
    <w:rsid w:val="00AB1730"/>
    <w:rsid w:val="00B26F6E"/>
    <w:rsid w:val="00B6031B"/>
    <w:rsid w:val="00B631DC"/>
    <w:rsid w:val="00C41DB7"/>
    <w:rsid w:val="00C96D64"/>
    <w:rsid w:val="00CC69C4"/>
    <w:rsid w:val="00CF0CED"/>
    <w:rsid w:val="00D02C6F"/>
    <w:rsid w:val="00D65E5F"/>
    <w:rsid w:val="00F11B1A"/>
    <w:rsid w:val="00FC2C24"/>
    <w:rsid w:val="00FF2872"/>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23D3"/>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D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3D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D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D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3D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43D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3D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3D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3D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D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D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D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D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43D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43D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3D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3D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3D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3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D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D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3D35"/>
    <w:pPr>
      <w:spacing w:before="160"/>
      <w:jc w:val="center"/>
    </w:pPr>
    <w:rPr>
      <w:i/>
      <w:iCs/>
      <w:color w:val="404040" w:themeColor="text1" w:themeTint="BF"/>
    </w:rPr>
  </w:style>
  <w:style w:type="character" w:customStyle="1" w:styleId="QuoteChar">
    <w:name w:val="Quote Char"/>
    <w:basedOn w:val="DefaultParagraphFont"/>
    <w:link w:val="Quote"/>
    <w:uiPriority w:val="29"/>
    <w:rsid w:val="00243D35"/>
    <w:rPr>
      <w:i/>
      <w:iCs/>
      <w:color w:val="404040" w:themeColor="text1" w:themeTint="BF"/>
    </w:rPr>
  </w:style>
  <w:style w:type="paragraph" w:styleId="ListParagraph">
    <w:name w:val="List Paragraph"/>
    <w:basedOn w:val="Normal"/>
    <w:uiPriority w:val="34"/>
    <w:qFormat/>
    <w:rsid w:val="00243D35"/>
    <w:pPr>
      <w:ind w:left="720"/>
      <w:contextualSpacing/>
    </w:pPr>
  </w:style>
  <w:style w:type="character" w:styleId="IntenseEmphasis">
    <w:name w:val="Intense Emphasis"/>
    <w:basedOn w:val="DefaultParagraphFont"/>
    <w:uiPriority w:val="21"/>
    <w:qFormat/>
    <w:rsid w:val="00243D35"/>
    <w:rPr>
      <w:i/>
      <w:iCs/>
      <w:color w:val="2F5496" w:themeColor="accent1" w:themeShade="BF"/>
    </w:rPr>
  </w:style>
  <w:style w:type="paragraph" w:styleId="IntenseQuote">
    <w:name w:val="Intense Quote"/>
    <w:basedOn w:val="Normal"/>
    <w:next w:val="Normal"/>
    <w:link w:val="IntenseQuoteChar"/>
    <w:uiPriority w:val="30"/>
    <w:qFormat/>
    <w:rsid w:val="00243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D35"/>
    <w:rPr>
      <w:i/>
      <w:iCs/>
      <w:color w:val="2F5496" w:themeColor="accent1" w:themeShade="BF"/>
    </w:rPr>
  </w:style>
  <w:style w:type="character" w:styleId="IntenseReference">
    <w:name w:val="Intense Reference"/>
    <w:basedOn w:val="DefaultParagraphFont"/>
    <w:uiPriority w:val="32"/>
    <w:qFormat/>
    <w:rsid w:val="00243D35"/>
    <w:rPr>
      <w:b/>
      <w:bCs/>
      <w:smallCaps/>
      <w:color w:val="2F5496" w:themeColor="accent1" w:themeShade="BF"/>
      <w:spacing w:val="5"/>
    </w:rPr>
  </w:style>
  <w:style w:type="character" w:styleId="Hyperlink">
    <w:name w:val="Hyperlink"/>
    <w:basedOn w:val="DefaultParagraphFont"/>
    <w:uiPriority w:val="99"/>
    <w:unhideWhenUsed/>
    <w:rsid w:val="003A5735"/>
    <w:rPr>
      <w:color w:val="0563C1" w:themeColor="hyperlink"/>
      <w:u w:val="single"/>
    </w:rPr>
  </w:style>
  <w:style w:type="character" w:customStyle="1" w:styleId="UnresolvedMention1">
    <w:name w:val="Unresolved Mention1"/>
    <w:basedOn w:val="DefaultParagraphFont"/>
    <w:uiPriority w:val="99"/>
    <w:semiHidden/>
    <w:unhideWhenUsed/>
    <w:rsid w:val="003A5735"/>
    <w:rPr>
      <w:color w:val="605E5C"/>
      <w:shd w:val="clear" w:color="auto" w:fill="E1DFDD"/>
    </w:rPr>
  </w:style>
  <w:style w:type="paragraph" w:styleId="NoSpacing">
    <w:name w:val="No Spacing"/>
    <w:uiPriority w:val="1"/>
    <w:qFormat/>
    <w:rsid w:val="003A5735"/>
    <w:pPr>
      <w:spacing w:after="0" w:line="240" w:lineRule="auto"/>
    </w:pPr>
  </w:style>
  <w:style w:type="paragraph" w:styleId="FootnoteText">
    <w:name w:val="footnote text"/>
    <w:basedOn w:val="Normal"/>
    <w:link w:val="FootnoteTextChar"/>
    <w:uiPriority w:val="99"/>
    <w:semiHidden/>
    <w:unhideWhenUsed/>
    <w:rsid w:val="006870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063"/>
    <w:rPr>
      <w:sz w:val="20"/>
      <w:szCs w:val="20"/>
    </w:rPr>
  </w:style>
  <w:style w:type="character" w:styleId="FootnoteReference">
    <w:name w:val="footnote reference"/>
    <w:basedOn w:val="DefaultParagraphFont"/>
    <w:uiPriority w:val="99"/>
    <w:semiHidden/>
    <w:unhideWhenUsed/>
    <w:rsid w:val="00687063"/>
    <w:rPr>
      <w:vertAlign w:val="superscript"/>
    </w:rPr>
  </w:style>
  <w:style w:type="character" w:customStyle="1" w:styleId="vkekvd">
    <w:name w:val="vkekvd"/>
    <w:basedOn w:val="DefaultParagraphFont"/>
    <w:rsid w:val="00D65E5F"/>
  </w:style>
  <w:style w:type="character" w:customStyle="1" w:styleId="ifmvxd">
    <w:name w:val="ifmvxd"/>
    <w:basedOn w:val="DefaultParagraphFont"/>
    <w:rsid w:val="00D65E5F"/>
  </w:style>
  <w:style w:type="character" w:customStyle="1" w:styleId="ijm6od">
    <w:name w:val="ijm6od"/>
    <w:basedOn w:val="DefaultParagraphFont"/>
    <w:rsid w:val="00D65E5F"/>
  </w:style>
  <w:style w:type="character" w:customStyle="1" w:styleId="t286pc">
    <w:name w:val="t286pc"/>
    <w:basedOn w:val="DefaultParagraphFont"/>
    <w:rsid w:val="00D65E5F"/>
  </w:style>
  <w:style w:type="character" w:styleId="Strong">
    <w:name w:val="Strong"/>
    <w:basedOn w:val="DefaultParagraphFont"/>
    <w:uiPriority w:val="22"/>
    <w:qFormat/>
    <w:rsid w:val="00D65E5F"/>
    <w:rPr>
      <w:b/>
      <w:bCs/>
    </w:rPr>
  </w:style>
  <w:style w:type="character" w:customStyle="1" w:styleId="ipa">
    <w:name w:val="ipa"/>
    <w:basedOn w:val="DefaultParagraphFont"/>
    <w:rsid w:val="007E4A3C"/>
  </w:style>
  <w:style w:type="character" w:customStyle="1" w:styleId="ext-phonos">
    <w:name w:val="ext-phonos"/>
    <w:basedOn w:val="DefaultParagraphFont"/>
    <w:rsid w:val="007E4A3C"/>
  </w:style>
  <w:style w:type="character" w:customStyle="1" w:styleId="ext-phonos-phonosbutton">
    <w:name w:val="ext-phonos-phonosbutton"/>
    <w:basedOn w:val="DefaultParagraphFont"/>
    <w:rsid w:val="007E4A3C"/>
  </w:style>
  <w:style w:type="character" w:customStyle="1" w:styleId="oo-ui-labelelement-label">
    <w:name w:val="oo-ui-labelelement-label"/>
    <w:basedOn w:val="DefaultParagraphFont"/>
    <w:rsid w:val="007E4A3C"/>
  </w:style>
  <w:style w:type="character" w:styleId="Emphasis">
    <w:name w:val="Emphasis"/>
    <w:basedOn w:val="DefaultParagraphFont"/>
    <w:uiPriority w:val="20"/>
    <w:qFormat/>
    <w:rsid w:val="00CF0C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33583">
      <w:bodyDiv w:val="1"/>
      <w:marLeft w:val="0"/>
      <w:marRight w:val="0"/>
      <w:marTop w:val="0"/>
      <w:marBottom w:val="0"/>
      <w:divBdr>
        <w:top w:val="none" w:sz="0" w:space="0" w:color="auto"/>
        <w:left w:val="none" w:sz="0" w:space="0" w:color="auto"/>
        <w:bottom w:val="none" w:sz="0" w:space="0" w:color="auto"/>
        <w:right w:val="none" w:sz="0" w:space="0" w:color="auto"/>
      </w:divBdr>
      <w:divsChild>
        <w:div w:id="1121412387">
          <w:marLeft w:val="0"/>
          <w:marRight w:val="0"/>
          <w:marTop w:val="0"/>
          <w:marBottom w:val="0"/>
          <w:divBdr>
            <w:top w:val="none" w:sz="0" w:space="0" w:color="auto"/>
            <w:left w:val="none" w:sz="0" w:space="0" w:color="auto"/>
            <w:bottom w:val="none" w:sz="0" w:space="0" w:color="auto"/>
            <w:right w:val="none" w:sz="0" w:space="0" w:color="auto"/>
          </w:divBdr>
          <w:divsChild>
            <w:div w:id="1070620617">
              <w:marLeft w:val="0"/>
              <w:marRight w:val="0"/>
              <w:marTop w:val="0"/>
              <w:marBottom w:val="0"/>
              <w:divBdr>
                <w:top w:val="none" w:sz="0" w:space="0" w:color="auto"/>
                <w:left w:val="none" w:sz="0" w:space="0" w:color="auto"/>
                <w:bottom w:val="none" w:sz="0" w:space="0" w:color="auto"/>
                <w:right w:val="none" w:sz="0" w:space="0" w:color="auto"/>
              </w:divBdr>
            </w:div>
          </w:divsChild>
        </w:div>
        <w:div w:id="656107523">
          <w:marLeft w:val="0"/>
          <w:marRight w:val="0"/>
          <w:marTop w:val="0"/>
          <w:marBottom w:val="0"/>
          <w:divBdr>
            <w:top w:val="none" w:sz="0" w:space="0" w:color="auto"/>
            <w:left w:val="none" w:sz="0" w:space="0" w:color="auto"/>
            <w:bottom w:val="none" w:sz="0" w:space="0" w:color="auto"/>
            <w:right w:val="none" w:sz="0" w:space="0" w:color="auto"/>
          </w:divBdr>
        </w:div>
        <w:div w:id="1454133296">
          <w:marLeft w:val="0"/>
          <w:marRight w:val="0"/>
          <w:marTop w:val="0"/>
          <w:marBottom w:val="0"/>
          <w:divBdr>
            <w:top w:val="none" w:sz="0" w:space="0" w:color="auto"/>
            <w:left w:val="none" w:sz="0" w:space="0" w:color="auto"/>
            <w:bottom w:val="none" w:sz="0" w:space="0" w:color="auto"/>
            <w:right w:val="none" w:sz="0" w:space="0" w:color="auto"/>
          </w:divBdr>
        </w:div>
        <w:div w:id="1846704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llotti@poczta.one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4110</Words>
  <Characters>23428</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Lipniak</dc:creator>
  <cp:lastModifiedBy>Bożena Futoma-Kołoch</cp:lastModifiedBy>
  <cp:revision>3</cp:revision>
  <dcterms:created xsi:type="dcterms:W3CDTF">2026-03-18T07:29:00Z</dcterms:created>
  <dcterms:modified xsi:type="dcterms:W3CDTF">2026-07-07T10:10:00Z</dcterms:modified>
</cp:coreProperties>
</file>