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4EC1" w14:textId="05D65D2E" w:rsidR="00B26F1F" w:rsidRPr="00B26F1F" w:rsidRDefault="00B26F1F" w:rsidP="00B26F1F">
      <w:pPr>
        <w:pStyle w:val="NoSpacing"/>
        <w:rPr>
          <w:lang w:val="en-US"/>
        </w:rPr>
      </w:pPr>
      <w:r w:rsidRPr="00B26F1F">
        <w:rPr>
          <w:u w:val="single"/>
          <w:lang w:val="en-US"/>
        </w:rPr>
        <w:t>KS. JAROSŁAW M. LIPNIAK</w:t>
      </w:r>
      <w:r w:rsidRPr="00B26F1F">
        <w:rPr>
          <w:u w:val="single"/>
          <w:lang w:val="en-US"/>
        </w:rPr>
        <w:br/>
      </w:r>
      <w:r w:rsidRPr="00B26F1F">
        <w:rPr>
          <w:lang w:val="en-US"/>
        </w:rPr>
        <w:t xml:space="preserve">Pontifical Faculty of Theology in Wroclaw, Poland </w:t>
      </w:r>
      <w:r w:rsidRPr="00B26F1F">
        <w:rPr>
          <w:lang w:val="en-US"/>
        </w:rPr>
        <w:br/>
        <w:t xml:space="preserve">e-mail: </w:t>
      </w:r>
      <w:hyperlink r:id="rId7" w:history="1">
        <w:r w:rsidRPr="00B26F1F">
          <w:rPr>
            <w:rStyle w:val="Hyperlink"/>
            <w:color w:val="auto"/>
            <w:lang w:val="en-US"/>
          </w:rPr>
          <w:t>pallotti@poczta.onet.pl</w:t>
        </w:r>
      </w:hyperlink>
      <w:r w:rsidRPr="00B26F1F">
        <w:rPr>
          <w:lang w:val="en-US"/>
        </w:rPr>
        <w:br/>
        <w:t>ORCID: 0000-0002-3809-1142</w:t>
      </w:r>
      <w:r w:rsidRPr="00B26F1F">
        <w:rPr>
          <w:lang w:val="en-US"/>
        </w:rPr>
        <w:br/>
        <w:t>DOI:</w:t>
      </w:r>
      <w:r w:rsidR="00F17BA8">
        <w:rPr>
          <w:lang w:val="en-US"/>
        </w:rPr>
        <w:t xml:space="preserve"> </w:t>
      </w:r>
      <w:r w:rsidR="00F17BA8" w:rsidRPr="00F17BA8">
        <w:rPr>
          <w:lang w:val="en-US"/>
        </w:rPr>
        <w:t>10.48224/COM-229-2025-7</w:t>
      </w:r>
    </w:p>
    <w:p w14:paraId="2D764457" w14:textId="77777777" w:rsidR="00B26F1F" w:rsidRPr="00B26F1F" w:rsidRDefault="00B26F1F" w:rsidP="00B26F1F">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26128E" w:rsidRPr="00B26F1F" w14:paraId="07865644" w14:textId="77777777">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2D288BC2" w14:textId="77777777" w:rsidR="00B26F1F" w:rsidRPr="00B26F1F" w:rsidRDefault="00B26F1F" w:rsidP="00B26F1F">
            <w:pPr>
              <w:pStyle w:val="NoSpacing"/>
              <w:jc w:val="center"/>
              <w:rPr>
                <w:sz w:val="20"/>
                <w:szCs w:val="20"/>
              </w:rPr>
            </w:pPr>
            <w:r w:rsidRPr="00B26F1F">
              <w:rPr>
                <w:sz w:val="20"/>
                <w:szCs w:val="20"/>
                <w:lang w:val="en-US"/>
              </w:rPr>
              <w:br/>
            </w:r>
            <w:r w:rsidRPr="00B26F1F">
              <w:rPr>
                <w:sz w:val="20"/>
                <w:szCs w:val="20"/>
              </w:rPr>
              <w:t>Communio 45(2025)1, s. 2-2</w:t>
            </w:r>
          </w:p>
        </w:tc>
      </w:tr>
    </w:tbl>
    <w:p w14:paraId="47A81870" w14:textId="77777777" w:rsidR="00B26F1F" w:rsidRPr="00B26F1F" w:rsidRDefault="00B26F1F" w:rsidP="00B26F1F">
      <w:pPr>
        <w:pStyle w:val="NoSpacing"/>
        <w:jc w:val="both"/>
        <w:rPr>
          <w:b/>
        </w:rPr>
      </w:pPr>
    </w:p>
    <w:p w14:paraId="211A3DB6" w14:textId="77777777" w:rsidR="00B26F1F" w:rsidRPr="0026128E" w:rsidRDefault="00B26F1F" w:rsidP="00B26F1F">
      <w:pPr>
        <w:pStyle w:val="NoSpacing"/>
        <w:jc w:val="both"/>
      </w:pPr>
    </w:p>
    <w:p w14:paraId="1EA86BD3" w14:textId="5FECF906" w:rsidR="004A1CF6" w:rsidRPr="0026128E" w:rsidRDefault="004A1CF6" w:rsidP="00B26F1F">
      <w:pPr>
        <w:pStyle w:val="NoSpacing"/>
        <w:jc w:val="center"/>
        <w:rPr>
          <w:b/>
          <w:bCs/>
          <w:sz w:val="28"/>
          <w:szCs w:val="28"/>
        </w:rPr>
      </w:pPr>
      <w:r w:rsidRPr="0026128E">
        <w:rPr>
          <w:b/>
          <w:bCs/>
          <w:sz w:val="28"/>
          <w:szCs w:val="28"/>
        </w:rPr>
        <w:t>Bierzmowanie – sakrament poszukujący swojej teologii</w:t>
      </w:r>
    </w:p>
    <w:p w14:paraId="720307F5" w14:textId="77777777" w:rsidR="0026128E" w:rsidRPr="0026128E" w:rsidRDefault="0026128E" w:rsidP="00B26F1F">
      <w:pPr>
        <w:pStyle w:val="NoSpacing"/>
        <w:jc w:val="center"/>
        <w:rPr>
          <w:b/>
          <w:bCs/>
          <w:sz w:val="28"/>
          <w:szCs w:val="28"/>
        </w:rPr>
      </w:pPr>
    </w:p>
    <w:p w14:paraId="47E9FBE4" w14:textId="35012F9E" w:rsidR="0026128E" w:rsidRPr="0026128E" w:rsidRDefault="0026128E" w:rsidP="0026128E">
      <w:pPr>
        <w:pStyle w:val="NoSpacing"/>
        <w:jc w:val="center"/>
        <w:rPr>
          <w:b/>
          <w:bCs/>
          <w:sz w:val="28"/>
          <w:szCs w:val="28"/>
          <w:lang w:val="en-GB"/>
        </w:rPr>
      </w:pPr>
      <w:r w:rsidRPr="0026128E">
        <w:rPr>
          <w:b/>
          <w:bCs/>
          <w:sz w:val="28"/>
          <w:szCs w:val="28"/>
          <w:lang w:val="en-GB"/>
        </w:rPr>
        <w:t>Confirmation – A Sacrament in Search of Its Theology</w:t>
      </w:r>
    </w:p>
    <w:p w14:paraId="76712C19" w14:textId="77777777" w:rsidR="0026128E" w:rsidRPr="0026128E" w:rsidRDefault="0026128E" w:rsidP="0026128E">
      <w:pPr>
        <w:pStyle w:val="NoSpacing"/>
        <w:ind w:firstLine="708"/>
        <w:jc w:val="both"/>
        <w:rPr>
          <w:lang w:val="en-GB"/>
        </w:rPr>
      </w:pPr>
    </w:p>
    <w:p w14:paraId="6EB5A5DA" w14:textId="30537053" w:rsidR="0026128E" w:rsidRPr="0026128E" w:rsidRDefault="0026128E" w:rsidP="0026128E">
      <w:pPr>
        <w:pStyle w:val="NoSpacing"/>
        <w:jc w:val="center"/>
        <w:rPr>
          <w:b/>
          <w:bCs/>
          <w:sz w:val="20"/>
          <w:szCs w:val="20"/>
          <w:lang w:val="en-GB"/>
        </w:rPr>
      </w:pPr>
      <w:r w:rsidRPr="0026128E">
        <w:rPr>
          <w:b/>
          <w:bCs/>
          <w:sz w:val="20"/>
          <w:szCs w:val="20"/>
          <w:lang w:val="en-GB"/>
        </w:rPr>
        <w:t>Abstract</w:t>
      </w:r>
    </w:p>
    <w:p w14:paraId="49A89641" w14:textId="77777777" w:rsidR="0026128E" w:rsidRPr="0026128E" w:rsidRDefault="0026128E" w:rsidP="0026128E">
      <w:pPr>
        <w:pStyle w:val="NoSpacing"/>
        <w:jc w:val="both"/>
        <w:rPr>
          <w:sz w:val="20"/>
          <w:szCs w:val="20"/>
          <w:lang w:val="en-GB"/>
        </w:rPr>
      </w:pPr>
      <w:r w:rsidRPr="0026128E">
        <w:rPr>
          <w:sz w:val="20"/>
          <w:szCs w:val="20"/>
          <w:lang w:val="en-GB"/>
        </w:rPr>
        <w:t>According to Reinhard Meßner, confirmation has been searching for its theology since its inception. This issue aims to contribute to this important discussion by gathering diverse perspectives. A challenge for contemporary theology remains the relationship between baptism and confirmation, as the gift of the Holy Spirit is deeply intertwined with baptism. This means that the grace flowing from baptism cannot simply be “transferred” to confirmation as something independent. Consequently, if the outpouring of the Holy Spirit occurred during baptism, we cannot just "repeat" the same ritual in the context of confirmation. This complex relationship between the sacraments requires us, both as a community and as individual believers, to reflect more deeply on how these sacraments coexist in our spiritual lives and what meaning they hold for us.</w:t>
      </w:r>
    </w:p>
    <w:p w14:paraId="63991168" w14:textId="77777777" w:rsidR="0026128E" w:rsidRPr="0026128E" w:rsidRDefault="0026128E" w:rsidP="0026128E">
      <w:pPr>
        <w:pStyle w:val="NoSpacing"/>
        <w:ind w:firstLine="708"/>
        <w:jc w:val="both"/>
        <w:rPr>
          <w:sz w:val="20"/>
          <w:szCs w:val="20"/>
          <w:lang w:val="en-GB"/>
        </w:rPr>
      </w:pPr>
    </w:p>
    <w:p w14:paraId="77A1B15D" w14:textId="3F930160" w:rsidR="004A1CF6" w:rsidRPr="0026128E" w:rsidRDefault="0026128E" w:rsidP="0026128E">
      <w:pPr>
        <w:pStyle w:val="NoSpacing"/>
        <w:jc w:val="both"/>
        <w:rPr>
          <w:sz w:val="20"/>
          <w:szCs w:val="20"/>
          <w:lang w:val="en-GB"/>
        </w:rPr>
      </w:pPr>
      <w:r w:rsidRPr="0026128E">
        <w:rPr>
          <w:b/>
          <w:bCs/>
          <w:sz w:val="20"/>
          <w:szCs w:val="20"/>
          <w:lang w:val="en-GB"/>
        </w:rPr>
        <w:t>Keywords:</w:t>
      </w:r>
      <w:r w:rsidRPr="0026128E">
        <w:rPr>
          <w:sz w:val="20"/>
          <w:szCs w:val="20"/>
          <w:lang w:val="en-GB"/>
        </w:rPr>
        <w:t xml:space="preserve"> Confirmation – theology – Holy Spirit – baptism – search</w:t>
      </w:r>
    </w:p>
    <w:p w14:paraId="325F9929" w14:textId="77777777" w:rsidR="0026128E" w:rsidRPr="00B04482" w:rsidRDefault="0026128E" w:rsidP="0026128E">
      <w:pPr>
        <w:pStyle w:val="NoSpacing"/>
        <w:jc w:val="both"/>
        <w:rPr>
          <w:b/>
          <w:bCs/>
          <w:sz w:val="20"/>
          <w:szCs w:val="20"/>
          <w:lang w:val="en-US"/>
        </w:rPr>
      </w:pPr>
    </w:p>
    <w:p w14:paraId="78A37596" w14:textId="05A8A8C7" w:rsidR="0026128E" w:rsidRPr="0026128E" w:rsidRDefault="0026128E" w:rsidP="0026128E">
      <w:pPr>
        <w:pStyle w:val="NoSpacing"/>
        <w:jc w:val="center"/>
        <w:rPr>
          <w:b/>
          <w:bCs/>
          <w:sz w:val="20"/>
          <w:szCs w:val="20"/>
        </w:rPr>
      </w:pPr>
      <w:r w:rsidRPr="0026128E">
        <w:rPr>
          <w:b/>
          <w:bCs/>
          <w:sz w:val="20"/>
          <w:szCs w:val="20"/>
        </w:rPr>
        <w:t>Streszczenie</w:t>
      </w:r>
    </w:p>
    <w:p w14:paraId="31E2E212" w14:textId="58A063B2" w:rsidR="0026128E" w:rsidRPr="0026128E" w:rsidRDefault="0026128E" w:rsidP="0026128E">
      <w:pPr>
        <w:pStyle w:val="NoSpacing"/>
        <w:jc w:val="both"/>
        <w:rPr>
          <w:sz w:val="20"/>
          <w:szCs w:val="20"/>
        </w:rPr>
      </w:pPr>
      <w:r w:rsidRPr="0026128E">
        <w:rPr>
          <w:sz w:val="20"/>
          <w:szCs w:val="20"/>
        </w:rPr>
        <w:t>Według Reinharda Meßnera bierzmowanie od swojego powstania wciąż poszukuje swojej teologii</w:t>
      </w:r>
      <w:r w:rsidR="00EB62FA">
        <w:rPr>
          <w:sz w:val="20"/>
          <w:szCs w:val="20"/>
        </w:rPr>
        <w:t>. T</w:t>
      </w:r>
      <w:r w:rsidRPr="0026128E">
        <w:rPr>
          <w:sz w:val="20"/>
          <w:szCs w:val="20"/>
        </w:rPr>
        <w:t xml:space="preserve">en numer </w:t>
      </w:r>
      <w:r w:rsidR="00EB62FA">
        <w:rPr>
          <w:i/>
          <w:sz w:val="20"/>
          <w:szCs w:val="20"/>
        </w:rPr>
        <w:t xml:space="preserve">Communio </w:t>
      </w:r>
      <w:r w:rsidRPr="0026128E">
        <w:rPr>
          <w:sz w:val="20"/>
          <w:szCs w:val="20"/>
        </w:rPr>
        <w:t>stara się wnieść głos do tej ważnej dyskusji, zbierając różnorodne perspektywy. Wyzwaniem dla współczesnej teologii pozostaje odniesienie chrztu do bierzmowania, ponieważ dar Ducha Świętego jest głęboko spleciony z chrztem. Oznacza to, że łaski płynące z chrztu nie można po prostu „przenieść” na bierzmowanie jako coś niezależnego. W związku z tym, jeśli wylanie Ducha Świętego miało miejsce już podczas chrztu, to nie możemy po prostu „powtarzać” tego samego rytuału w kontekście bierzmowania. To skomplikowane powiązanie między sakramentami wymaga, abyśmy jako wspólnota oraz jako indywidualni wierni z większą uwagą rozważali, jak te sakramenty współistnieją w naszym życiu duchowym i jakie mają dla nas znaczenie.</w:t>
      </w:r>
    </w:p>
    <w:p w14:paraId="680799A3" w14:textId="77777777" w:rsidR="0026128E" w:rsidRPr="0026128E" w:rsidRDefault="0026128E" w:rsidP="0026128E">
      <w:pPr>
        <w:pStyle w:val="NoSpacing"/>
        <w:jc w:val="both"/>
        <w:rPr>
          <w:sz w:val="20"/>
          <w:szCs w:val="20"/>
        </w:rPr>
      </w:pPr>
    </w:p>
    <w:p w14:paraId="069DFEE6" w14:textId="77777777" w:rsidR="0026128E" w:rsidRPr="0026128E" w:rsidRDefault="0026128E" w:rsidP="0026128E">
      <w:pPr>
        <w:pStyle w:val="NoSpacing"/>
        <w:jc w:val="both"/>
        <w:rPr>
          <w:sz w:val="20"/>
          <w:szCs w:val="20"/>
        </w:rPr>
      </w:pPr>
      <w:r w:rsidRPr="0026128E">
        <w:rPr>
          <w:b/>
          <w:bCs/>
          <w:sz w:val="20"/>
          <w:szCs w:val="20"/>
        </w:rPr>
        <w:t>Słowa kluczowe:</w:t>
      </w:r>
      <w:r w:rsidRPr="0026128E">
        <w:rPr>
          <w:sz w:val="20"/>
          <w:szCs w:val="20"/>
        </w:rPr>
        <w:t xml:space="preserve"> Bierzmowania – teologia – Ducha Święty – chrzest – poszukiwanie </w:t>
      </w:r>
    </w:p>
    <w:p w14:paraId="4D1CCA01" w14:textId="77777777" w:rsidR="004A1CF6" w:rsidRPr="0026128E" w:rsidRDefault="004A1CF6" w:rsidP="00B92225">
      <w:pPr>
        <w:pStyle w:val="NoSpacing"/>
        <w:ind w:firstLine="708"/>
        <w:jc w:val="both"/>
      </w:pPr>
    </w:p>
    <w:p w14:paraId="4F6A713B" w14:textId="48B27CCC" w:rsidR="00B92225" w:rsidRPr="0026128E" w:rsidRDefault="00B92225" w:rsidP="00B92225">
      <w:pPr>
        <w:pStyle w:val="NoSpacing"/>
        <w:ind w:firstLine="708"/>
        <w:jc w:val="both"/>
      </w:pPr>
      <w:r w:rsidRPr="0026128E">
        <w:t>Sakrament bierzmowania nazywany bywa „sakramentem pożegnania</w:t>
      </w:r>
      <w:r w:rsidR="009C7857" w:rsidRPr="0026128E">
        <w:t xml:space="preserve"> z Kościołem</w:t>
      </w:r>
      <w:r w:rsidRPr="0026128E">
        <w:t>”</w:t>
      </w:r>
      <w:r w:rsidR="009C7857" w:rsidRPr="0026128E">
        <w:rPr>
          <w:rStyle w:val="FootnoteReference"/>
        </w:rPr>
        <w:footnoteReference w:id="1"/>
      </w:r>
      <w:r w:rsidRPr="0026128E">
        <w:t>, ponieważ wielu młodych ludzi w naszym regionie decyduje się ostatecznie odwrócić od Kościoła po jego przyjęciu. Ta sytuacja przyciąga naszą uwagę, ponieważ w przypadku bierzmowania często dostrzegamy wyraźny rozdźwięk między oczekiwaniami Kościoła a rzeczywistością życia codziennego. Osoby odpowiedzialne za organizację bierzmowania w parafi</w:t>
      </w:r>
      <w:r w:rsidR="004A1CF6" w:rsidRPr="0026128E">
        <w:t>ach</w:t>
      </w:r>
      <w:r w:rsidRPr="0026128E">
        <w:t xml:space="preserve"> z pewnością znają te trudności z pierwszej ręki. </w:t>
      </w:r>
    </w:p>
    <w:p w14:paraId="332E1A2E" w14:textId="1617D996" w:rsidR="00B92225" w:rsidRPr="0026128E" w:rsidRDefault="00B92225" w:rsidP="00B92225">
      <w:pPr>
        <w:pStyle w:val="NoSpacing"/>
        <w:ind w:firstLine="708"/>
        <w:jc w:val="both"/>
      </w:pPr>
      <w:r w:rsidRPr="0026128E">
        <w:t xml:space="preserve">Rodzice, młodzi ludzie oraz sami katecheci mają wiele wątpliwości dotyczących wieku przystąpienia do sakramentu oraz treści </w:t>
      </w:r>
      <w:r w:rsidR="004A1CF6" w:rsidRPr="0026128E">
        <w:t xml:space="preserve">samej </w:t>
      </w:r>
      <w:r w:rsidRPr="0026128E">
        <w:t>katechezy. Często zostaje niejasne, co tak naprawdę oznacza bierzmowanie</w:t>
      </w:r>
      <w:r w:rsidR="00A207E9" w:rsidRPr="0026128E">
        <w:rPr>
          <w:rStyle w:val="FootnoteReference"/>
        </w:rPr>
        <w:footnoteReference w:id="2"/>
      </w:r>
      <w:r w:rsidRPr="0026128E">
        <w:t xml:space="preserve">. Czy jest to „potwierdzenie” lub „wzmocnienie” wiary, która już została zasiana podczas chrztu? A może młodzi, przystępując do bierzmowania, mają złożyć rodzaj deklaracji dorosłości, aby aktywnie uczestniczyć jako chrześcijanie w </w:t>
      </w:r>
      <w:r w:rsidRPr="0026128E">
        <w:lastRenderedPageBreak/>
        <w:t>życiu wspólnoty i społeczeństwa? Wyzwania, przed którymi stoimy, są zróżnicowane i w ostatnich latach prowadziły niejednokrotnie do rozpaczliwych poszukiwań najlepszych praktyk. Sytuacja ta wymaga od nas zrozumienia, otwartości na rozmowę oraz poszukiwania sensu tego ważnego sakramentu w życiu młodych ludzi.</w:t>
      </w:r>
    </w:p>
    <w:p w14:paraId="340CBA45" w14:textId="3D892202" w:rsidR="00B92225" w:rsidRPr="0026128E" w:rsidRDefault="00B92225" w:rsidP="00B92225">
      <w:pPr>
        <w:pStyle w:val="NoSpacing"/>
        <w:ind w:firstLine="708"/>
        <w:jc w:val="both"/>
      </w:pPr>
      <w:r w:rsidRPr="0026128E">
        <w:t>Z liturgicznego punktu widzenia bierzmowanie</w:t>
      </w:r>
      <w:r w:rsidR="009C7857" w:rsidRPr="0026128E">
        <w:t>,</w:t>
      </w:r>
      <w:r w:rsidRPr="0026128E">
        <w:t xml:space="preserve"> w tradycji rzymskiej</w:t>
      </w:r>
      <w:r w:rsidR="009C7857" w:rsidRPr="0026128E">
        <w:t>,</w:t>
      </w:r>
      <w:r w:rsidRPr="0026128E">
        <w:t xml:space="preserve"> miało swoje korzenie w chrzcie. W przeszłości znane było jako </w:t>
      </w:r>
      <w:r w:rsidRPr="0026128E">
        <w:rPr>
          <w:i/>
          <w:iCs/>
        </w:rPr>
        <w:t>consignatio</w:t>
      </w:r>
      <w:r w:rsidRPr="0026128E">
        <w:t xml:space="preserve"> i było zarezerwowane wyłącznie dla biskupa. Nawet jeżeli chrzest sprawował kapłan czy diakon, to biskup był zobowiązany do „potwierdzenia” tego sakramentu w określony sposób. Praktyka ta przeszła do Frankonii poprzez misję anglosaską, gdzie zaczęto używać terminu </w:t>
      </w:r>
      <w:r w:rsidRPr="0026128E">
        <w:rPr>
          <w:i/>
          <w:iCs/>
        </w:rPr>
        <w:t>confirmatio</w:t>
      </w:r>
      <w:r w:rsidRPr="0026128E">
        <w:t xml:space="preserve"> na oznaczenie bierzmowania.</w:t>
      </w:r>
    </w:p>
    <w:p w14:paraId="6CD2928A" w14:textId="547FFBAB" w:rsidR="00B92225" w:rsidRPr="0026128E" w:rsidRDefault="00B92225" w:rsidP="00B92225">
      <w:pPr>
        <w:pStyle w:val="NoSpacing"/>
        <w:ind w:firstLine="708"/>
        <w:jc w:val="both"/>
      </w:pPr>
      <w:r w:rsidRPr="0026128E">
        <w:t>Z biegiem czasu zaszły zmiany w roli biskupa. W późnym Rzy</w:t>
      </w:r>
      <w:r w:rsidR="00EB62FA">
        <w:t>mie biskup pełnił funkcję, którą</w:t>
      </w:r>
      <w:r w:rsidRPr="0026128E">
        <w:t xml:space="preserve"> można by porównać do „dekanatu miejskiego”, podczas gdy terytorium biskupa misyjnego w Frankonii obejmowało znacznie szersze obszary</w:t>
      </w:r>
      <w:r w:rsidR="00A207E9" w:rsidRPr="0026128E">
        <w:rPr>
          <w:rStyle w:val="FootnoteReference"/>
        </w:rPr>
        <w:footnoteReference w:id="3"/>
      </w:r>
      <w:r w:rsidRPr="0026128E">
        <w:t>. W rezultacie biskup nie mógł już udzielać chrztu po każdej stronie, ale wciąż zachował prawo do osobnego udzielania bierzmowania. Ta zmiana doprowadziła do tego, że chrzt</w:t>
      </w:r>
      <w:r w:rsidR="004A1CF6" w:rsidRPr="0026128E">
        <w:t>u</w:t>
      </w:r>
      <w:r w:rsidRPr="0026128E">
        <w:t xml:space="preserve"> w większości przypadków udzielali </w:t>
      </w:r>
      <w:r w:rsidR="004A1CF6" w:rsidRPr="0026128E">
        <w:t>prezbiterzy</w:t>
      </w:r>
      <w:r w:rsidRPr="0026128E">
        <w:t xml:space="preserve">, podczas gdy bierzmowanie stało się szczególną odpowiedzialnością biskupa. Nierzadko udzielał on bierzmowania podczas pielgrzymek, które odbywały się na otwartych polach, co nadawało temu sakramentowi szczególnego znaczenia i charakteru. </w:t>
      </w:r>
    </w:p>
    <w:p w14:paraId="67EB890E" w14:textId="46520627" w:rsidR="00B92225" w:rsidRPr="0026128E" w:rsidRDefault="00B92225" w:rsidP="00B92225">
      <w:pPr>
        <w:pStyle w:val="NoSpacing"/>
        <w:ind w:firstLine="708"/>
        <w:jc w:val="both"/>
      </w:pPr>
      <w:r w:rsidRPr="0026128E">
        <w:t>Przyglądając się tej historii, możemy dostrzec, jak zmiany w praktykach liturgicznych wpływały na sposób, w jaki młodzi ludzie postrzegają swoje miejsce w Kościele oraz jak sakramenty kształtują ich duchowość i życie społeczne.</w:t>
      </w:r>
    </w:p>
    <w:p w14:paraId="6F3C019E" w14:textId="77777777" w:rsidR="00EA1C88" w:rsidRPr="0026128E" w:rsidRDefault="00CC6C0C" w:rsidP="00CC6C0C">
      <w:pPr>
        <w:pStyle w:val="NoSpacing"/>
        <w:ind w:firstLine="708"/>
        <w:jc w:val="both"/>
      </w:pPr>
      <w:r w:rsidRPr="0026128E">
        <w:t xml:space="preserve">Wiek, w którym młodzi ludzie przystępowali do bierzmowania, przez długi czas nie był ściśle określony. To zależało od tego, kiedy biskup był dostępny, co często prowadziło do różnorodnych sytuacji w różnych wspólnotach. </w:t>
      </w:r>
    </w:p>
    <w:p w14:paraId="08946575" w14:textId="01EAEE6B" w:rsidR="00EA1C88" w:rsidRPr="0026128E" w:rsidRDefault="00CC6C0C" w:rsidP="00EA1C88">
      <w:pPr>
        <w:pStyle w:val="NoSpacing"/>
        <w:ind w:firstLine="708"/>
        <w:jc w:val="both"/>
      </w:pPr>
      <w:r w:rsidRPr="0026128E">
        <w:t>W średniowieczu bierzmowanie składało się już z dwóch głównych części: modlitwy o sied</w:t>
      </w:r>
      <w:r w:rsidR="00EA1C88" w:rsidRPr="0026128E">
        <w:t xml:space="preserve">em darów </w:t>
      </w:r>
      <w:r w:rsidRPr="0026128E">
        <w:t>Ducha Świętego, która była związana z nałożeniem rąk, oraz z namaszczenia czoła krzyżmem</w:t>
      </w:r>
      <w:r w:rsidR="00B26F1F" w:rsidRPr="0026128E">
        <w:rPr>
          <w:rStyle w:val="FootnoteReference"/>
        </w:rPr>
        <w:footnoteReference w:id="4"/>
      </w:r>
      <w:r w:rsidRPr="0026128E">
        <w:t>. W miarę upływu lat, znaczenie bierzmowania przeszło pewną ewolucję. Poczynając od rytuału, który koncentrował się na udzielaniu Ducha Świętego przez nałożenie rąk, zaczęto zwracać szczególną uwagę na namaszczenie czoła. Ta zmiana znaczenia odzwierciedla nasze postrzeganie tej chwili jako ważnego kroku w duchowym rozwoju młodego człowieka. Choć rozwój liturgii bierzmowania w ostatnich wiekach nie był szczególnie dynamiczny, to jednak ciągle można dostrzec, jak te rytuały odzwierciedlają zmieniające się potrzeby i pragnienia wiernych. Dziś bierzmowanie to nie tylko moment rytualny, ale także ważny etap w drodze do pełniejszego uczestnictwa w życiu Kościoła oraz w odkrywaniu własnej duchowości.</w:t>
      </w:r>
    </w:p>
    <w:p w14:paraId="04A68310" w14:textId="547F0A2E" w:rsidR="00EA1C88" w:rsidRPr="0026128E" w:rsidRDefault="00F94A8C" w:rsidP="00EA1C88">
      <w:pPr>
        <w:pStyle w:val="NoSpacing"/>
        <w:ind w:firstLine="708"/>
        <w:jc w:val="both"/>
      </w:pPr>
      <w:r w:rsidRPr="0026128E">
        <w:t>Związek między chrztem a bierzmowaniem ma ogromne znaczenie, nie tylko z liturgicznego czy teologicznego punktu widzenia, ale także w praktyce</w:t>
      </w:r>
      <w:r w:rsidR="00A207E9" w:rsidRPr="0026128E">
        <w:rPr>
          <w:rStyle w:val="FootnoteReference"/>
        </w:rPr>
        <w:footnoteReference w:id="5"/>
      </w:r>
      <w:r w:rsidRPr="0026128E">
        <w:t>. Jak zauważa teolog liturgiczny Reinhard Meßner z Innsbrucka, bierzmowan</w:t>
      </w:r>
      <w:r w:rsidR="00EB62FA">
        <w:t>ie</w:t>
      </w:r>
      <w:r w:rsidRPr="0026128E">
        <w:t xml:space="preserve"> od momentu swojego powstania jako samodzielny rytuał </w:t>
      </w:r>
      <w:r w:rsidR="00EB62FA">
        <w:t xml:space="preserve">jest </w:t>
      </w:r>
      <w:r w:rsidRPr="0026128E">
        <w:t>w pewnym sensie wciąż w poszukiwaniu swojej teologii. Teologiczne interpretacje bieżące, które pojawiały się na przestrzeni lat, często były drugorzędne wobec samego obrzędu, który jest w istocie integralną częścią chrztu, a czasami wręcz sztucznie do niego dodawanym elementem</w:t>
      </w:r>
      <w:r w:rsidR="009C7857" w:rsidRPr="0026128E">
        <w:rPr>
          <w:rStyle w:val="FootnoteReference"/>
        </w:rPr>
        <w:footnoteReference w:id="6"/>
      </w:r>
      <w:r w:rsidRPr="0026128E">
        <w:t>.</w:t>
      </w:r>
    </w:p>
    <w:p w14:paraId="3951AC10" w14:textId="77777777" w:rsidR="00EA1C88" w:rsidRPr="0026128E" w:rsidRDefault="00F94A8C" w:rsidP="00EA1C88">
      <w:pPr>
        <w:pStyle w:val="NoSpacing"/>
        <w:ind w:firstLine="708"/>
        <w:jc w:val="both"/>
      </w:pPr>
      <w:r w:rsidRPr="0026128E">
        <w:t xml:space="preserve">Przy okazji autonomizacji bierzmowania, pierwotna idea </w:t>
      </w:r>
      <w:r w:rsidRPr="0026128E">
        <w:rPr>
          <w:i/>
          <w:iCs/>
        </w:rPr>
        <w:t>confirmatio</w:t>
      </w:r>
      <w:r w:rsidRPr="0026128E">
        <w:t xml:space="preserve"> jako biskupiego potwierdzenia została reinterpretowana w kierunku „wzmocnienia”. Jeszcze </w:t>
      </w:r>
      <w:r w:rsidRPr="0026128E">
        <w:lastRenderedPageBreak/>
        <w:t>wczesnośredniowieczni teologowie, jak Piotr Lombard czy Tomasz z Akwinu, na trwałe związali tę praktykę z ideą wzmocnienia wiary oraz z zaangażowaniem w życie wspólnoty.</w:t>
      </w:r>
    </w:p>
    <w:p w14:paraId="2A083D6C" w14:textId="4C768AD4" w:rsidR="00EA1C88" w:rsidRPr="0026128E" w:rsidRDefault="00F94A8C" w:rsidP="00EA1C88">
      <w:pPr>
        <w:pStyle w:val="NoSpacing"/>
        <w:ind w:firstLine="708"/>
        <w:jc w:val="both"/>
      </w:pPr>
      <w:r w:rsidRPr="0026128E">
        <w:t xml:space="preserve">Wiele dzisiejszych koncepcji pastoralnych i teologicznych wciąż opiera się na tych fundamentach, co pokazuje, jak długo trwają te tradycje. </w:t>
      </w:r>
      <w:r w:rsidR="00AB00EA" w:rsidRPr="0026128E">
        <w:t>W</w:t>
      </w:r>
      <w:r w:rsidRPr="0026128E">
        <w:t xml:space="preserve">yzwaniem </w:t>
      </w:r>
      <w:r w:rsidR="00AB00EA" w:rsidRPr="0026128E">
        <w:t xml:space="preserve">dla współczesnej teologii </w:t>
      </w:r>
      <w:r w:rsidRPr="0026128E">
        <w:t>pozostaje odniesienie chrztu do bierzmowania, ponieważ dar Ducha Świętego jest głęboko spleciony z chrztem. Oznacza to, że łaski płynące z chrztu nie można po prostu „przenieść” na bierzmowanie jako coś niezależnego. W związku z tym, jeśli wylanie Ducha Świętego</w:t>
      </w:r>
      <w:r w:rsidR="002015C5" w:rsidRPr="0026128E">
        <w:rPr>
          <w:rStyle w:val="FootnoteReference"/>
        </w:rPr>
        <w:footnoteReference w:id="7"/>
      </w:r>
      <w:r w:rsidRPr="0026128E">
        <w:t xml:space="preserve"> miało miejsce już podczas chrztu, to nie możemy po prostu „powtarzać” tego samego rytuału w kontekście bierzmowania.</w:t>
      </w:r>
    </w:p>
    <w:p w14:paraId="5499F2D7" w14:textId="77777777" w:rsidR="00EA1C88" w:rsidRPr="0026128E" w:rsidRDefault="00F94A8C" w:rsidP="00EA1C88">
      <w:pPr>
        <w:pStyle w:val="NoSpacing"/>
        <w:ind w:firstLine="708"/>
        <w:jc w:val="both"/>
      </w:pPr>
      <w:r w:rsidRPr="0026128E">
        <w:t>To skomplikowane powiązanie między sakramentami wymaga, abyśmy jako wspólnota oraz jako indywidualni wierni z większą uwagą rozważali, jak te sakramenty współistnieją w naszym życiu duchowym i jakie mają dla nas znaczenie.</w:t>
      </w:r>
    </w:p>
    <w:p w14:paraId="5A2C5127" w14:textId="47BC7B13" w:rsidR="00EA1C88" w:rsidRPr="0026128E" w:rsidRDefault="00943526" w:rsidP="00EA1C88">
      <w:pPr>
        <w:pStyle w:val="NoSpacing"/>
        <w:ind w:firstLine="708"/>
        <w:jc w:val="both"/>
      </w:pPr>
      <w:r>
        <w:t>Pytanie dotyczące</w:t>
      </w:r>
      <w:r w:rsidR="00F94A8C" w:rsidRPr="0026128E">
        <w:t xml:space="preserve"> szafarza sakramentu bierzmowania, ponownie pokazuje, jak średniowieczna teologia nadal kształtuje nasze rozumienie tego sakramentu, aż do XX wieku. Wbrew długotrwałej tradycji, </w:t>
      </w:r>
      <w:r>
        <w:t xml:space="preserve">II </w:t>
      </w:r>
      <w:r w:rsidR="00F94A8C" w:rsidRPr="0026128E">
        <w:t xml:space="preserve">Sobór Watykański otworzył drogę do udzielania bierzmowania również przez osoby, które nie są biskupami. Dokument </w:t>
      </w:r>
      <w:r w:rsidR="00F94A8C" w:rsidRPr="0026128E">
        <w:rPr>
          <w:i/>
          <w:iCs/>
        </w:rPr>
        <w:t>Lumen Gentium</w:t>
      </w:r>
      <w:r w:rsidR="00F94A8C" w:rsidRPr="0026128E">
        <w:t xml:space="preserve"> zmienia perspektywę, nie określając już biskupa jako </w:t>
      </w:r>
      <w:r w:rsidR="00F94A8C" w:rsidRPr="0026128E">
        <w:rPr>
          <w:i/>
          <w:iCs/>
        </w:rPr>
        <w:t>minister ordinarius</w:t>
      </w:r>
      <w:r w:rsidR="00F94A8C" w:rsidRPr="0026128E">
        <w:t xml:space="preserve"> bierzmowania, lecz jako </w:t>
      </w:r>
      <w:r w:rsidR="00F94A8C" w:rsidRPr="0026128E">
        <w:rPr>
          <w:i/>
          <w:iCs/>
        </w:rPr>
        <w:t>minister originarius</w:t>
      </w:r>
      <w:r w:rsidR="002015C5" w:rsidRPr="0026128E">
        <w:rPr>
          <w:rStyle w:val="FootnoteReference"/>
        </w:rPr>
        <w:footnoteReference w:id="8"/>
      </w:r>
      <w:r w:rsidR="00F94A8C" w:rsidRPr="0026128E">
        <w:t>. Dzięki temu znikł jeden z ostatnich historycznych argumentów, które uzasadniały oddzielanie chrztu od bierzmowania.</w:t>
      </w:r>
    </w:p>
    <w:p w14:paraId="1E3E1A83" w14:textId="0D8506B9" w:rsidR="00EA1C88" w:rsidRPr="0026128E" w:rsidRDefault="00F94A8C" w:rsidP="00EA1C88">
      <w:pPr>
        <w:pStyle w:val="NoSpacing"/>
        <w:ind w:firstLine="708"/>
        <w:jc w:val="both"/>
      </w:pPr>
      <w:r w:rsidRPr="0026128E">
        <w:t>Z perspektywy teoretycznej, stara kolejność inicjacji – ch</w:t>
      </w:r>
      <w:r w:rsidR="00943526">
        <w:t>rzest, bierzmowanie i pierwsza K</w:t>
      </w:r>
      <w:r w:rsidRPr="0026128E">
        <w:t>omunia – mogłaby zostać przywrócona w pełni. Niemniej jednak w tym kontekście często podnosi się teologiczne problemy związane z odwróceniem kolej</w:t>
      </w:r>
      <w:r w:rsidR="00943526">
        <w:t>ności bierzmowania i pierwszej K</w:t>
      </w:r>
      <w:r w:rsidRPr="0026128E">
        <w:t>omunii. Eucharystia jako „najpełniejsza realizacja” Kościoła, stanowi istotny element tej inicjacji, a trudno wyobrazić sobie, by mogła odbywać się w oderwaniu od niej.</w:t>
      </w:r>
    </w:p>
    <w:p w14:paraId="44E53E94" w14:textId="50EA7E64" w:rsidR="00EA1C88" w:rsidRPr="0026128E" w:rsidRDefault="00F94A8C" w:rsidP="00EA1C88">
      <w:pPr>
        <w:pStyle w:val="NoSpacing"/>
        <w:ind w:firstLine="708"/>
        <w:jc w:val="both"/>
      </w:pPr>
      <w:r w:rsidRPr="0026128E">
        <w:t>Takie podejście znajduje również potwierdzenie we współczesnych książkach liturgicznych, które sugerują, że bierzmowanie powinno być udzielane w okolicach siódmego roku życia. To otwarcie na zmiany oznacza, że zapraszamy młodych ludzi do aktywnego uczestnictwa w życiu Kościoła w atmosferze zrozumienia i wsparcia, co może wpłynąć na ich duchowy rozwój oraz zaangażowanie w wspólnotę</w:t>
      </w:r>
      <w:r w:rsidR="002015C5" w:rsidRPr="0026128E">
        <w:rPr>
          <w:rStyle w:val="FootnoteReference"/>
        </w:rPr>
        <w:footnoteReference w:id="9"/>
      </w:r>
      <w:r w:rsidRPr="0026128E">
        <w:t>.</w:t>
      </w:r>
    </w:p>
    <w:p w14:paraId="78BAEF3D" w14:textId="02DEB0E9" w:rsidR="00EA1C88" w:rsidRPr="00B04482" w:rsidRDefault="00943526" w:rsidP="00EA1C88">
      <w:pPr>
        <w:pStyle w:val="NoSpacing"/>
        <w:ind w:firstLine="708"/>
        <w:jc w:val="both"/>
      </w:pPr>
      <w:r>
        <w:t>Jeśli obecny wiek pierwszej K</w:t>
      </w:r>
      <w:r w:rsidR="00B92225" w:rsidRPr="0026128E">
        <w:t xml:space="preserve">omunii nie ulegnie zmianie, bierzmowanie mogłoby ponownie odbywać się przed nią i pełnić rolę rytuału przejścia na początku edukacji podstawowej. Jeszcze ważniejszy w tym kontekście jest jednak odniesienie do inicjacji dorosłych, która również zyskała nowe akcenty po </w:t>
      </w:r>
      <w:r w:rsidR="002015C5" w:rsidRPr="0026128E">
        <w:t xml:space="preserve">II </w:t>
      </w:r>
      <w:r w:rsidR="00B92225" w:rsidRPr="0026128E">
        <w:t xml:space="preserve">Soborze Watykańskim i zyskuje na znaczeniu w </w:t>
      </w:r>
      <w:r w:rsidR="00B92225" w:rsidRPr="00B04482">
        <w:t>coraz bardziej świeckim społeczeństwie. Bierzmowanie zostało ponownie włączone jako autentyczny element do obrzędu chrztu, co zamknęło historyczną lukę między tymi dwoma sakramentami.</w:t>
      </w:r>
    </w:p>
    <w:p w14:paraId="2F21D014" w14:textId="0784AC4E" w:rsidR="00EA1C88" w:rsidRPr="00B04482" w:rsidRDefault="00F94A8C" w:rsidP="00EA1C88">
      <w:pPr>
        <w:pStyle w:val="NoSpacing"/>
        <w:ind w:firstLine="708"/>
        <w:jc w:val="both"/>
      </w:pPr>
      <w:r w:rsidRPr="00B04482">
        <w:t>Jeśli w</w:t>
      </w:r>
      <w:r w:rsidR="00943526" w:rsidRPr="00B04482">
        <w:t>iek przystąpienia do pierwszej K</w:t>
      </w:r>
      <w:r w:rsidRPr="00B04482">
        <w:t xml:space="preserve">omunii pozostanie bez zmian, bierzmowanie mogłoby znów odbywać się przed nim, pełniąc rolę rytuału przejścia na początku nauki w szkole podstawowej. Warto jednak zwrócić szczególną uwagę na fakt, że temat inicjacji dorosłych zyskał nowe znaczenie po </w:t>
      </w:r>
      <w:r w:rsidR="009C7857" w:rsidRPr="00B04482">
        <w:t xml:space="preserve">II </w:t>
      </w:r>
      <w:r w:rsidRPr="00B04482">
        <w:t xml:space="preserve">Soborze Watykańskim i staje się coraz bardziej istotny w naszym coraz bardziej świeckim społeczeństwie. </w:t>
      </w:r>
    </w:p>
    <w:p w14:paraId="1A9DB09C" w14:textId="36F45B59" w:rsidR="00EA1C88" w:rsidRPr="0026128E" w:rsidRDefault="00F94A8C" w:rsidP="00EA1C88">
      <w:pPr>
        <w:pStyle w:val="NoSpacing"/>
        <w:ind w:firstLine="708"/>
        <w:jc w:val="both"/>
      </w:pPr>
      <w:r w:rsidRPr="00B04482">
        <w:t xml:space="preserve">Włączenie bierzmowania jako integralnego elementu obrzędu chrztu pozwoliło na zamknięcie historycznej luki, która istniała między tymi dwoma sakramentami. To z kolei otwiera nowe możliwości dla młodych ludzi, aby mogli zaangażować się w życie wspólnoty </w:t>
      </w:r>
      <w:r w:rsidRPr="0026128E">
        <w:t>oraz budować swoją tożsamość w wierze</w:t>
      </w:r>
      <w:r w:rsidR="002015C5" w:rsidRPr="0026128E">
        <w:rPr>
          <w:rStyle w:val="FootnoteReference"/>
        </w:rPr>
        <w:footnoteReference w:id="10"/>
      </w:r>
      <w:r w:rsidRPr="0026128E">
        <w:t xml:space="preserve">. To niezwykle ważne, aby te sakramenty nie były </w:t>
      </w:r>
      <w:r w:rsidRPr="0026128E">
        <w:lastRenderedPageBreak/>
        <w:t>postrzegane jako odrębne rytuały, ale jako nawzajem się uzupełniające elementy duchowej drogi, które pomagają młodym ludziom w ich rozwoju osobistym i duchowym.</w:t>
      </w:r>
    </w:p>
    <w:p w14:paraId="2F5E9237" w14:textId="403BA8CF" w:rsidR="00EA1C88" w:rsidRPr="0026128E" w:rsidRDefault="00F94A8C" w:rsidP="00EA1C88">
      <w:pPr>
        <w:pStyle w:val="NoSpacing"/>
        <w:ind w:firstLine="708"/>
        <w:jc w:val="both"/>
      </w:pPr>
      <w:r w:rsidRPr="0026128E">
        <w:t>Jeśli w Polsce celem jest udzielanie bierzmowania młodzieży od piętnastego roku życia, to powinniśmy skupić się na istocie tego obrzędu i unikać dodatkowych interpretacji, takich jak obietnice dorosłości czy wymaganie aktywnego uczestnictwa w życiu parafii</w:t>
      </w:r>
      <w:r w:rsidR="00AB00EA" w:rsidRPr="0026128E">
        <w:rPr>
          <w:rStyle w:val="FootnoteReference"/>
        </w:rPr>
        <w:footnoteReference w:id="11"/>
      </w:r>
      <w:r w:rsidRPr="0026128E">
        <w:t>. Najważniejsze powinny być dary Ducha Świętego</w:t>
      </w:r>
      <w:r w:rsidR="002015C5" w:rsidRPr="0026128E">
        <w:rPr>
          <w:rStyle w:val="FootnoteReference"/>
        </w:rPr>
        <w:footnoteReference w:id="12"/>
      </w:r>
      <w:r w:rsidRPr="0026128E">
        <w:t>, co w kontekście życia nastolatków oznacza, że Bóg w sakramencie oferuje im swoje bezwarunkowe wsparcie w trudnych chwilach, nie oczekując przy tym żadnej „zapłaty” za to.</w:t>
      </w:r>
    </w:p>
    <w:p w14:paraId="11683519" w14:textId="5191AF73" w:rsidR="00EA1C88" w:rsidRPr="0026128E" w:rsidRDefault="00F94A8C" w:rsidP="00EA1C88">
      <w:pPr>
        <w:pStyle w:val="NoSpacing"/>
        <w:ind w:firstLine="708"/>
        <w:jc w:val="both"/>
      </w:pPr>
      <w:r w:rsidRPr="0026128E">
        <w:t xml:space="preserve">Można również spojrzeć na sakrament jako rytuał przejścia, który towarzyszy młodym ludziom na progu dorosłości. </w:t>
      </w:r>
      <w:proofErr w:type="gramStart"/>
      <w:r w:rsidRPr="0026128E">
        <w:t>Jednak</w:t>
      </w:r>
      <w:proofErr w:type="gramEnd"/>
      <w:r w:rsidRPr="0026128E">
        <w:t xml:space="preserve"> jeśli będziemy jednostronnie podchodzić </w:t>
      </w:r>
      <w:r w:rsidR="00943526">
        <w:t>do teologicznie kontrowersyjnej</w:t>
      </w:r>
      <w:r w:rsidRPr="0026128E">
        <w:t xml:space="preserve"> „koncepcji dorosłości”, wiek przystąpienia do bierzmowania może być coraz bardziej indywidualizowany i przesuwany wyżej. W rezultacie, bierzmowanie może stracić swoje znaczenie jako „nagroda”, stając się raczej świadomym wyborem życia jako dojrzały chrześcijanin w Kościele i społeczeństwie.</w:t>
      </w:r>
    </w:p>
    <w:p w14:paraId="2A1F581F" w14:textId="48059DD8" w:rsidR="00EA1C88" w:rsidRPr="0026128E" w:rsidRDefault="00F94A8C" w:rsidP="00EA1C88">
      <w:pPr>
        <w:pStyle w:val="NoSpacing"/>
        <w:ind w:firstLine="708"/>
        <w:jc w:val="both"/>
      </w:pPr>
      <w:r w:rsidRPr="0026128E">
        <w:t>Ważne jest, abyśmy zdawali sobie sprawę, że liczba bierzmowanych młodych ludzi może się zmniejszać. Zawsze pozostaje jednak możliwość przywrócenia tradycyjnego modelu, w którym bierzmowanie u</w:t>
      </w:r>
      <w:r w:rsidR="00943526">
        <w:t>dzielane byłoby przed pierwszą K</w:t>
      </w:r>
      <w:r w:rsidRPr="0026128E">
        <w:t>omunią, co mogłoby pomóc w odnowieniu sensu i znaczenia tych sacrum w życiu młodych ludzi.</w:t>
      </w:r>
    </w:p>
    <w:p w14:paraId="3D8F05DD" w14:textId="06D951D9" w:rsidR="00F94A8C" w:rsidRDefault="00F94A8C" w:rsidP="002C7D95">
      <w:pPr>
        <w:pStyle w:val="NoSpacing"/>
        <w:jc w:val="both"/>
      </w:pPr>
      <w:r w:rsidRPr="0026128E">
        <w:t xml:space="preserve">Jeśli według Reinharda Meßnera bierzmowanie od swojego powstania wciąż poszukuje swojej teologii, to ten numer </w:t>
      </w:r>
      <w:r w:rsidR="00943526">
        <w:rPr>
          <w:i/>
        </w:rPr>
        <w:t xml:space="preserve">Communio </w:t>
      </w:r>
      <w:r w:rsidRPr="0026128E">
        <w:t xml:space="preserve">stara się wnieść głos do tej ważnej dyskusji, zbierając różnorodne perspektywy. </w:t>
      </w:r>
      <w:r w:rsidR="0026128E" w:rsidRPr="0026128E">
        <w:t xml:space="preserve">Dla </w:t>
      </w:r>
      <w:r w:rsidR="0026128E">
        <w:t xml:space="preserve">Helmuta </w:t>
      </w:r>
      <w:r w:rsidR="0026128E" w:rsidRPr="0026128E">
        <w:t>Zandera ta różnorodność nie jest słabością, lecz okazją dla teologii, aby nieustannie odpowiadać na wyzwania społeczne i religijne, pokazując, że każdy sakrament ma swoje miejsce w zróżnicowanym i dynamicznym świecie.</w:t>
      </w:r>
      <w:r w:rsidR="0026128E">
        <w:t xml:space="preserve"> </w:t>
      </w:r>
      <w:r w:rsidRPr="0026128E">
        <w:t xml:space="preserve">Manuel Schlögl analizując bierzmowanie z dogmatycznego punktu widzenia i określając je jako „sakrament </w:t>
      </w:r>
      <w:r w:rsidR="0026128E">
        <w:t>pełni</w:t>
      </w:r>
      <w:r w:rsidRPr="0026128E">
        <w:t>”</w:t>
      </w:r>
      <w:r w:rsidR="0026128E">
        <w:t xml:space="preserve">, </w:t>
      </w:r>
      <w:r w:rsidRPr="0026128E">
        <w:t>zwraca uwagę na „wymiar daru i łaski”, który niesie ze sobą ten sakrament.</w:t>
      </w:r>
      <w:r w:rsidR="00EA1C88" w:rsidRPr="0026128E">
        <w:t xml:space="preserve"> </w:t>
      </w:r>
      <w:r w:rsidRPr="0026128E">
        <w:t>Kolejnym głosem jest Eugen Daigeler, który przygląda się liturgicznemu podejściu do bierzmowania, badając jego historię i znaczenie we współczesnych obrzędach. Z perspektywy prawosławnej, teolog Stefanos Athanasiou interpretuje namaszczenie myronem w rycie bizantyjskim, przypominając o wspólnym dziedzictwie wczesnochrześcijańskiej inicjacji. Wprowadza on również nowe impulsy do dyskusji na temat teologii stworzenia, które mogą być korzystne dla ekumenicznego dialogu.</w:t>
      </w:r>
      <w:r w:rsidR="00EA1C88" w:rsidRPr="0026128E">
        <w:t xml:space="preserve"> </w:t>
      </w:r>
      <w:r w:rsidR="002C7D95">
        <w:t xml:space="preserve">Katarzyna Halkowicz podkreśla bogactwo teologiczne teologii bierzmowania w nauczaniu Ortodoksyjnego Kościoła Koptyjskiego. Paweł Meler ukazuje </w:t>
      </w:r>
      <w:r w:rsidR="002C7D95" w:rsidRPr="002C7D95">
        <w:t>konfirmację jako reformacyjne rozwinięcie i reinterpretację starożytnej praktyki </w:t>
      </w:r>
      <w:r w:rsidR="002C7D95" w:rsidRPr="002C7D95">
        <w:rPr>
          <w:i/>
          <w:iCs/>
        </w:rPr>
        <w:t>sacramentum confirmationis</w:t>
      </w:r>
      <w:r w:rsidR="002C7D95" w:rsidRPr="002C7D95">
        <w:t xml:space="preserve">. </w:t>
      </w:r>
      <w:r w:rsidR="002C7D95">
        <w:t>Jarosław M. Lipniak przybliża t</w:t>
      </w:r>
      <w:r w:rsidR="002C7D95" w:rsidRPr="002C7D95">
        <w:t>eologiczno-dogmatyczne implikacje dokumentu Międzynarodowej Komisji Teologicznej</w:t>
      </w:r>
      <w:r w:rsidR="002C7D95" w:rsidRPr="002C7D95">
        <w:rPr>
          <w:i/>
          <w:iCs/>
        </w:rPr>
        <w:t xml:space="preserve"> Reciprocità tra Fede e Sacramenti nell'economia sacramentale</w:t>
      </w:r>
      <w:r w:rsidR="002C7D95" w:rsidRPr="002C7D95">
        <w:t xml:space="preserve"> w kontekście teologii bierzmowania</w:t>
      </w:r>
      <w:r w:rsidR="002C7D95">
        <w:t xml:space="preserve">. Zaś </w:t>
      </w:r>
      <w:r w:rsidRPr="0026128E">
        <w:t>Jan-Heiner Tück w swoim artykule zbiera różnorodne literackie świadectwa na temat bierzmowania. Jako teolog z zamiłowaniem do literatury, docenia on wątpliwości liturgiczne związane z odwróceniem kolejności chrztu i bierzmowania, jednocześnie podkreślając antropologiczne znaczenie sakramentu jako ważnego rytuału przejścia, co jest szczególnie widoczne w literackich refleksjach.</w:t>
      </w:r>
      <w:r w:rsidR="00EA1C88" w:rsidRPr="0026128E">
        <w:t xml:space="preserve"> </w:t>
      </w:r>
    </w:p>
    <w:p w14:paraId="71B6F96A" w14:textId="77777777" w:rsidR="002C7D95" w:rsidRDefault="002C7D95" w:rsidP="002C7D95">
      <w:pPr>
        <w:pStyle w:val="NoSpacing"/>
        <w:jc w:val="both"/>
      </w:pPr>
    </w:p>
    <w:p w14:paraId="594C4203" w14:textId="77777777" w:rsidR="002C7D95" w:rsidRPr="002C7D95" w:rsidRDefault="002C7D95" w:rsidP="002C7D95">
      <w:pPr>
        <w:pStyle w:val="NoSpacing"/>
        <w:ind w:firstLine="708"/>
        <w:jc w:val="both"/>
      </w:pPr>
      <w:r w:rsidRPr="002C7D95">
        <w:rPr>
          <w:b/>
          <w:bCs/>
        </w:rPr>
        <w:t>Nota o Autorze:</w:t>
      </w:r>
      <w:r w:rsidRPr="002C7D95">
        <w:t xml:space="preserve"> Jarosław M. Lipniak: urodzony 2 lutego 1973 roku w Oławie, prezbiter Diecezji Świdnickiej, doktor habilitowany teologii dogmatycznej, Redaktor Naczelny Międzynarodowego Przeglądu Teologicznego „Communio”, Kierownik Katedry </w:t>
      </w:r>
      <w:r w:rsidRPr="002C7D95">
        <w:lastRenderedPageBreak/>
        <w:t>Eklezjologii i Ekumenizmu Papieskiego Wydziału Teologicznego we Wrocławiu, Prezes Dolnośląskiego Instytutu Dialogu i Tolerancji, przedstawiciel Biskupa Świdnickiego do spraw Ekumenizmu i Dialogu Międzyreligijnego, Proboszcz parafii pw. Nawiedzenia NMP w Witoszowie Dolnym.</w:t>
      </w:r>
    </w:p>
    <w:p w14:paraId="033F72BE" w14:textId="77777777" w:rsidR="00AB00EA" w:rsidRPr="0026128E" w:rsidRDefault="00AB00EA" w:rsidP="00AB00EA">
      <w:pPr>
        <w:pStyle w:val="NoSpacing"/>
        <w:jc w:val="both"/>
      </w:pPr>
    </w:p>
    <w:p w14:paraId="1158381C" w14:textId="04B363F1" w:rsidR="00AB00EA" w:rsidRPr="0026128E" w:rsidRDefault="0026128E" w:rsidP="00AB00EA">
      <w:pPr>
        <w:pStyle w:val="NoSpacing"/>
        <w:jc w:val="both"/>
        <w:rPr>
          <w:b/>
          <w:bCs/>
        </w:rPr>
      </w:pPr>
      <w:r w:rsidRPr="0026128E">
        <w:rPr>
          <w:b/>
          <w:bCs/>
        </w:rPr>
        <w:t>Bibliografia:</w:t>
      </w:r>
    </w:p>
    <w:p w14:paraId="4780DE3A" w14:textId="77777777" w:rsidR="0026128E" w:rsidRPr="0026128E" w:rsidRDefault="0026128E" w:rsidP="002C7D95">
      <w:pPr>
        <w:pStyle w:val="FootnoteText"/>
        <w:ind w:left="1134" w:hanging="1134"/>
        <w:jc w:val="both"/>
        <w:rPr>
          <w:sz w:val="24"/>
          <w:szCs w:val="24"/>
        </w:rPr>
      </w:pPr>
      <w:r w:rsidRPr="0026128E">
        <w:rPr>
          <w:sz w:val="24"/>
          <w:szCs w:val="24"/>
        </w:rPr>
        <w:t xml:space="preserve">Braganca J.O., </w:t>
      </w:r>
      <w:r w:rsidRPr="0026128E">
        <w:rPr>
          <w:i/>
          <w:iCs/>
          <w:sz w:val="24"/>
          <w:szCs w:val="24"/>
        </w:rPr>
        <w:t>Bierzmowanie sakramentem Ducha</w:t>
      </w:r>
      <w:r w:rsidRPr="0026128E">
        <w:rPr>
          <w:sz w:val="24"/>
          <w:szCs w:val="24"/>
        </w:rPr>
        <w:t xml:space="preserve">, w: Kolekcja Communio 12(1998), s. 420-431. </w:t>
      </w:r>
    </w:p>
    <w:p w14:paraId="35DA1FC0" w14:textId="77777777" w:rsidR="0026128E" w:rsidRPr="0026128E" w:rsidRDefault="0026128E" w:rsidP="002C7D95">
      <w:pPr>
        <w:pStyle w:val="FootnoteText"/>
        <w:ind w:left="1134" w:hanging="1134"/>
        <w:jc w:val="both"/>
        <w:rPr>
          <w:sz w:val="24"/>
          <w:szCs w:val="24"/>
        </w:rPr>
      </w:pPr>
      <w:r w:rsidRPr="0026128E">
        <w:rPr>
          <w:sz w:val="24"/>
          <w:szCs w:val="24"/>
        </w:rPr>
        <w:t xml:space="preserve">Camelot P.T., </w:t>
      </w:r>
      <w:r w:rsidRPr="0026128E">
        <w:rPr>
          <w:i/>
          <w:iCs/>
          <w:sz w:val="24"/>
          <w:szCs w:val="24"/>
        </w:rPr>
        <w:t>Bierzmowanie a wylanie Ducha</w:t>
      </w:r>
      <w:r w:rsidRPr="0026128E">
        <w:rPr>
          <w:sz w:val="24"/>
          <w:szCs w:val="24"/>
        </w:rPr>
        <w:t>, w: Communio 12(1992)2, s. 81-91.</w:t>
      </w:r>
    </w:p>
    <w:p w14:paraId="0C00E9EF" w14:textId="77777777" w:rsidR="0026128E" w:rsidRPr="0026128E" w:rsidRDefault="0026128E" w:rsidP="002C7D95">
      <w:pPr>
        <w:pStyle w:val="FootnoteText"/>
        <w:ind w:left="1134" w:hanging="1134"/>
        <w:jc w:val="both"/>
        <w:rPr>
          <w:sz w:val="24"/>
          <w:szCs w:val="24"/>
        </w:rPr>
      </w:pPr>
      <w:r w:rsidRPr="0026128E">
        <w:rPr>
          <w:sz w:val="24"/>
          <w:szCs w:val="24"/>
        </w:rPr>
        <w:t xml:space="preserve">Coffy R., </w:t>
      </w:r>
      <w:r w:rsidRPr="0026128E">
        <w:rPr>
          <w:i/>
          <w:iCs/>
          <w:sz w:val="24"/>
          <w:szCs w:val="24"/>
        </w:rPr>
        <w:t>Szafarz bierzmowania</w:t>
      </w:r>
      <w:r w:rsidRPr="0026128E">
        <w:rPr>
          <w:sz w:val="24"/>
          <w:szCs w:val="24"/>
        </w:rPr>
        <w:t>, w: Communio 12(1992)2, s. 62-66.</w:t>
      </w:r>
    </w:p>
    <w:p w14:paraId="1A1B3FDB" w14:textId="77777777" w:rsidR="0026128E" w:rsidRPr="0026128E" w:rsidRDefault="0026128E" w:rsidP="002C7D95">
      <w:pPr>
        <w:pStyle w:val="FootnoteText"/>
        <w:ind w:left="1134" w:hanging="1134"/>
        <w:jc w:val="both"/>
        <w:rPr>
          <w:sz w:val="24"/>
          <w:szCs w:val="24"/>
        </w:rPr>
      </w:pPr>
      <w:r w:rsidRPr="0026128E">
        <w:rPr>
          <w:sz w:val="24"/>
          <w:szCs w:val="24"/>
        </w:rPr>
        <w:t>Henrici P.,</w:t>
      </w:r>
      <w:r w:rsidRPr="0026128E">
        <w:rPr>
          <w:i/>
          <w:iCs/>
          <w:sz w:val="24"/>
          <w:szCs w:val="24"/>
        </w:rPr>
        <w:t xml:space="preserve"> Bierzmowanie – sakrament Ducha Świętego</w:t>
      </w:r>
      <w:r w:rsidRPr="0026128E">
        <w:rPr>
          <w:sz w:val="24"/>
          <w:szCs w:val="24"/>
        </w:rPr>
        <w:t>, w: Communio 18(1998)2, s. 110-118.</w:t>
      </w:r>
    </w:p>
    <w:p w14:paraId="226D79B8" w14:textId="77777777" w:rsidR="0026128E" w:rsidRPr="0026128E" w:rsidRDefault="0026128E" w:rsidP="002C7D95">
      <w:pPr>
        <w:pStyle w:val="FootnoteText"/>
        <w:ind w:left="1134" w:hanging="1134"/>
        <w:jc w:val="both"/>
        <w:rPr>
          <w:sz w:val="24"/>
          <w:szCs w:val="24"/>
        </w:rPr>
      </w:pPr>
      <w:r w:rsidRPr="0026128E">
        <w:rPr>
          <w:sz w:val="24"/>
          <w:szCs w:val="24"/>
        </w:rPr>
        <w:t xml:space="preserve">II Sobór Watykański, Konstytucja dogmatyczna o Kościele </w:t>
      </w:r>
      <w:r w:rsidRPr="0026128E">
        <w:rPr>
          <w:i/>
          <w:iCs/>
          <w:sz w:val="24"/>
          <w:szCs w:val="24"/>
        </w:rPr>
        <w:t>Lumen Gentium</w:t>
      </w:r>
      <w:r w:rsidRPr="0026128E">
        <w:rPr>
          <w:sz w:val="24"/>
          <w:szCs w:val="24"/>
        </w:rPr>
        <w:t>, Watykan 1964.</w:t>
      </w:r>
    </w:p>
    <w:p w14:paraId="5CE3546B" w14:textId="77777777" w:rsidR="0026128E" w:rsidRPr="0026128E" w:rsidRDefault="0026128E" w:rsidP="002C7D95">
      <w:pPr>
        <w:pStyle w:val="FootnoteText"/>
        <w:ind w:left="1134" w:hanging="1134"/>
        <w:jc w:val="both"/>
        <w:rPr>
          <w:sz w:val="24"/>
          <w:szCs w:val="24"/>
        </w:rPr>
      </w:pPr>
      <w:r w:rsidRPr="0026128E">
        <w:rPr>
          <w:sz w:val="24"/>
          <w:szCs w:val="24"/>
        </w:rPr>
        <w:t xml:space="preserve">Janczewski Z., </w:t>
      </w:r>
      <w:r w:rsidRPr="0026128E">
        <w:rPr>
          <w:i/>
          <w:iCs/>
          <w:sz w:val="24"/>
          <w:szCs w:val="24"/>
        </w:rPr>
        <w:t xml:space="preserve">Bierzmowanie - sakrament chrześcijańskiej </w:t>
      </w:r>
      <w:proofErr w:type="gramStart"/>
      <w:r w:rsidRPr="0026128E">
        <w:rPr>
          <w:i/>
          <w:iCs/>
          <w:sz w:val="24"/>
          <w:szCs w:val="24"/>
        </w:rPr>
        <w:t>dojrzałości,</w:t>
      </w:r>
      <w:proofErr w:type="gramEnd"/>
      <w:r w:rsidRPr="0026128E">
        <w:rPr>
          <w:i/>
          <w:iCs/>
          <w:sz w:val="24"/>
          <w:szCs w:val="24"/>
        </w:rPr>
        <w:t xml:space="preserve"> czy pożegnania z </w:t>
      </w:r>
      <w:proofErr w:type="gramStart"/>
      <w:r w:rsidRPr="0026128E">
        <w:rPr>
          <w:i/>
          <w:iCs/>
          <w:sz w:val="24"/>
          <w:szCs w:val="24"/>
        </w:rPr>
        <w:t>Kościołem?</w:t>
      </w:r>
      <w:r w:rsidRPr="0026128E">
        <w:rPr>
          <w:sz w:val="24"/>
          <w:szCs w:val="24"/>
        </w:rPr>
        <w:t>,</w:t>
      </w:r>
      <w:proofErr w:type="gramEnd"/>
      <w:r w:rsidRPr="0026128E">
        <w:rPr>
          <w:sz w:val="24"/>
          <w:szCs w:val="24"/>
        </w:rPr>
        <w:t xml:space="preserve"> w: „Prawo Kanoniczne” 51(2008)3-4, s. 209-225.</w:t>
      </w:r>
    </w:p>
    <w:p w14:paraId="182A7F24" w14:textId="77777777" w:rsidR="0026128E" w:rsidRPr="0026128E" w:rsidRDefault="0026128E" w:rsidP="002C7D95">
      <w:pPr>
        <w:pStyle w:val="FootnoteText"/>
        <w:ind w:left="1134" w:hanging="1134"/>
        <w:jc w:val="both"/>
        <w:rPr>
          <w:sz w:val="24"/>
          <w:szCs w:val="24"/>
        </w:rPr>
      </w:pPr>
      <w:r w:rsidRPr="0026128E">
        <w:rPr>
          <w:sz w:val="24"/>
          <w:szCs w:val="24"/>
        </w:rPr>
        <w:t xml:space="preserve">Kowalczyk M., </w:t>
      </w:r>
      <w:r w:rsidRPr="0026128E">
        <w:rPr>
          <w:i/>
          <w:iCs/>
          <w:sz w:val="24"/>
          <w:szCs w:val="24"/>
        </w:rPr>
        <w:t>Eklezjalno-apostolski charakter bierzmowania</w:t>
      </w:r>
      <w:r w:rsidRPr="0026128E">
        <w:rPr>
          <w:sz w:val="24"/>
          <w:szCs w:val="24"/>
        </w:rPr>
        <w:t>, w: Communio 12(1992)2, s. 92-102.</w:t>
      </w:r>
    </w:p>
    <w:p w14:paraId="315C3BA1" w14:textId="77777777" w:rsidR="0026128E" w:rsidRPr="0026128E" w:rsidRDefault="0026128E" w:rsidP="002C7D95">
      <w:pPr>
        <w:pStyle w:val="FootnoteText"/>
        <w:ind w:left="1134" w:hanging="1134"/>
        <w:jc w:val="both"/>
        <w:rPr>
          <w:sz w:val="24"/>
          <w:szCs w:val="24"/>
          <w:lang w:val="de-DE"/>
        </w:rPr>
      </w:pPr>
      <w:r w:rsidRPr="0026128E">
        <w:rPr>
          <w:sz w:val="24"/>
          <w:szCs w:val="24"/>
          <w:lang w:val="de-DE"/>
        </w:rPr>
        <w:t xml:space="preserve">Langenhorst G., </w:t>
      </w:r>
      <w:r w:rsidRPr="0026128E">
        <w:rPr>
          <w:i/>
          <w:iCs/>
          <w:sz w:val="24"/>
          <w:szCs w:val="24"/>
          <w:lang w:val="de-DE"/>
        </w:rPr>
        <w:t>Verschenktes Sakrament. Vorschläge zu einer grundlegend neuen Firmpastoral</w:t>
      </w:r>
      <w:r w:rsidRPr="0026128E">
        <w:rPr>
          <w:sz w:val="24"/>
          <w:szCs w:val="24"/>
          <w:lang w:val="de-DE"/>
        </w:rPr>
        <w:t>, w: HerKorr 69(2015)7, s. 365–367.</w:t>
      </w:r>
    </w:p>
    <w:p w14:paraId="3A686821" w14:textId="77777777" w:rsidR="0026128E" w:rsidRPr="0026128E" w:rsidRDefault="0026128E" w:rsidP="002C7D95">
      <w:pPr>
        <w:pStyle w:val="FootnoteText"/>
        <w:ind w:left="1134" w:hanging="1134"/>
        <w:jc w:val="both"/>
        <w:rPr>
          <w:sz w:val="24"/>
          <w:szCs w:val="24"/>
        </w:rPr>
      </w:pPr>
      <w:r w:rsidRPr="0026128E">
        <w:rPr>
          <w:sz w:val="24"/>
          <w:szCs w:val="24"/>
        </w:rPr>
        <w:t xml:space="preserve">Lehman K., </w:t>
      </w:r>
      <w:r w:rsidRPr="0026128E">
        <w:rPr>
          <w:i/>
          <w:iCs/>
          <w:sz w:val="24"/>
          <w:szCs w:val="24"/>
        </w:rPr>
        <w:t>Problem biblijnego świadectwa o bierzmowaniu</w:t>
      </w:r>
      <w:r w:rsidRPr="0026128E">
        <w:rPr>
          <w:sz w:val="24"/>
          <w:szCs w:val="24"/>
        </w:rPr>
        <w:t>, w: Communio 12(1992)2, s. 12-19.</w:t>
      </w:r>
    </w:p>
    <w:p w14:paraId="526F8F42" w14:textId="77777777" w:rsidR="0026128E" w:rsidRPr="0026128E" w:rsidRDefault="0026128E" w:rsidP="002C7D95">
      <w:pPr>
        <w:pStyle w:val="FootnoteText"/>
        <w:ind w:left="1134" w:hanging="1134"/>
        <w:jc w:val="both"/>
        <w:rPr>
          <w:sz w:val="24"/>
          <w:szCs w:val="24"/>
        </w:rPr>
      </w:pPr>
      <w:r w:rsidRPr="0026128E">
        <w:rPr>
          <w:sz w:val="24"/>
          <w:szCs w:val="24"/>
        </w:rPr>
        <w:t xml:space="preserve">McPartlan P., </w:t>
      </w:r>
      <w:r w:rsidRPr="0026128E">
        <w:rPr>
          <w:i/>
          <w:iCs/>
          <w:sz w:val="24"/>
          <w:szCs w:val="24"/>
        </w:rPr>
        <w:t>Duch Święty a bierzmowanie</w:t>
      </w:r>
      <w:r w:rsidRPr="0026128E">
        <w:rPr>
          <w:sz w:val="24"/>
          <w:szCs w:val="24"/>
        </w:rPr>
        <w:t xml:space="preserve">, w: Kolekcja Communio 12(1998), s. 408-419. </w:t>
      </w:r>
    </w:p>
    <w:p w14:paraId="1CD7A594" w14:textId="77777777" w:rsidR="0026128E" w:rsidRPr="0026128E" w:rsidRDefault="0026128E" w:rsidP="002C7D95">
      <w:pPr>
        <w:pStyle w:val="FootnoteText"/>
        <w:ind w:left="1134" w:hanging="1134"/>
        <w:jc w:val="both"/>
        <w:rPr>
          <w:sz w:val="24"/>
          <w:szCs w:val="24"/>
          <w:lang w:val="de-DE"/>
        </w:rPr>
      </w:pPr>
      <w:r w:rsidRPr="0026128E">
        <w:rPr>
          <w:sz w:val="24"/>
          <w:szCs w:val="24"/>
          <w:lang w:val="de-DE"/>
        </w:rPr>
        <w:t xml:space="preserve">Meßner R., </w:t>
      </w:r>
      <w:r w:rsidRPr="0026128E">
        <w:rPr>
          <w:i/>
          <w:iCs/>
          <w:sz w:val="24"/>
          <w:szCs w:val="24"/>
          <w:lang w:val="de-DE"/>
        </w:rPr>
        <w:t>Einführung in die Liturgiewissenschaft</w:t>
      </w:r>
      <w:r w:rsidRPr="0026128E">
        <w:rPr>
          <w:sz w:val="24"/>
          <w:szCs w:val="24"/>
          <w:lang w:val="de-DE"/>
        </w:rPr>
        <w:t>, Paderborn · München · Wien · Zürich 2009, s. 136–149.</w:t>
      </w:r>
    </w:p>
    <w:p w14:paraId="17F7E700" w14:textId="77777777" w:rsidR="0026128E" w:rsidRPr="0026128E" w:rsidRDefault="0026128E" w:rsidP="002C7D95">
      <w:pPr>
        <w:pStyle w:val="FootnoteText"/>
        <w:ind w:left="1134" w:hanging="1134"/>
        <w:jc w:val="both"/>
        <w:rPr>
          <w:sz w:val="24"/>
          <w:szCs w:val="24"/>
        </w:rPr>
      </w:pPr>
      <w:r w:rsidRPr="0026128E">
        <w:rPr>
          <w:sz w:val="24"/>
          <w:szCs w:val="24"/>
        </w:rPr>
        <w:t xml:space="preserve">Nowak J., </w:t>
      </w:r>
      <w:r w:rsidRPr="0026128E">
        <w:rPr>
          <w:i/>
          <w:iCs/>
          <w:sz w:val="24"/>
          <w:szCs w:val="24"/>
        </w:rPr>
        <w:t>Bierzmowany apostołem poprzez pełne uczestnictwo w liturgii</w:t>
      </w:r>
      <w:r w:rsidRPr="0026128E">
        <w:rPr>
          <w:sz w:val="24"/>
          <w:szCs w:val="24"/>
        </w:rPr>
        <w:t>, w: Communio 12(1992)2, s. 103-110.</w:t>
      </w:r>
    </w:p>
    <w:p w14:paraId="1C65A260" w14:textId="77777777" w:rsidR="0026128E" w:rsidRPr="0026128E" w:rsidRDefault="0026128E" w:rsidP="002C7D95">
      <w:pPr>
        <w:pStyle w:val="FootnoteText"/>
        <w:ind w:left="1134" w:hanging="1134"/>
        <w:jc w:val="both"/>
        <w:rPr>
          <w:sz w:val="24"/>
          <w:szCs w:val="24"/>
        </w:rPr>
      </w:pPr>
      <w:r w:rsidRPr="0026128E">
        <w:rPr>
          <w:sz w:val="24"/>
          <w:szCs w:val="24"/>
        </w:rPr>
        <w:t xml:space="preserve">Radl W., </w:t>
      </w:r>
      <w:r w:rsidRPr="0026128E">
        <w:rPr>
          <w:i/>
          <w:iCs/>
          <w:sz w:val="24"/>
          <w:szCs w:val="24"/>
        </w:rPr>
        <w:t>„Bierzmowanie” w Nowym Testamencie</w:t>
      </w:r>
      <w:r w:rsidRPr="0026128E">
        <w:rPr>
          <w:sz w:val="24"/>
          <w:szCs w:val="24"/>
        </w:rPr>
        <w:t>, w: Communio 12(1992)2, s. 3-11.</w:t>
      </w:r>
    </w:p>
    <w:p w14:paraId="0212F945" w14:textId="77777777" w:rsidR="0026128E" w:rsidRPr="0026128E" w:rsidRDefault="0026128E" w:rsidP="002C7D95">
      <w:pPr>
        <w:pStyle w:val="FootnoteText"/>
        <w:ind w:left="1134" w:hanging="1134"/>
        <w:jc w:val="both"/>
        <w:rPr>
          <w:sz w:val="24"/>
          <w:szCs w:val="24"/>
        </w:rPr>
      </w:pPr>
      <w:r w:rsidRPr="0026128E">
        <w:rPr>
          <w:sz w:val="24"/>
          <w:szCs w:val="24"/>
        </w:rPr>
        <w:t xml:space="preserve">Revel J.P., </w:t>
      </w:r>
      <w:r w:rsidRPr="0026128E">
        <w:rPr>
          <w:i/>
          <w:iCs/>
          <w:sz w:val="24"/>
          <w:szCs w:val="24"/>
        </w:rPr>
        <w:t>Uwieńczenie chrztu</w:t>
      </w:r>
      <w:r w:rsidRPr="0026128E">
        <w:rPr>
          <w:sz w:val="24"/>
          <w:szCs w:val="24"/>
        </w:rPr>
        <w:t>, w: Communio 12(1992)2, s. 20-43.</w:t>
      </w:r>
    </w:p>
    <w:p w14:paraId="37B4323E" w14:textId="77777777" w:rsidR="0026128E" w:rsidRPr="0026128E" w:rsidRDefault="0026128E" w:rsidP="00AB00EA">
      <w:pPr>
        <w:pStyle w:val="NoSpacing"/>
        <w:jc w:val="both"/>
      </w:pPr>
    </w:p>
    <w:sectPr w:rsidR="0026128E" w:rsidRPr="002612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039D" w14:textId="77777777" w:rsidR="00BF7B95" w:rsidRDefault="00BF7B95" w:rsidP="00B26F1F">
      <w:pPr>
        <w:spacing w:after="0" w:line="240" w:lineRule="auto"/>
      </w:pPr>
      <w:r>
        <w:separator/>
      </w:r>
    </w:p>
  </w:endnote>
  <w:endnote w:type="continuationSeparator" w:id="0">
    <w:p w14:paraId="6FB40F0B" w14:textId="77777777" w:rsidR="00BF7B95" w:rsidRDefault="00BF7B95" w:rsidP="00B2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1AB4" w14:textId="77777777" w:rsidR="00BF7B95" w:rsidRDefault="00BF7B95" w:rsidP="00B26F1F">
      <w:pPr>
        <w:spacing w:after="0" w:line="240" w:lineRule="auto"/>
      </w:pPr>
      <w:r>
        <w:separator/>
      </w:r>
    </w:p>
  </w:footnote>
  <w:footnote w:type="continuationSeparator" w:id="0">
    <w:p w14:paraId="3DD70092" w14:textId="77777777" w:rsidR="00BF7B95" w:rsidRDefault="00BF7B95" w:rsidP="00B26F1F">
      <w:pPr>
        <w:spacing w:after="0" w:line="240" w:lineRule="auto"/>
      </w:pPr>
      <w:r>
        <w:continuationSeparator/>
      </w:r>
    </w:p>
  </w:footnote>
  <w:footnote w:id="1">
    <w:p w14:paraId="026A7D92" w14:textId="6F1F8454" w:rsidR="009C7857" w:rsidRDefault="009C7857" w:rsidP="009C7857">
      <w:pPr>
        <w:pStyle w:val="FootnoteText"/>
        <w:jc w:val="both"/>
      </w:pPr>
      <w:r>
        <w:rPr>
          <w:rStyle w:val="FootnoteReference"/>
        </w:rPr>
        <w:footnoteRef/>
      </w:r>
      <w:r>
        <w:t xml:space="preserve"> Z. Janczewski, </w:t>
      </w:r>
      <w:r w:rsidRPr="009C7857">
        <w:rPr>
          <w:i/>
          <w:iCs/>
        </w:rPr>
        <w:t xml:space="preserve">Bierzmowanie - sakrament chrześcijańskiej </w:t>
      </w:r>
      <w:proofErr w:type="gramStart"/>
      <w:r w:rsidRPr="009C7857">
        <w:rPr>
          <w:i/>
          <w:iCs/>
        </w:rPr>
        <w:t>dojrzałości,</w:t>
      </w:r>
      <w:proofErr w:type="gramEnd"/>
      <w:r w:rsidRPr="009C7857">
        <w:rPr>
          <w:i/>
          <w:iCs/>
        </w:rPr>
        <w:t xml:space="preserve"> czy pożegnania z </w:t>
      </w:r>
      <w:proofErr w:type="gramStart"/>
      <w:r w:rsidRPr="009C7857">
        <w:rPr>
          <w:i/>
          <w:iCs/>
        </w:rPr>
        <w:t>Kościołem?</w:t>
      </w:r>
      <w:r>
        <w:t>,</w:t>
      </w:r>
      <w:proofErr w:type="gramEnd"/>
      <w:r>
        <w:t xml:space="preserve"> w: „</w:t>
      </w:r>
      <w:r w:rsidRPr="009C7857">
        <w:t>Prawo Kanoniczne</w:t>
      </w:r>
      <w:r>
        <w:t>”</w:t>
      </w:r>
      <w:r w:rsidRPr="009C7857">
        <w:t xml:space="preserve"> 51(2008)3-4</w:t>
      </w:r>
      <w:r>
        <w:t xml:space="preserve">, s. </w:t>
      </w:r>
      <w:r w:rsidRPr="009C7857">
        <w:t>209-225</w:t>
      </w:r>
      <w:r>
        <w:t>.</w:t>
      </w:r>
    </w:p>
  </w:footnote>
  <w:footnote w:id="2">
    <w:p w14:paraId="2C03169A" w14:textId="3032AF29" w:rsidR="00A207E9" w:rsidRDefault="00A207E9">
      <w:pPr>
        <w:pStyle w:val="FootnoteText"/>
      </w:pPr>
      <w:r>
        <w:rPr>
          <w:rStyle w:val="FootnoteReference"/>
        </w:rPr>
        <w:footnoteRef/>
      </w:r>
      <w:r>
        <w:t xml:space="preserve"> K. Lehman, </w:t>
      </w:r>
      <w:r w:rsidRPr="00A207E9">
        <w:rPr>
          <w:i/>
          <w:iCs/>
        </w:rPr>
        <w:t>Problem biblijnego świadectwa o bierzmowaniu</w:t>
      </w:r>
      <w:r>
        <w:t>, w: Communio 12(1992)2, s. 12-19, tutaj s. 17-19.</w:t>
      </w:r>
    </w:p>
  </w:footnote>
  <w:footnote w:id="3">
    <w:p w14:paraId="7301B7E0" w14:textId="77777777" w:rsidR="00A207E9" w:rsidRDefault="00A207E9" w:rsidP="00A207E9">
      <w:pPr>
        <w:pStyle w:val="FootnoteText"/>
      </w:pPr>
      <w:r>
        <w:rPr>
          <w:rStyle w:val="FootnoteReference"/>
        </w:rPr>
        <w:footnoteRef/>
      </w:r>
      <w:r>
        <w:t xml:space="preserve"> R. Coffy, </w:t>
      </w:r>
      <w:r w:rsidRPr="00A207E9">
        <w:rPr>
          <w:i/>
          <w:iCs/>
        </w:rPr>
        <w:t>Szafarz bierzmowania</w:t>
      </w:r>
      <w:r>
        <w:t>, w: Communio 12(1992)2, s. 62-66.</w:t>
      </w:r>
    </w:p>
  </w:footnote>
  <w:footnote w:id="4">
    <w:p w14:paraId="2CC93E56" w14:textId="4FE35CAF" w:rsidR="00B26F1F" w:rsidRDefault="00B26F1F">
      <w:pPr>
        <w:pStyle w:val="FootnoteText"/>
      </w:pPr>
      <w:r>
        <w:rPr>
          <w:rStyle w:val="FootnoteReference"/>
        </w:rPr>
        <w:footnoteRef/>
      </w:r>
      <w:r>
        <w:t xml:space="preserve"> W. Radl, </w:t>
      </w:r>
      <w:r w:rsidRPr="00A207E9">
        <w:rPr>
          <w:i/>
          <w:iCs/>
        </w:rPr>
        <w:t>„Bierzmowanie” w Nowym Testamencie</w:t>
      </w:r>
      <w:r>
        <w:t>, w: Communio</w:t>
      </w:r>
      <w:r w:rsidR="00A207E9">
        <w:t xml:space="preserve"> 12(1992)2, s. 3-11, tutaj s. 7-8.</w:t>
      </w:r>
    </w:p>
  </w:footnote>
  <w:footnote w:id="5">
    <w:p w14:paraId="150B5C62" w14:textId="69C54C4B" w:rsidR="00A207E9" w:rsidRDefault="00A207E9">
      <w:pPr>
        <w:pStyle w:val="FootnoteText"/>
      </w:pPr>
      <w:r>
        <w:rPr>
          <w:rStyle w:val="FootnoteReference"/>
        </w:rPr>
        <w:footnoteRef/>
      </w:r>
      <w:r>
        <w:t xml:space="preserve"> J.P. Revel, </w:t>
      </w:r>
      <w:r w:rsidRPr="00A207E9">
        <w:rPr>
          <w:i/>
          <w:iCs/>
        </w:rPr>
        <w:t>Uwieńczenie chrztu</w:t>
      </w:r>
      <w:r>
        <w:t>, w: Communio 12(1992)2, s. 20-43.</w:t>
      </w:r>
    </w:p>
  </w:footnote>
  <w:footnote w:id="6">
    <w:p w14:paraId="3C12E0CF" w14:textId="5F5725A3" w:rsidR="009C7857" w:rsidRPr="00AB00EA" w:rsidRDefault="009C7857">
      <w:pPr>
        <w:pStyle w:val="FootnoteText"/>
        <w:rPr>
          <w:lang w:val="de-DE"/>
        </w:rPr>
      </w:pPr>
      <w:r>
        <w:rPr>
          <w:rStyle w:val="FootnoteReference"/>
        </w:rPr>
        <w:footnoteRef/>
      </w:r>
      <w:r w:rsidRPr="009C7857">
        <w:rPr>
          <w:lang w:val="de-DE"/>
        </w:rPr>
        <w:t xml:space="preserve"> R.</w:t>
      </w:r>
      <w:r w:rsidRPr="00AB00EA">
        <w:rPr>
          <w:lang w:val="de-DE"/>
        </w:rPr>
        <w:t xml:space="preserve"> Meßner, </w:t>
      </w:r>
      <w:r w:rsidRPr="009C7857">
        <w:rPr>
          <w:i/>
          <w:iCs/>
          <w:lang w:val="de-DE"/>
        </w:rPr>
        <w:t>Einführung in die Liturgiewissenschaft</w:t>
      </w:r>
      <w:r w:rsidRPr="009C7857">
        <w:rPr>
          <w:lang w:val="de-DE"/>
        </w:rPr>
        <w:t xml:space="preserve">, </w:t>
      </w:r>
      <w:r w:rsidR="00AB00EA" w:rsidRPr="00AB00EA">
        <w:rPr>
          <w:lang w:val="de-DE"/>
        </w:rPr>
        <w:t>Paderborn · München · Wien · Zürich</w:t>
      </w:r>
      <w:r w:rsidR="00AB00EA">
        <w:rPr>
          <w:lang w:val="de-DE"/>
        </w:rPr>
        <w:t xml:space="preserve"> 2009, s. </w:t>
      </w:r>
      <w:r w:rsidR="00AB00EA" w:rsidRPr="00AB00EA">
        <w:rPr>
          <w:lang w:val="de-DE"/>
        </w:rPr>
        <w:t>136–149.</w:t>
      </w:r>
    </w:p>
  </w:footnote>
  <w:footnote w:id="7">
    <w:p w14:paraId="4B9DCE51" w14:textId="4D7F88C2" w:rsidR="002015C5" w:rsidRPr="002015C5" w:rsidRDefault="002015C5">
      <w:pPr>
        <w:pStyle w:val="FootnoteText"/>
      </w:pPr>
      <w:r>
        <w:rPr>
          <w:rStyle w:val="FootnoteReference"/>
        </w:rPr>
        <w:footnoteRef/>
      </w:r>
      <w:r w:rsidRPr="002015C5">
        <w:t xml:space="preserve"> P.T. Camelot, </w:t>
      </w:r>
      <w:r w:rsidRPr="00AB00EA">
        <w:rPr>
          <w:i/>
          <w:iCs/>
        </w:rPr>
        <w:t>Bierzmowanie a wylanie Ducha</w:t>
      </w:r>
      <w:r>
        <w:t>, w: Communio 12(1992)2, s. 81-91.</w:t>
      </w:r>
    </w:p>
  </w:footnote>
  <w:footnote w:id="8">
    <w:p w14:paraId="184EC68D" w14:textId="0E6D221E" w:rsidR="002015C5" w:rsidRPr="002015C5" w:rsidRDefault="002015C5">
      <w:pPr>
        <w:pStyle w:val="FootnoteText"/>
        <w:rPr>
          <w:lang w:val="es-ES"/>
        </w:rPr>
      </w:pPr>
      <w:r>
        <w:rPr>
          <w:rStyle w:val="FootnoteReference"/>
        </w:rPr>
        <w:footnoteRef/>
      </w:r>
      <w:r w:rsidRPr="002015C5">
        <w:t xml:space="preserve"> </w:t>
      </w:r>
      <w:r>
        <w:t xml:space="preserve">J.P. Revel, </w:t>
      </w:r>
      <w:r w:rsidRPr="00A207E9">
        <w:rPr>
          <w:i/>
          <w:iCs/>
        </w:rPr>
        <w:t>Uwieńczenie chrztu</w:t>
      </w:r>
      <w:r>
        <w:t xml:space="preserve">, </w:t>
      </w:r>
      <w:r w:rsidRPr="002015C5">
        <w:t xml:space="preserve">s. 65. </w:t>
      </w:r>
      <w:r w:rsidRPr="002015C5">
        <w:rPr>
          <w:lang w:val="es-ES"/>
        </w:rPr>
        <w:t>Por.</w:t>
      </w:r>
      <w:r w:rsidRPr="002015C5">
        <w:rPr>
          <w:i/>
          <w:iCs/>
          <w:lang w:val="es-ES"/>
        </w:rPr>
        <w:t xml:space="preserve"> Lumen Gentium</w:t>
      </w:r>
      <w:r w:rsidRPr="002015C5">
        <w:rPr>
          <w:lang w:val="es-ES"/>
        </w:rPr>
        <w:t>,</w:t>
      </w:r>
      <w:r>
        <w:rPr>
          <w:lang w:val="es-ES"/>
        </w:rPr>
        <w:t xml:space="preserve"> 26.</w:t>
      </w:r>
    </w:p>
  </w:footnote>
  <w:footnote w:id="9">
    <w:p w14:paraId="2FD63670" w14:textId="6551797E" w:rsidR="002015C5" w:rsidRDefault="002015C5">
      <w:pPr>
        <w:pStyle w:val="FootnoteText"/>
      </w:pPr>
      <w:r>
        <w:rPr>
          <w:rStyle w:val="FootnoteReference"/>
        </w:rPr>
        <w:footnoteRef/>
      </w:r>
      <w:r>
        <w:t xml:space="preserve"> J. Nowak, </w:t>
      </w:r>
      <w:r w:rsidRPr="002015C5">
        <w:rPr>
          <w:i/>
          <w:iCs/>
        </w:rPr>
        <w:t>Bierzmowany apostołem poprzez pełne uczestnictwo w liturgii</w:t>
      </w:r>
      <w:r>
        <w:t>, w: Communio 12(1992)2, s. 103-110.</w:t>
      </w:r>
    </w:p>
  </w:footnote>
  <w:footnote w:id="10">
    <w:p w14:paraId="57614803" w14:textId="105FD1E0" w:rsidR="002015C5" w:rsidRDefault="002015C5">
      <w:pPr>
        <w:pStyle w:val="FootnoteText"/>
      </w:pPr>
      <w:r>
        <w:rPr>
          <w:rStyle w:val="FootnoteReference"/>
        </w:rPr>
        <w:footnoteRef/>
      </w:r>
      <w:r>
        <w:t xml:space="preserve"> M. Kowalczyk, Eklezjalno-apostolski charakter bierzmowania, w: Communio 12(1992)2, s. 92-102.</w:t>
      </w:r>
    </w:p>
  </w:footnote>
  <w:footnote w:id="11">
    <w:p w14:paraId="4BC7ECBB" w14:textId="1FA4041D" w:rsidR="00AB00EA" w:rsidRPr="00AB00EA" w:rsidRDefault="00AB00EA" w:rsidP="00AB00EA">
      <w:pPr>
        <w:pStyle w:val="FootnoteText"/>
        <w:jc w:val="both"/>
        <w:rPr>
          <w:lang w:val="de-DE"/>
        </w:rPr>
      </w:pPr>
      <w:r>
        <w:rPr>
          <w:rStyle w:val="FootnoteReference"/>
        </w:rPr>
        <w:footnoteRef/>
      </w:r>
      <w:r w:rsidRPr="00AB00EA">
        <w:rPr>
          <w:lang w:val="de-DE"/>
        </w:rPr>
        <w:t xml:space="preserve"> G</w:t>
      </w:r>
      <w:r>
        <w:rPr>
          <w:lang w:val="de-DE"/>
        </w:rPr>
        <w:t>.</w:t>
      </w:r>
      <w:r w:rsidRPr="00AB00EA">
        <w:rPr>
          <w:lang w:val="de-DE"/>
        </w:rPr>
        <w:t xml:space="preserve"> Langenhorst, </w:t>
      </w:r>
      <w:r w:rsidRPr="00AB00EA">
        <w:rPr>
          <w:i/>
          <w:iCs/>
          <w:lang w:val="de-DE"/>
        </w:rPr>
        <w:t>Verschenktes Sakrament. Vorschläge zu einer grundlegend neuen Firmpastoral</w:t>
      </w:r>
      <w:r w:rsidRPr="00AB00EA">
        <w:rPr>
          <w:lang w:val="de-DE"/>
        </w:rPr>
        <w:t xml:space="preserve">, </w:t>
      </w:r>
      <w:r>
        <w:rPr>
          <w:lang w:val="de-DE"/>
        </w:rPr>
        <w:t>w</w:t>
      </w:r>
      <w:r w:rsidRPr="00AB00EA">
        <w:rPr>
          <w:lang w:val="de-DE"/>
        </w:rPr>
        <w:t xml:space="preserve">: HerKorr 69(2015)7, </w:t>
      </w:r>
      <w:r>
        <w:rPr>
          <w:lang w:val="de-DE"/>
        </w:rPr>
        <w:t xml:space="preserve">s. </w:t>
      </w:r>
      <w:r w:rsidRPr="00AB00EA">
        <w:rPr>
          <w:lang w:val="de-DE"/>
        </w:rPr>
        <w:t>365–367.</w:t>
      </w:r>
    </w:p>
  </w:footnote>
  <w:footnote w:id="12">
    <w:p w14:paraId="6154A6A1" w14:textId="0BD272F5" w:rsidR="002015C5" w:rsidRDefault="002015C5" w:rsidP="009C7857">
      <w:pPr>
        <w:pStyle w:val="FootnoteText"/>
        <w:jc w:val="both"/>
      </w:pPr>
      <w:r>
        <w:rPr>
          <w:rStyle w:val="FootnoteReference"/>
        </w:rPr>
        <w:footnoteRef/>
      </w:r>
      <w:r>
        <w:t xml:space="preserve"> J.O. Braganca, </w:t>
      </w:r>
      <w:r w:rsidRPr="009C7857">
        <w:rPr>
          <w:i/>
          <w:iCs/>
        </w:rPr>
        <w:t>Bierzmowanie sakramentem Ducha</w:t>
      </w:r>
      <w:r>
        <w:t>, w: Kolekcja Communio 12(1998), s. 420-431</w:t>
      </w:r>
      <w:r w:rsidR="009C7857">
        <w:t xml:space="preserve">; P. McPartlan, </w:t>
      </w:r>
      <w:r w:rsidR="009C7857" w:rsidRPr="009C7857">
        <w:rPr>
          <w:i/>
          <w:iCs/>
        </w:rPr>
        <w:t>Duch Święty a bierzmowanie</w:t>
      </w:r>
      <w:r w:rsidR="009C7857">
        <w:t>, w: Kolekcja Communio 12(1998), s. 408-419; P. Henrici,</w:t>
      </w:r>
      <w:r w:rsidR="009C7857" w:rsidRPr="009C7857">
        <w:rPr>
          <w:i/>
          <w:iCs/>
        </w:rPr>
        <w:t xml:space="preserve"> Bierzmowanie – sakrament Ducha Świętego</w:t>
      </w:r>
      <w:r w:rsidR="009C7857">
        <w:t>, w: Communio 18(1998)2, s. 110-118.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225"/>
    <w:rsid w:val="00001308"/>
    <w:rsid w:val="00126363"/>
    <w:rsid w:val="002015C5"/>
    <w:rsid w:val="0026128E"/>
    <w:rsid w:val="002C7D95"/>
    <w:rsid w:val="00341751"/>
    <w:rsid w:val="004A1CF6"/>
    <w:rsid w:val="00733781"/>
    <w:rsid w:val="007E11DD"/>
    <w:rsid w:val="00800E48"/>
    <w:rsid w:val="00887942"/>
    <w:rsid w:val="00943526"/>
    <w:rsid w:val="009C7857"/>
    <w:rsid w:val="00A207E9"/>
    <w:rsid w:val="00AB00EA"/>
    <w:rsid w:val="00AB1730"/>
    <w:rsid w:val="00B04482"/>
    <w:rsid w:val="00B26F1F"/>
    <w:rsid w:val="00B92225"/>
    <w:rsid w:val="00BF7B95"/>
    <w:rsid w:val="00CC6C0C"/>
    <w:rsid w:val="00EA1C88"/>
    <w:rsid w:val="00EB62FA"/>
    <w:rsid w:val="00F17BA8"/>
    <w:rsid w:val="00F50113"/>
    <w:rsid w:val="00F94A8C"/>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7975"/>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22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2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22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22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22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22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22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2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22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2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22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22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22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22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22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2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2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2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2225"/>
    <w:pPr>
      <w:spacing w:before="160"/>
      <w:jc w:val="center"/>
    </w:pPr>
    <w:rPr>
      <w:i/>
      <w:iCs/>
      <w:color w:val="404040" w:themeColor="text1" w:themeTint="BF"/>
    </w:rPr>
  </w:style>
  <w:style w:type="character" w:customStyle="1" w:styleId="QuoteChar">
    <w:name w:val="Quote Char"/>
    <w:basedOn w:val="DefaultParagraphFont"/>
    <w:link w:val="Quote"/>
    <w:uiPriority w:val="29"/>
    <w:rsid w:val="00B92225"/>
    <w:rPr>
      <w:i/>
      <w:iCs/>
      <w:color w:val="404040" w:themeColor="text1" w:themeTint="BF"/>
    </w:rPr>
  </w:style>
  <w:style w:type="paragraph" w:styleId="ListParagraph">
    <w:name w:val="List Paragraph"/>
    <w:basedOn w:val="Normal"/>
    <w:uiPriority w:val="34"/>
    <w:qFormat/>
    <w:rsid w:val="00B92225"/>
    <w:pPr>
      <w:ind w:left="720"/>
      <w:contextualSpacing/>
    </w:pPr>
  </w:style>
  <w:style w:type="character" w:styleId="IntenseEmphasis">
    <w:name w:val="Intense Emphasis"/>
    <w:basedOn w:val="DefaultParagraphFont"/>
    <w:uiPriority w:val="21"/>
    <w:qFormat/>
    <w:rsid w:val="00B92225"/>
    <w:rPr>
      <w:i/>
      <w:iCs/>
      <w:color w:val="2F5496" w:themeColor="accent1" w:themeShade="BF"/>
    </w:rPr>
  </w:style>
  <w:style w:type="paragraph" w:styleId="IntenseQuote">
    <w:name w:val="Intense Quote"/>
    <w:basedOn w:val="Normal"/>
    <w:next w:val="Normal"/>
    <w:link w:val="IntenseQuoteChar"/>
    <w:uiPriority w:val="30"/>
    <w:qFormat/>
    <w:rsid w:val="00B92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225"/>
    <w:rPr>
      <w:i/>
      <w:iCs/>
      <w:color w:val="2F5496" w:themeColor="accent1" w:themeShade="BF"/>
    </w:rPr>
  </w:style>
  <w:style w:type="character" w:styleId="IntenseReference">
    <w:name w:val="Intense Reference"/>
    <w:basedOn w:val="DefaultParagraphFont"/>
    <w:uiPriority w:val="32"/>
    <w:qFormat/>
    <w:rsid w:val="00B92225"/>
    <w:rPr>
      <w:b/>
      <w:bCs/>
      <w:smallCaps/>
      <w:color w:val="2F5496" w:themeColor="accent1" w:themeShade="BF"/>
      <w:spacing w:val="5"/>
    </w:rPr>
  </w:style>
  <w:style w:type="paragraph" w:styleId="NoSpacing">
    <w:name w:val="No Spacing"/>
    <w:uiPriority w:val="1"/>
    <w:qFormat/>
    <w:rsid w:val="00B92225"/>
    <w:pPr>
      <w:spacing w:after="0" w:line="240" w:lineRule="auto"/>
    </w:pPr>
  </w:style>
  <w:style w:type="character" w:styleId="Hyperlink">
    <w:name w:val="Hyperlink"/>
    <w:basedOn w:val="DefaultParagraphFont"/>
    <w:uiPriority w:val="99"/>
    <w:unhideWhenUsed/>
    <w:rsid w:val="00B26F1F"/>
    <w:rPr>
      <w:color w:val="0563C1" w:themeColor="hyperlink"/>
      <w:u w:val="single"/>
    </w:rPr>
  </w:style>
  <w:style w:type="character" w:customStyle="1" w:styleId="UnresolvedMention1">
    <w:name w:val="Unresolved Mention1"/>
    <w:basedOn w:val="DefaultParagraphFont"/>
    <w:uiPriority w:val="99"/>
    <w:semiHidden/>
    <w:unhideWhenUsed/>
    <w:rsid w:val="00B26F1F"/>
    <w:rPr>
      <w:color w:val="605E5C"/>
      <w:shd w:val="clear" w:color="auto" w:fill="E1DFDD"/>
    </w:rPr>
  </w:style>
  <w:style w:type="paragraph" w:styleId="FootnoteText">
    <w:name w:val="footnote text"/>
    <w:basedOn w:val="Normal"/>
    <w:link w:val="FootnoteTextChar"/>
    <w:uiPriority w:val="99"/>
    <w:semiHidden/>
    <w:unhideWhenUsed/>
    <w:rsid w:val="00B26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F1F"/>
    <w:rPr>
      <w:sz w:val="20"/>
      <w:szCs w:val="20"/>
    </w:rPr>
  </w:style>
  <w:style w:type="character" w:styleId="FootnoteReference">
    <w:name w:val="footnote reference"/>
    <w:basedOn w:val="DefaultParagraphFont"/>
    <w:uiPriority w:val="99"/>
    <w:semiHidden/>
    <w:unhideWhenUsed/>
    <w:rsid w:val="00B26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llotti@poczta.onet.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A947-5B2B-405B-909B-7AA180A1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2298</Words>
  <Characters>13102</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Lipniak</dc:creator>
  <cp:lastModifiedBy>Bożena Futoma-Kołoch</cp:lastModifiedBy>
  <cp:revision>3</cp:revision>
  <dcterms:created xsi:type="dcterms:W3CDTF">2026-03-15T15:36:00Z</dcterms:created>
  <dcterms:modified xsi:type="dcterms:W3CDTF">2026-07-07T09:06:00Z</dcterms:modified>
</cp:coreProperties>
</file>